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98AB3" w14:textId="77777777" w:rsidR="002C5EF7" w:rsidRDefault="002C5EF7">
      <w:pPr>
        <w:adjustRightInd w:val="0"/>
        <w:snapToGrid w:val="0"/>
        <w:spacing w:line="560" w:lineRule="exact"/>
        <w:ind w:firstLineChars="200" w:firstLine="640"/>
        <w:rPr>
          <w:rFonts w:eastAsia="仿宋_GB2312"/>
          <w:sz w:val="32"/>
          <w:szCs w:val="32"/>
        </w:rPr>
      </w:pPr>
    </w:p>
    <w:p w14:paraId="02EAC880" w14:textId="77777777" w:rsidR="002C5EF7" w:rsidRDefault="002C5EF7">
      <w:pPr>
        <w:adjustRightInd w:val="0"/>
        <w:snapToGrid w:val="0"/>
        <w:spacing w:line="560" w:lineRule="exact"/>
        <w:ind w:firstLineChars="200" w:firstLine="640"/>
        <w:rPr>
          <w:rFonts w:eastAsia="仿宋_GB2312"/>
          <w:sz w:val="32"/>
          <w:szCs w:val="32"/>
        </w:rPr>
      </w:pPr>
    </w:p>
    <w:p w14:paraId="041A9751" w14:textId="77777777" w:rsidR="002C5EF7" w:rsidRDefault="002C5EF7">
      <w:pPr>
        <w:adjustRightInd w:val="0"/>
        <w:snapToGrid w:val="0"/>
        <w:spacing w:line="560" w:lineRule="exact"/>
        <w:ind w:firstLineChars="200" w:firstLine="640"/>
        <w:rPr>
          <w:rFonts w:eastAsia="仿宋_GB2312"/>
          <w:sz w:val="32"/>
          <w:szCs w:val="32"/>
        </w:rPr>
      </w:pPr>
    </w:p>
    <w:p w14:paraId="0B2BB67A" w14:textId="77777777" w:rsidR="002C5EF7" w:rsidRDefault="002C5EF7">
      <w:pPr>
        <w:adjustRightInd w:val="0"/>
        <w:snapToGrid w:val="0"/>
        <w:spacing w:line="560" w:lineRule="exact"/>
        <w:ind w:firstLineChars="200" w:firstLine="640"/>
        <w:rPr>
          <w:rFonts w:eastAsia="仿宋_GB2312"/>
          <w:sz w:val="32"/>
          <w:szCs w:val="32"/>
        </w:rPr>
      </w:pPr>
    </w:p>
    <w:p w14:paraId="27042BB2" w14:textId="77777777" w:rsidR="002C5EF7" w:rsidRDefault="002C5EF7">
      <w:pPr>
        <w:adjustRightInd w:val="0"/>
        <w:snapToGrid w:val="0"/>
        <w:spacing w:line="560" w:lineRule="exact"/>
        <w:ind w:firstLineChars="200" w:firstLine="640"/>
        <w:rPr>
          <w:rFonts w:eastAsia="仿宋_GB2312"/>
          <w:sz w:val="32"/>
          <w:szCs w:val="32"/>
        </w:rPr>
      </w:pPr>
    </w:p>
    <w:p w14:paraId="660D1DE3" w14:textId="77777777" w:rsidR="002C5EF7" w:rsidRDefault="002C5EF7">
      <w:pPr>
        <w:adjustRightInd w:val="0"/>
        <w:snapToGrid w:val="0"/>
        <w:spacing w:line="560" w:lineRule="exact"/>
        <w:ind w:firstLineChars="200" w:firstLine="640"/>
        <w:rPr>
          <w:rFonts w:eastAsia="仿宋_GB2312"/>
          <w:sz w:val="32"/>
          <w:szCs w:val="32"/>
        </w:rPr>
      </w:pPr>
    </w:p>
    <w:p w14:paraId="204078B1" w14:textId="05A068DC" w:rsidR="002C5EF7" w:rsidRPr="00D47677" w:rsidRDefault="00F40349">
      <w:pPr>
        <w:adjustRightInd w:val="0"/>
        <w:snapToGrid w:val="0"/>
        <w:spacing w:beforeLines="100" w:before="312" w:afterLines="100" w:after="312" w:line="560" w:lineRule="exact"/>
        <w:jc w:val="center"/>
        <w:rPr>
          <w:rFonts w:ascii="黑体" w:eastAsia="黑体" w:hAnsi="黑体" w:cs="黑体"/>
          <w:b/>
          <w:bCs/>
          <w:sz w:val="32"/>
          <w:szCs w:val="32"/>
        </w:rPr>
      </w:pPr>
      <w:r>
        <w:rPr>
          <w:rFonts w:ascii="黑体" w:eastAsia="黑体" w:hAnsi="黑体" w:cs="黑体" w:hint="eastAsia"/>
          <w:b/>
          <w:bCs/>
          <w:sz w:val="32"/>
          <w:szCs w:val="32"/>
        </w:rPr>
        <w:t>用于牛外感风寒表</w:t>
      </w:r>
      <w:r w:rsidRPr="00D47677">
        <w:rPr>
          <w:rFonts w:ascii="黑体" w:eastAsia="黑体" w:hAnsi="黑体" w:cs="黑体" w:hint="eastAsia"/>
          <w:b/>
          <w:bCs/>
          <w:sz w:val="32"/>
          <w:szCs w:val="32"/>
        </w:rPr>
        <w:t>证</w:t>
      </w:r>
      <w:r w:rsidR="002B1AE9" w:rsidRPr="00D47677">
        <w:rPr>
          <w:rFonts w:ascii="黑体" w:eastAsia="黑体" w:hAnsi="黑体" w:cs="黑体" w:hint="eastAsia"/>
          <w:b/>
          <w:bCs/>
          <w:sz w:val="32"/>
          <w:szCs w:val="32"/>
        </w:rPr>
        <w:t>的兽用</w:t>
      </w:r>
      <w:r w:rsidRPr="00D47677">
        <w:rPr>
          <w:rFonts w:ascii="黑体" w:eastAsia="黑体" w:hAnsi="黑体" w:cs="黑体" w:hint="eastAsia"/>
          <w:b/>
          <w:bCs/>
          <w:sz w:val="32"/>
          <w:szCs w:val="32"/>
        </w:rPr>
        <w:t>中药临床研究技术指导原则</w:t>
      </w:r>
    </w:p>
    <w:p w14:paraId="75E37A83" w14:textId="403FD6D3" w:rsidR="002B1AE9" w:rsidRPr="00D47677" w:rsidRDefault="002B1AE9">
      <w:pPr>
        <w:adjustRightInd w:val="0"/>
        <w:snapToGrid w:val="0"/>
        <w:spacing w:beforeLines="100" w:before="312" w:afterLines="100" w:after="312" w:line="560" w:lineRule="exact"/>
        <w:jc w:val="center"/>
        <w:rPr>
          <w:rFonts w:eastAsia="仿宋_GB2312"/>
          <w:sz w:val="32"/>
          <w:szCs w:val="32"/>
        </w:rPr>
      </w:pPr>
      <w:r w:rsidRPr="00D47677">
        <w:rPr>
          <w:rFonts w:ascii="黑体" w:eastAsia="黑体" w:hAnsi="黑体" w:cs="黑体" w:hint="eastAsia"/>
          <w:b/>
          <w:bCs/>
          <w:sz w:val="32"/>
          <w:szCs w:val="32"/>
        </w:rPr>
        <w:t>（</w:t>
      </w:r>
      <w:r w:rsidRPr="00D47677">
        <w:rPr>
          <w:rFonts w:ascii="黑体" w:eastAsia="黑体" w:hAnsi="黑体" w:cs="黑体"/>
          <w:b/>
          <w:bCs/>
          <w:sz w:val="32"/>
          <w:szCs w:val="32"/>
        </w:rPr>
        <w:t>征求意见稿）</w:t>
      </w:r>
    </w:p>
    <w:p w14:paraId="6462CF01" w14:textId="77777777" w:rsidR="002C5EF7" w:rsidRDefault="002C5EF7">
      <w:pPr>
        <w:adjustRightInd w:val="0"/>
        <w:snapToGrid w:val="0"/>
        <w:spacing w:line="560" w:lineRule="exact"/>
        <w:ind w:firstLineChars="200" w:firstLine="640"/>
        <w:rPr>
          <w:rFonts w:eastAsia="仿宋_GB2312"/>
          <w:sz w:val="32"/>
          <w:szCs w:val="32"/>
        </w:rPr>
      </w:pPr>
    </w:p>
    <w:p w14:paraId="3DAC35C0" w14:textId="77777777" w:rsidR="002C5EF7" w:rsidRDefault="002C5EF7">
      <w:pPr>
        <w:adjustRightInd w:val="0"/>
        <w:snapToGrid w:val="0"/>
        <w:spacing w:line="560" w:lineRule="exact"/>
        <w:ind w:firstLineChars="200" w:firstLine="640"/>
        <w:rPr>
          <w:rFonts w:eastAsia="仿宋_GB2312"/>
          <w:sz w:val="32"/>
          <w:szCs w:val="32"/>
        </w:rPr>
      </w:pPr>
    </w:p>
    <w:p w14:paraId="1296DF2B" w14:textId="77777777" w:rsidR="002C5EF7" w:rsidRDefault="002C5EF7">
      <w:pPr>
        <w:adjustRightInd w:val="0"/>
        <w:snapToGrid w:val="0"/>
        <w:spacing w:line="560" w:lineRule="exact"/>
        <w:ind w:firstLineChars="200" w:firstLine="640"/>
        <w:rPr>
          <w:rFonts w:eastAsia="仿宋_GB2312"/>
          <w:sz w:val="32"/>
          <w:szCs w:val="32"/>
        </w:rPr>
      </w:pPr>
    </w:p>
    <w:p w14:paraId="40FC34FC" w14:textId="77777777" w:rsidR="002C5EF7" w:rsidRDefault="002C5EF7">
      <w:pPr>
        <w:adjustRightInd w:val="0"/>
        <w:snapToGrid w:val="0"/>
        <w:spacing w:line="560" w:lineRule="exact"/>
        <w:ind w:firstLineChars="200" w:firstLine="640"/>
        <w:rPr>
          <w:rFonts w:eastAsia="仿宋_GB2312"/>
          <w:sz w:val="32"/>
          <w:szCs w:val="32"/>
        </w:rPr>
      </w:pPr>
    </w:p>
    <w:p w14:paraId="26898283" w14:textId="77777777" w:rsidR="002C5EF7" w:rsidRDefault="002C5EF7">
      <w:pPr>
        <w:adjustRightInd w:val="0"/>
        <w:snapToGrid w:val="0"/>
        <w:spacing w:line="560" w:lineRule="exact"/>
        <w:ind w:firstLineChars="200" w:firstLine="640"/>
        <w:rPr>
          <w:rFonts w:eastAsia="仿宋_GB2312"/>
          <w:sz w:val="32"/>
          <w:szCs w:val="32"/>
        </w:rPr>
      </w:pPr>
    </w:p>
    <w:p w14:paraId="0460A2B3" w14:textId="77777777" w:rsidR="002C5EF7" w:rsidRDefault="002C5EF7">
      <w:pPr>
        <w:adjustRightInd w:val="0"/>
        <w:snapToGrid w:val="0"/>
        <w:spacing w:line="560" w:lineRule="exact"/>
        <w:ind w:firstLineChars="200" w:firstLine="640"/>
        <w:rPr>
          <w:rFonts w:eastAsia="仿宋_GB2312"/>
          <w:sz w:val="32"/>
          <w:szCs w:val="32"/>
        </w:rPr>
      </w:pPr>
    </w:p>
    <w:p w14:paraId="0A4E6EF8" w14:textId="77777777" w:rsidR="002C5EF7" w:rsidRDefault="002C5EF7">
      <w:pPr>
        <w:adjustRightInd w:val="0"/>
        <w:snapToGrid w:val="0"/>
        <w:spacing w:line="560" w:lineRule="exact"/>
        <w:ind w:firstLineChars="200" w:firstLine="640"/>
        <w:rPr>
          <w:rFonts w:eastAsia="仿宋_GB2312"/>
          <w:sz w:val="32"/>
          <w:szCs w:val="32"/>
        </w:rPr>
      </w:pPr>
    </w:p>
    <w:p w14:paraId="7E03CD92" w14:textId="77777777" w:rsidR="002C5EF7" w:rsidRDefault="002C5EF7">
      <w:pPr>
        <w:adjustRightInd w:val="0"/>
        <w:snapToGrid w:val="0"/>
        <w:spacing w:line="560" w:lineRule="exact"/>
        <w:ind w:firstLineChars="200" w:firstLine="640"/>
        <w:rPr>
          <w:rFonts w:eastAsia="仿宋_GB2312"/>
          <w:sz w:val="32"/>
          <w:szCs w:val="32"/>
        </w:rPr>
      </w:pPr>
    </w:p>
    <w:p w14:paraId="72F2640E" w14:textId="77777777" w:rsidR="002C5EF7" w:rsidRDefault="002C5EF7">
      <w:pPr>
        <w:adjustRightInd w:val="0"/>
        <w:snapToGrid w:val="0"/>
        <w:spacing w:line="560" w:lineRule="exact"/>
        <w:ind w:firstLineChars="200" w:firstLine="640"/>
        <w:rPr>
          <w:rFonts w:eastAsia="仿宋_GB2312"/>
          <w:sz w:val="32"/>
          <w:szCs w:val="32"/>
        </w:rPr>
      </w:pPr>
    </w:p>
    <w:p w14:paraId="57F55D67" w14:textId="77777777" w:rsidR="002C5EF7" w:rsidRDefault="002C5EF7">
      <w:pPr>
        <w:adjustRightInd w:val="0"/>
        <w:snapToGrid w:val="0"/>
        <w:spacing w:line="560" w:lineRule="exact"/>
        <w:ind w:firstLineChars="200" w:firstLine="640"/>
        <w:rPr>
          <w:rFonts w:eastAsia="仿宋_GB2312"/>
          <w:sz w:val="32"/>
          <w:szCs w:val="32"/>
        </w:rPr>
      </w:pPr>
    </w:p>
    <w:p w14:paraId="7B0D1D0B" w14:textId="77777777" w:rsidR="002C5EF7" w:rsidRDefault="002C5EF7">
      <w:pPr>
        <w:adjustRightInd w:val="0"/>
        <w:snapToGrid w:val="0"/>
        <w:spacing w:line="560" w:lineRule="exact"/>
        <w:ind w:firstLineChars="200" w:firstLine="640"/>
        <w:rPr>
          <w:rFonts w:eastAsia="仿宋_GB2312"/>
          <w:sz w:val="32"/>
          <w:szCs w:val="32"/>
        </w:rPr>
      </w:pPr>
    </w:p>
    <w:p w14:paraId="41202D07" w14:textId="77777777" w:rsidR="002C5EF7" w:rsidRDefault="002C5EF7">
      <w:pPr>
        <w:adjustRightInd w:val="0"/>
        <w:snapToGrid w:val="0"/>
        <w:spacing w:line="560" w:lineRule="exact"/>
        <w:ind w:firstLineChars="200" w:firstLine="640"/>
        <w:rPr>
          <w:rFonts w:eastAsia="仿宋_GB2312"/>
          <w:sz w:val="32"/>
          <w:szCs w:val="32"/>
        </w:rPr>
      </w:pPr>
    </w:p>
    <w:p w14:paraId="0A6C2D1A" w14:textId="77777777" w:rsidR="002C5EF7" w:rsidRDefault="002C5EF7">
      <w:pPr>
        <w:adjustRightInd w:val="0"/>
        <w:snapToGrid w:val="0"/>
        <w:spacing w:line="560" w:lineRule="exact"/>
        <w:ind w:firstLineChars="200" w:firstLine="640"/>
        <w:rPr>
          <w:rFonts w:eastAsia="仿宋_GB2312"/>
          <w:sz w:val="32"/>
          <w:szCs w:val="32"/>
        </w:rPr>
      </w:pPr>
    </w:p>
    <w:p w14:paraId="730B03D3" w14:textId="77777777" w:rsidR="002C5EF7" w:rsidRDefault="002C5EF7">
      <w:pPr>
        <w:adjustRightInd w:val="0"/>
        <w:snapToGrid w:val="0"/>
        <w:spacing w:line="560" w:lineRule="exact"/>
        <w:rPr>
          <w:rFonts w:eastAsia="仿宋_GB2312"/>
          <w:sz w:val="32"/>
          <w:szCs w:val="32"/>
        </w:rPr>
      </w:pPr>
    </w:p>
    <w:p w14:paraId="089EBD80" w14:textId="77777777" w:rsidR="002C5EF7" w:rsidRDefault="002C5EF7">
      <w:pPr>
        <w:adjustRightInd w:val="0"/>
        <w:snapToGrid w:val="0"/>
        <w:spacing w:line="560" w:lineRule="exact"/>
        <w:rPr>
          <w:rFonts w:eastAsia="仿宋_GB2312"/>
          <w:sz w:val="32"/>
          <w:szCs w:val="32"/>
        </w:rPr>
      </w:pPr>
    </w:p>
    <w:p w14:paraId="2C2A158B" w14:textId="77777777" w:rsidR="002C5EF7" w:rsidRPr="001615AB" w:rsidRDefault="00F40349" w:rsidP="00924229">
      <w:pPr>
        <w:adjustRightInd w:val="0"/>
        <w:snapToGrid w:val="0"/>
        <w:spacing w:line="560" w:lineRule="exact"/>
        <w:ind w:firstLineChars="200" w:firstLine="640"/>
        <w:rPr>
          <w:rFonts w:ascii="黑体" w:eastAsia="黑体" w:hAnsi="黑体"/>
          <w:bCs/>
          <w:sz w:val="32"/>
          <w:szCs w:val="32"/>
        </w:rPr>
      </w:pPr>
      <w:r w:rsidRPr="001615AB">
        <w:rPr>
          <w:rFonts w:ascii="黑体" w:eastAsia="黑体" w:hAnsi="黑体" w:hint="eastAsia"/>
          <w:bCs/>
          <w:sz w:val="32"/>
          <w:szCs w:val="32"/>
        </w:rPr>
        <w:lastRenderedPageBreak/>
        <w:t>一、概述</w:t>
      </w:r>
      <w:bookmarkStart w:id="0" w:name="_Hlk141002148"/>
    </w:p>
    <w:p w14:paraId="65893F73" w14:textId="77777777" w:rsidR="002C5EF7" w:rsidRDefault="00F40349" w:rsidP="00924229">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和有效性的重要依据，为保证兽用中药临床试验结论的确实可靠，本指导原则旨在通过科学、系统地分辨牛外感风寒证证候特点及其演变规律的异同，对纳入标准和疗效评价进行了统一，同时，解决了中兽医诊断条目缺乏权重等问题，促进了其在临床与科研中的应用，为中兽医临床精准辨治牛外感风寒证，开展有效性评价提供指导。研究者应根据本指导原则要求，结合牛的地域和品种等因素的影响，在具体实施过程中，可依照实际情况灵活调整。研究应以安全性和有效性为纲，贯穿整个目标适应症研究的始终，增强临床辨治研究的科学性，可靠性和一致性。</w:t>
      </w:r>
    </w:p>
    <w:bookmarkEnd w:id="0"/>
    <w:p w14:paraId="5D540354" w14:textId="6564CC40" w:rsidR="002C5EF7" w:rsidRDefault="00F40349" w:rsidP="00924229">
      <w:pPr>
        <w:adjustRightInd w:val="0"/>
        <w:snapToGrid w:val="0"/>
        <w:spacing w:line="560" w:lineRule="exact"/>
        <w:ind w:firstLineChars="200" w:firstLine="640"/>
        <w:rPr>
          <w:rFonts w:eastAsia="仿宋_GB2312"/>
          <w:sz w:val="32"/>
          <w:szCs w:val="32"/>
        </w:rPr>
      </w:pPr>
      <w:r>
        <w:rPr>
          <w:rFonts w:eastAsia="仿宋_GB2312" w:hint="eastAsia"/>
          <w:sz w:val="32"/>
          <w:szCs w:val="32"/>
        </w:rPr>
        <w:t>牛患外感风寒证，是四季常见疾病，但该病尤其多见于冬冷、春寒之际，也常见于夏秋气候多变之时。圈舍寒温失控，或遇气候骤变，寒热不均；风寒外邪盛均易致</w:t>
      </w:r>
      <w:r w:rsidR="00A80453">
        <w:rPr>
          <w:rFonts w:eastAsia="仿宋_GB2312" w:hint="eastAsia"/>
          <w:sz w:val="32"/>
          <w:szCs w:val="32"/>
        </w:rPr>
        <w:t>病</w:t>
      </w:r>
      <w:r>
        <w:rPr>
          <w:rFonts w:eastAsia="仿宋_GB2312" w:hint="eastAsia"/>
          <w:sz w:val="32"/>
          <w:szCs w:val="32"/>
        </w:rPr>
        <w:t>牛外感风寒病邪</w:t>
      </w:r>
      <w:r>
        <w:rPr>
          <w:rFonts w:eastAsia="仿宋_GB2312"/>
          <w:sz w:val="32"/>
          <w:szCs w:val="32"/>
        </w:rPr>
        <w:t>。</w:t>
      </w:r>
      <w:r>
        <w:rPr>
          <w:rFonts w:eastAsia="仿宋_GB2312" w:hint="eastAsia"/>
          <w:sz w:val="32"/>
          <w:szCs w:val="32"/>
        </w:rPr>
        <w:t>风寒束肺，损害肺卫。寒为阴邪，寒性收引易致疼痛，且寒邪易伤阳气，故见</w:t>
      </w:r>
      <w:r w:rsidR="00A80453">
        <w:rPr>
          <w:rFonts w:eastAsia="仿宋_GB2312" w:hint="eastAsia"/>
          <w:sz w:val="32"/>
          <w:szCs w:val="32"/>
        </w:rPr>
        <w:t>病</w:t>
      </w:r>
      <w:r>
        <w:rPr>
          <w:rFonts w:eastAsia="仿宋_GB2312" w:hint="eastAsia"/>
          <w:sz w:val="32"/>
          <w:szCs w:val="32"/>
        </w:rPr>
        <w:t>牛倦卧无神，头低耳搭，形寒肢冷，皮紧毛乍，鼻寒耳冷，鼻汗不均，或鼻汗涔涔、时有时无，四肢不温，体表温度不均。风寒病邪外遏肺卫，表邪与肺卫正邪相搏，故见发热寒颤。风寒束肺，肺失宣降，故见喷嚏，鼻流清涕，呼吸增快甚或咳喘。寒邪损及脾肾之阳，故见</w:t>
      </w:r>
      <w:r w:rsidR="00A80453">
        <w:rPr>
          <w:rFonts w:eastAsia="仿宋_GB2312" w:hint="eastAsia"/>
          <w:sz w:val="32"/>
          <w:szCs w:val="32"/>
        </w:rPr>
        <w:t>病</w:t>
      </w:r>
      <w:r>
        <w:rPr>
          <w:rFonts w:eastAsia="仿宋_GB2312" w:hint="eastAsia"/>
          <w:sz w:val="32"/>
          <w:szCs w:val="32"/>
        </w:rPr>
        <w:t>牛食少纳呆，运化失常，尿液清长，腰背寒凉。耕牛加之过劳，证见粪便稀软，劳役无力，步履沉重，懒动神伤。另外感受风寒，尚可见</w:t>
      </w:r>
      <w:r w:rsidR="00A80453">
        <w:rPr>
          <w:rFonts w:eastAsia="仿宋_GB2312" w:hint="eastAsia"/>
          <w:sz w:val="32"/>
          <w:szCs w:val="32"/>
        </w:rPr>
        <w:t>病</w:t>
      </w:r>
      <w:r>
        <w:rPr>
          <w:rFonts w:eastAsia="仿宋_GB2312" w:hint="eastAsia"/>
          <w:sz w:val="32"/>
          <w:szCs w:val="32"/>
        </w:rPr>
        <w:t>牛口色青白，舌底（砚台底）</w:t>
      </w:r>
      <w:r>
        <w:rPr>
          <w:rFonts w:eastAsia="仿宋_GB2312" w:hint="eastAsia"/>
          <w:sz w:val="32"/>
          <w:szCs w:val="32"/>
        </w:rPr>
        <w:lastRenderedPageBreak/>
        <w:t>发青，舌苔薄白或薄黄，脉浮缓。外感风寒日久，失治误治，寒邪入里，郁久化热，以致肺热咳喘，证见</w:t>
      </w:r>
      <w:r w:rsidR="00A80453">
        <w:rPr>
          <w:rFonts w:eastAsia="仿宋_GB2312" w:hint="eastAsia"/>
          <w:sz w:val="32"/>
          <w:szCs w:val="32"/>
        </w:rPr>
        <w:t>病</w:t>
      </w:r>
      <w:r>
        <w:rPr>
          <w:rFonts w:eastAsia="仿宋_GB2312" w:hint="eastAsia"/>
          <w:sz w:val="32"/>
          <w:szCs w:val="32"/>
        </w:rPr>
        <w:t>牛体热如蒸，食欲废绝，体瘦毛焦，咳嗽气喘，鼻流浓涕，鼻镜干，口色红，苔厚等里热证候。</w:t>
      </w:r>
    </w:p>
    <w:p w14:paraId="7B10A493" w14:textId="01CCCE20" w:rsidR="002C5EF7" w:rsidRPr="001615AB" w:rsidRDefault="00F40349" w:rsidP="00924229">
      <w:pPr>
        <w:adjustRightInd w:val="0"/>
        <w:snapToGrid w:val="0"/>
        <w:spacing w:line="560" w:lineRule="exact"/>
        <w:ind w:firstLineChars="200" w:firstLine="643"/>
        <w:rPr>
          <w:rFonts w:ascii="黑体" w:eastAsia="黑体" w:hAnsi="黑体"/>
          <w:b/>
          <w:sz w:val="32"/>
          <w:szCs w:val="32"/>
        </w:rPr>
      </w:pPr>
      <w:r w:rsidRPr="001615AB">
        <w:rPr>
          <w:rFonts w:ascii="黑体" w:eastAsia="黑体" w:hAnsi="黑体" w:hint="eastAsia"/>
          <w:b/>
          <w:sz w:val="32"/>
          <w:szCs w:val="32"/>
        </w:rPr>
        <w:t>二、临床研究要点</w:t>
      </w:r>
    </w:p>
    <w:p w14:paraId="48868D4B" w14:textId="356EB674" w:rsidR="002C5EF7" w:rsidRDefault="00F40349" w:rsidP="00924229">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动物的安全性及</w:t>
      </w:r>
      <w:r>
        <w:rPr>
          <w:rFonts w:eastAsia="仿宋_GB2312"/>
          <w:sz w:val="32"/>
          <w:szCs w:val="32"/>
        </w:rPr>
        <w:t>目标适应症</w:t>
      </w:r>
      <w:r>
        <w:rPr>
          <w:rFonts w:eastAsia="仿宋_GB2312" w:hint="eastAsia"/>
          <w:sz w:val="32"/>
          <w:szCs w:val="32"/>
        </w:rPr>
        <w:t>的</w:t>
      </w:r>
      <w:r>
        <w:rPr>
          <w:rFonts w:eastAsia="仿宋_GB2312"/>
          <w:sz w:val="32"/>
          <w:szCs w:val="32"/>
        </w:rPr>
        <w:t>有效性。在开展</w:t>
      </w:r>
      <w:r w:rsidR="00D47677" w:rsidRPr="00D47677">
        <w:rPr>
          <w:rFonts w:eastAsia="仿宋_GB2312" w:hint="eastAsia"/>
          <w:sz w:val="32"/>
          <w:szCs w:val="32"/>
        </w:rPr>
        <w:t>兽用中药新药</w:t>
      </w:r>
      <w:r>
        <w:rPr>
          <w:rFonts w:eastAsia="仿宋_GB2312"/>
          <w:sz w:val="32"/>
          <w:szCs w:val="32"/>
        </w:rPr>
        <w:t>的临床试验时，应关注临床试验的目的与定位、疾病诊断标准、纳入</w:t>
      </w:r>
      <w:r>
        <w:rPr>
          <w:rFonts w:eastAsia="仿宋_GB2312" w:hint="eastAsia"/>
          <w:sz w:val="32"/>
          <w:szCs w:val="32"/>
        </w:rPr>
        <w:t>动物情况</w:t>
      </w:r>
      <w:r>
        <w:rPr>
          <w:rFonts w:eastAsia="仿宋_GB2312"/>
          <w:sz w:val="32"/>
          <w:szCs w:val="32"/>
        </w:rPr>
        <w:t>、试验设计与研究方法、给药方案、疗程及疗效观察时点、疗效观察指标、评价</w:t>
      </w:r>
      <w:r>
        <w:rPr>
          <w:rFonts w:eastAsia="仿宋_GB2312" w:hint="eastAsia"/>
          <w:sz w:val="32"/>
          <w:szCs w:val="32"/>
        </w:rPr>
        <w:t>标准</w:t>
      </w:r>
      <w:r>
        <w:rPr>
          <w:rFonts w:eastAsia="仿宋_GB2312"/>
          <w:sz w:val="32"/>
          <w:szCs w:val="32"/>
        </w:rPr>
        <w:t>以及统计学要求等问题。</w:t>
      </w:r>
    </w:p>
    <w:p w14:paraId="6CE753AE" w14:textId="77777777" w:rsidR="002C5EF7" w:rsidRDefault="00F40349" w:rsidP="00924229">
      <w:pPr>
        <w:adjustRightInd w:val="0"/>
        <w:snapToGrid w:val="0"/>
        <w:spacing w:line="560" w:lineRule="exact"/>
        <w:ind w:firstLineChars="200" w:firstLine="643"/>
        <w:rPr>
          <w:rFonts w:eastAsia="仿宋_GB2312"/>
          <w:b/>
          <w:sz w:val="28"/>
          <w:szCs w:val="28"/>
        </w:rPr>
      </w:pPr>
      <w:bookmarkStart w:id="1" w:name="_Toc30966"/>
      <w:r>
        <w:rPr>
          <w:rFonts w:eastAsia="楷体_GB2312"/>
          <w:b/>
          <w:sz w:val="32"/>
          <w:szCs w:val="32"/>
        </w:rPr>
        <w:t>（一）临床试验目的和定位</w:t>
      </w:r>
      <w:bookmarkEnd w:id="1"/>
    </w:p>
    <w:p w14:paraId="01822776" w14:textId="09ECDDA4" w:rsidR="002C5EF7" w:rsidRPr="00D47677" w:rsidRDefault="002B1AE9" w:rsidP="00924229">
      <w:pPr>
        <w:adjustRightInd w:val="0"/>
        <w:snapToGrid w:val="0"/>
        <w:spacing w:line="560" w:lineRule="exact"/>
        <w:ind w:firstLineChars="200" w:firstLine="640"/>
        <w:rPr>
          <w:rFonts w:eastAsia="仿宋_GB2312"/>
          <w:sz w:val="32"/>
          <w:szCs w:val="32"/>
        </w:rPr>
      </w:pPr>
      <w:r w:rsidRPr="00D47677">
        <w:rPr>
          <w:rFonts w:eastAsia="仿宋_GB2312" w:hint="eastAsia"/>
          <w:sz w:val="32"/>
          <w:szCs w:val="32"/>
        </w:rPr>
        <w:t>兽用</w:t>
      </w:r>
      <w:r w:rsidRPr="00D47677">
        <w:rPr>
          <w:rFonts w:eastAsia="仿宋_GB2312"/>
          <w:sz w:val="32"/>
          <w:szCs w:val="32"/>
        </w:rPr>
        <w:t>中药新药</w:t>
      </w:r>
      <w:r w:rsidR="00F40349" w:rsidRPr="00D47677">
        <w:rPr>
          <w:rFonts w:eastAsia="仿宋_GB2312"/>
          <w:sz w:val="32"/>
          <w:szCs w:val="32"/>
        </w:rPr>
        <w:t>用</w:t>
      </w:r>
      <w:r w:rsidR="00F40349" w:rsidRPr="00D47677">
        <w:rPr>
          <w:rFonts w:eastAsia="仿宋_GB2312" w:hint="eastAsia"/>
          <w:sz w:val="32"/>
          <w:szCs w:val="32"/>
        </w:rPr>
        <w:t>治牛外感风寒证的</w:t>
      </w:r>
      <w:r w:rsidR="00F40349" w:rsidRPr="00D47677">
        <w:rPr>
          <w:rFonts w:eastAsia="仿宋_GB2312"/>
          <w:sz w:val="32"/>
          <w:szCs w:val="32"/>
        </w:rPr>
        <w:t>临床试验，应是目标明确、设计科学、质量可控和实施规范的一系列研究过程。开展临床试验的首要问题是根据临床</w:t>
      </w:r>
      <w:r w:rsidR="00F40349" w:rsidRPr="00D47677">
        <w:rPr>
          <w:rFonts w:eastAsia="仿宋_GB2312" w:hint="eastAsia"/>
          <w:sz w:val="32"/>
          <w:szCs w:val="32"/>
        </w:rPr>
        <w:t>前</w:t>
      </w:r>
      <w:r w:rsidR="00F40349" w:rsidRPr="00D47677">
        <w:rPr>
          <w:rFonts w:eastAsia="仿宋_GB2312"/>
          <w:sz w:val="32"/>
          <w:szCs w:val="32"/>
        </w:rPr>
        <w:t>研究结果，拟定研究的目的，明确</w:t>
      </w:r>
      <w:r w:rsidRPr="00D47677">
        <w:rPr>
          <w:rFonts w:eastAsia="仿宋_GB2312" w:hint="eastAsia"/>
          <w:sz w:val="32"/>
          <w:szCs w:val="32"/>
        </w:rPr>
        <w:t>兽用</w:t>
      </w:r>
      <w:r w:rsidRPr="00D47677">
        <w:rPr>
          <w:rFonts w:eastAsia="仿宋_GB2312"/>
          <w:sz w:val="32"/>
          <w:szCs w:val="32"/>
        </w:rPr>
        <w:t>中</w:t>
      </w:r>
      <w:bookmarkStart w:id="2" w:name="_GoBack"/>
      <w:bookmarkEnd w:id="2"/>
      <w:r w:rsidRPr="00D47677">
        <w:rPr>
          <w:rFonts w:eastAsia="仿宋_GB2312"/>
          <w:sz w:val="32"/>
          <w:szCs w:val="32"/>
        </w:rPr>
        <w:t>药新药</w:t>
      </w:r>
      <w:r w:rsidR="00F40349" w:rsidRPr="00D47677">
        <w:rPr>
          <w:rFonts w:eastAsia="仿宋_GB2312" w:hint="eastAsia"/>
          <w:sz w:val="32"/>
          <w:szCs w:val="32"/>
        </w:rPr>
        <w:t>的适应症</w:t>
      </w:r>
      <w:r w:rsidR="00F40349" w:rsidRPr="00D47677">
        <w:rPr>
          <w:rFonts w:eastAsia="仿宋_GB2312"/>
          <w:sz w:val="32"/>
          <w:szCs w:val="32"/>
        </w:rPr>
        <w:t>，确定</w:t>
      </w:r>
      <w:r w:rsidRPr="00D47677">
        <w:rPr>
          <w:rFonts w:eastAsia="仿宋_GB2312" w:hint="eastAsia"/>
          <w:sz w:val="32"/>
          <w:szCs w:val="32"/>
        </w:rPr>
        <w:t>其</w:t>
      </w:r>
      <w:r w:rsidR="00F40349" w:rsidRPr="00D47677">
        <w:rPr>
          <w:rFonts w:eastAsia="仿宋_GB2312" w:hint="eastAsia"/>
          <w:sz w:val="32"/>
          <w:szCs w:val="32"/>
        </w:rPr>
        <w:t>临床应用的功能主治</w:t>
      </w:r>
      <w:r w:rsidR="00F40349" w:rsidRPr="00D47677">
        <w:rPr>
          <w:rFonts w:eastAsia="仿宋_GB2312"/>
          <w:sz w:val="32"/>
          <w:szCs w:val="32"/>
        </w:rPr>
        <w:t>定位。</w:t>
      </w:r>
    </w:p>
    <w:p w14:paraId="7930870C" w14:textId="18111DC2" w:rsidR="002C5EF7" w:rsidRPr="00D47677" w:rsidRDefault="002B1AE9" w:rsidP="00924229">
      <w:pPr>
        <w:adjustRightInd w:val="0"/>
        <w:snapToGrid w:val="0"/>
        <w:spacing w:line="560" w:lineRule="exact"/>
        <w:ind w:firstLineChars="200" w:firstLine="640"/>
        <w:rPr>
          <w:rFonts w:eastAsia="仿宋_GB2312"/>
          <w:sz w:val="32"/>
          <w:szCs w:val="32"/>
        </w:rPr>
      </w:pPr>
      <w:r w:rsidRPr="00D47677">
        <w:rPr>
          <w:rFonts w:eastAsia="仿宋_GB2312" w:hint="eastAsia"/>
          <w:sz w:val="32"/>
          <w:szCs w:val="32"/>
        </w:rPr>
        <w:t>兽用</w:t>
      </w:r>
      <w:r w:rsidRPr="00D47677">
        <w:rPr>
          <w:rFonts w:eastAsia="仿宋_GB2312"/>
          <w:sz w:val="32"/>
          <w:szCs w:val="32"/>
        </w:rPr>
        <w:t>中药新药</w:t>
      </w:r>
      <w:r w:rsidR="00F40349" w:rsidRPr="00D47677">
        <w:rPr>
          <w:rFonts w:eastAsia="仿宋_GB2312"/>
          <w:sz w:val="32"/>
          <w:szCs w:val="32"/>
        </w:rPr>
        <w:t>用于</w:t>
      </w:r>
      <w:r w:rsidR="00F40349" w:rsidRPr="00D47677">
        <w:rPr>
          <w:rFonts w:eastAsia="仿宋_GB2312" w:hint="eastAsia"/>
          <w:sz w:val="32"/>
          <w:szCs w:val="32"/>
        </w:rPr>
        <w:t>牛外感风寒证</w:t>
      </w:r>
      <w:r w:rsidR="00F40349" w:rsidRPr="00D47677">
        <w:rPr>
          <w:rFonts w:eastAsia="仿宋_GB2312"/>
          <w:sz w:val="32"/>
          <w:szCs w:val="32"/>
        </w:rPr>
        <w:t>的临床定位一般可从以下几方面考虑：</w:t>
      </w:r>
    </w:p>
    <w:p w14:paraId="55B9C581" w14:textId="57F8F433" w:rsidR="002C5EF7" w:rsidRDefault="00F40349" w:rsidP="00924229">
      <w:pPr>
        <w:adjustRightInd w:val="0"/>
        <w:snapToGrid w:val="0"/>
        <w:spacing w:line="560" w:lineRule="exact"/>
        <w:ind w:firstLineChars="200" w:firstLine="643"/>
        <w:rPr>
          <w:rFonts w:eastAsia="仿宋_GB2312"/>
          <w:sz w:val="32"/>
          <w:szCs w:val="32"/>
        </w:rPr>
      </w:pPr>
      <w:r>
        <w:rPr>
          <w:rFonts w:eastAsia="仿宋_GB2312"/>
          <w:b/>
          <w:sz w:val="32"/>
          <w:szCs w:val="32"/>
        </w:rPr>
        <w:t>1.</w:t>
      </w:r>
      <w:r w:rsidR="0054608C">
        <w:rPr>
          <w:rFonts w:eastAsia="仿宋_GB2312"/>
          <w:b/>
          <w:sz w:val="32"/>
          <w:szCs w:val="32"/>
        </w:rPr>
        <w:t xml:space="preserve"> </w:t>
      </w:r>
      <w:r>
        <w:rPr>
          <w:rFonts w:eastAsia="仿宋_GB2312" w:hint="eastAsia"/>
          <w:b/>
          <w:sz w:val="32"/>
          <w:szCs w:val="32"/>
        </w:rPr>
        <w:t>消除或</w:t>
      </w:r>
      <w:r>
        <w:rPr>
          <w:rFonts w:eastAsia="仿宋_GB2312"/>
          <w:b/>
          <w:sz w:val="32"/>
          <w:szCs w:val="32"/>
        </w:rPr>
        <w:t>改善</w:t>
      </w:r>
      <w:r>
        <w:rPr>
          <w:rFonts w:eastAsia="仿宋_GB2312" w:hint="eastAsia"/>
          <w:b/>
          <w:sz w:val="32"/>
          <w:szCs w:val="32"/>
        </w:rPr>
        <w:t>病牛外感风寒证的主要症状</w:t>
      </w:r>
      <w:r>
        <w:rPr>
          <w:rFonts w:eastAsia="仿宋_GB2312"/>
          <w:sz w:val="32"/>
          <w:szCs w:val="32"/>
        </w:rPr>
        <w:t xml:space="preserve"> </w:t>
      </w:r>
      <w:r>
        <w:rPr>
          <w:rFonts w:eastAsia="仿宋_GB2312" w:hint="eastAsia"/>
          <w:sz w:val="32"/>
          <w:szCs w:val="32"/>
        </w:rPr>
        <w:t>牛外感风寒证</w:t>
      </w:r>
      <w:r>
        <w:rPr>
          <w:rFonts w:eastAsia="仿宋_GB2312"/>
          <w:sz w:val="32"/>
          <w:szCs w:val="32"/>
        </w:rPr>
        <w:t>主要症状为恶寒</w:t>
      </w:r>
      <w:r>
        <w:rPr>
          <w:rFonts w:eastAsia="仿宋_GB2312" w:hint="eastAsia"/>
          <w:sz w:val="32"/>
          <w:szCs w:val="32"/>
        </w:rPr>
        <w:t>发热、鼻流清涕、咳嗽</w:t>
      </w:r>
      <w:r>
        <w:rPr>
          <w:rFonts w:eastAsia="仿宋_GB2312" w:hint="eastAsia"/>
          <w:sz w:val="32"/>
          <w:szCs w:val="32"/>
          <w:lang w:bidi="ar"/>
        </w:rPr>
        <w:t>、鼻镜汗不成珠、口色青白、精神倦怠、食欲不振，</w:t>
      </w:r>
      <w:r>
        <w:rPr>
          <w:rFonts w:eastAsia="仿宋_GB2312" w:hint="eastAsia"/>
          <w:sz w:val="32"/>
          <w:szCs w:val="32"/>
        </w:rPr>
        <w:t>皮温不均，鼻寒耳冷。</w:t>
      </w:r>
    </w:p>
    <w:p w14:paraId="52DACBB1" w14:textId="77777777" w:rsidR="002C5EF7" w:rsidRDefault="002C5EF7" w:rsidP="001615AB">
      <w:pPr>
        <w:widowControl/>
        <w:spacing w:line="560" w:lineRule="exact"/>
        <w:ind w:firstLine="200"/>
        <w:jc w:val="left"/>
        <w:rPr>
          <w:rFonts w:eastAsia="仿宋_GB2312"/>
          <w:sz w:val="32"/>
          <w:szCs w:val="32"/>
        </w:rPr>
      </w:pPr>
    </w:p>
    <w:p w14:paraId="2EC5195F" w14:textId="6850811C" w:rsidR="002C5EF7" w:rsidRDefault="00F40349" w:rsidP="001615AB">
      <w:pPr>
        <w:widowControl/>
        <w:spacing w:line="560" w:lineRule="exact"/>
        <w:ind w:firstLineChars="200" w:firstLine="643"/>
        <w:jc w:val="left"/>
        <w:rPr>
          <w:rFonts w:eastAsia="仿宋_GB2312"/>
          <w:sz w:val="32"/>
          <w:szCs w:val="32"/>
        </w:rPr>
      </w:pPr>
      <w:r>
        <w:rPr>
          <w:rFonts w:eastAsia="仿宋_GB2312"/>
          <w:b/>
          <w:sz w:val="32"/>
          <w:szCs w:val="32"/>
        </w:rPr>
        <w:lastRenderedPageBreak/>
        <w:t>2.</w:t>
      </w:r>
      <w:r w:rsidR="0054608C">
        <w:rPr>
          <w:rFonts w:eastAsia="仿宋_GB2312"/>
          <w:b/>
          <w:sz w:val="32"/>
          <w:szCs w:val="32"/>
        </w:rPr>
        <w:t xml:space="preserve"> </w:t>
      </w:r>
      <w:r>
        <w:rPr>
          <w:rFonts w:eastAsia="仿宋_GB2312" w:hint="eastAsia"/>
          <w:b/>
          <w:sz w:val="32"/>
          <w:szCs w:val="32"/>
        </w:rPr>
        <w:t>改善患外感风寒证病牛的整体状况</w:t>
      </w:r>
      <w:r>
        <w:rPr>
          <w:rFonts w:eastAsia="仿宋_GB2312"/>
          <w:sz w:val="32"/>
          <w:szCs w:val="32"/>
        </w:rPr>
        <w:t xml:space="preserve"> </w:t>
      </w:r>
      <w:r>
        <w:rPr>
          <w:rFonts w:eastAsia="仿宋_GB2312"/>
          <w:sz w:val="32"/>
          <w:szCs w:val="32"/>
        </w:rPr>
        <w:t>通过治疗，</w:t>
      </w:r>
      <w:r>
        <w:rPr>
          <w:rFonts w:eastAsia="仿宋_GB2312" w:hint="eastAsia"/>
          <w:sz w:val="32"/>
          <w:szCs w:val="32"/>
        </w:rPr>
        <w:t>减轻病牛发热，恢复鼻镜湿润状态使鼻汗均匀、鼻涕消除，口色、呼吸、采食、精神及运动状态恢复正常，</w:t>
      </w:r>
      <w:r>
        <w:rPr>
          <w:rFonts w:eastAsia="仿宋_GB2312"/>
          <w:sz w:val="32"/>
          <w:szCs w:val="32"/>
        </w:rPr>
        <w:t>病情得以完全控制。</w:t>
      </w:r>
      <w:r>
        <w:rPr>
          <w:rFonts w:eastAsia="仿宋_GB2312" w:hint="eastAsia"/>
          <w:sz w:val="32"/>
          <w:szCs w:val="32"/>
        </w:rPr>
        <w:t>改善或提高生产性能。</w:t>
      </w:r>
    </w:p>
    <w:p w14:paraId="5A6B23B5" w14:textId="0E701EA5" w:rsidR="002C5EF7" w:rsidRDefault="00F40349" w:rsidP="00924229">
      <w:pPr>
        <w:adjustRightInd w:val="0"/>
        <w:snapToGrid w:val="0"/>
        <w:spacing w:line="560" w:lineRule="exact"/>
        <w:ind w:firstLineChars="200" w:firstLine="643"/>
        <w:rPr>
          <w:rFonts w:ascii="仿宋" w:eastAsia="仿宋" w:hAnsi="仿宋"/>
          <w:sz w:val="28"/>
          <w:szCs w:val="28"/>
        </w:rPr>
      </w:pPr>
      <w:r>
        <w:rPr>
          <w:rFonts w:eastAsia="仿宋_GB2312"/>
          <w:b/>
          <w:sz w:val="32"/>
          <w:szCs w:val="32"/>
        </w:rPr>
        <w:t>3.</w:t>
      </w:r>
      <w:r w:rsidR="0054608C">
        <w:rPr>
          <w:rFonts w:eastAsia="仿宋_GB2312"/>
          <w:b/>
          <w:sz w:val="32"/>
          <w:szCs w:val="32"/>
        </w:rPr>
        <w:t xml:space="preserve"> </w:t>
      </w:r>
      <w:r>
        <w:rPr>
          <w:rFonts w:eastAsia="仿宋_GB2312" w:hint="eastAsia"/>
          <w:b/>
          <w:sz w:val="32"/>
          <w:szCs w:val="32"/>
        </w:rPr>
        <w:t>控制疾病的进一步发展</w:t>
      </w:r>
      <w:r>
        <w:rPr>
          <w:rFonts w:eastAsia="仿宋_GB2312"/>
          <w:b/>
          <w:sz w:val="32"/>
          <w:szCs w:val="32"/>
        </w:rPr>
        <w:t xml:space="preserve"> </w:t>
      </w:r>
      <w:r>
        <w:rPr>
          <w:rFonts w:eastAsia="仿宋_GB2312" w:hint="eastAsia"/>
          <w:sz w:val="32"/>
          <w:szCs w:val="32"/>
        </w:rPr>
        <w:t>牛外感风寒证如失治误治</w:t>
      </w:r>
      <w:r>
        <w:rPr>
          <w:rFonts w:eastAsia="仿宋_GB2312"/>
          <w:sz w:val="32"/>
          <w:szCs w:val="32"/>
        </w:rPr>
        <w:t>，部分</w:t>
      </w:r>
      <w:r>
        <w:rPr>
          <w:rFonts w:eastAsia="仿宋_GB2312" w:hint="eastAsia"/>
          <w:sz w:val="32"/>
          <w:szCs w:val="32"/>
        </w:rPr>
        <w:t>病牛</w:t>
      </w:r>
      <w:r>
        <w:rPr>
          <w:rFonts w:eastAsia="仿宋_GB2312"/>
          <w:sz w:val="32"/>
          <w:szCs w:val="32"/>
        </w:rPr>
        <w:t>可能</w:t>
      </w:r>
      <w:r>
        <w:rPr>
          <w:rFonts w:eastAsia="仿宋_GB2312" w:hint="eastAsia"/>
          <w:sz w:val="32"/>
          <w:szCs w:val="32"/>
        </w:rPr>
        <w:t>会进一步恶化，出现表寒入里化热，加重病情，表现为身热、咳嗽气喘加重，鼻流浓涕，鼻翼结痂，鼻镜干燥等里热证候。用药可以控制疾病的转化和加重</w:t>
      </w:r>
      <w:r>
        <w:rPr>
          <w:rFonts w:eastAsia="仿宋_GB2312"/>
          <w:sz w:val="32"/>
          <w:szCs w:val="32"/>
        </w:rPr>
        <w:t>。</w:t>
      </w:r>
    </w:p>
    <w:p w14:paraId="5B45BA8F" w14:textId="77777777" w:rsidR="002C5EF7" w:rsidRDefault="00F40349" w:rsidP="00924229">
      <w:pPr>
        <w:adjustRightInd w:val="0"/>
        <w:snapToGrid w:val="0"/>
        <w:spacing w:line="560" w:lineRule="exact"/>
        <w:ind w:firstLineChars="200" w:firstLine="643"/>
        <w:rPr>
          <w:rFonts w:eastAsia="楷体_GB2312"/>
          <w:b/>
          <w:sz w:val="32"/>
          <w:szCs w:val="32"/>
        </w:rPr>
      </w:pPr>
      <w:bookmarkStart w:id="3" w:name="_Toc499033908"/>
      <w:r>
        <w:rPr>
          <w:rFonts w:eastAsia="楷体_GB2312" w:hint="eastAsia"/>
          <w:b/>
          <w:sz w:val="32"/>
          <w:szCs w:val="32"/>
        </w:rPr>
        <w:t>（二）</w:t>
      </w:r>
      <w:bookmarkEnd w:id="3"/>
      <w:r>
        <w:rPr>
          <w:rFonts w:eastAsia="楷体_GB2312" w:hint="eastAsia"/>
          <w:b/>
          <w:sz w:val="32"/>
          <w:szCs w:val="32"/>
        </w:rPr>
        <w:t>证候诊断标准</w:t>
      </w:r>
    </w:p>
    <w:p w14:paraId="1D12D7B1" w14:textId="77777777" w:rsidR="002C5EF7" w:rsidRDefault="00F40349" w:rsidP="00924229">
      <w:pPr>
        <w:adjustRightInd w:val="0"/>
        <w:snapToGrid w:val="0"/>
        <w:spacing w:line="560" w:lineRule="exact"/>
        <w:ind w:firstLineChars="200" w:firstLine="640"/>
        <w:rPr>
          <w:rFonts w:eastAsia="仿宋_GB2312"/>
          <w:sz w:val="32"/>
          <w:szCs w:val="32"/>
        </w:rPr>
      </w:pPr>
      <w:r>
        <w:rPr>
          <w:rFonts w:eastAsia="仿宋_GB2312" w:hint="eastAsia"/>
          <w:sz w:val="32"/>
          <w:szCs w:val="32"/>
        </w:rPr>
        <w:t>中兽医临床证候诊断标准可以参照有关国家标准、行业标准或团体标准等进行制定，如无适用的诊断标准，可自行制定并经专家论证达成共识。证候诊断构成要素可采用定性或半定量方式，或主次症的方法，可制定具有中兽医特色的证候诊断量表，满足</w:t>
      </w:r>
      <w:r>
        <w:rPr>
          <w:rFonts w:eastAsia="仿宋_GB2312"/>
          <w:sz w:val="32"/>
          <w:szCs w:val="32"/>
        </w:rPr>
        <w:t>科学性、合理性，并具有临床实际可操作性。</w:t>
      </w:r>
      <w:r>
        <w:rPr>
          <w:rFonts w:eastAsia="仿宋_GB2312" w:hint="eastAsia"/>
          <w:sz w:val="32"/>
          <w:szCs w:val="32"/>
        </w:rPr>
        <w:t>牛外感风寒证</w:t>
      </w:r>
      <w:r>
        <w:rPr>
          <w:rFonts w:eastAsia="仿宋_GB2312"/>
          <w:sz w:val="32"/>
          <w:szCs w:val="32"/>
        </w:rPr>
        <w:t>中</w:t>
      </w:r>
      <w:r>
        <w:rPr>
          <w:rFonts w:eastAsia="仿宋_GB2312" w:hint="eastAsia"/>
          <w:sz w:val="32"/>
          <w:szCs w:val="32"/>
        </w:rPr>
        <w:t>兽</w:t>
      </w:r>
      <w:r>
        <w:rPr>
          <w:rFonts w:eastAsia="仿宋_GB2312"/>
          <w:sz w:val="32"/>
          <w:szCs w:val="32"/>
        </w:rPr>
        <w:t>医</w:t>
      </w:r>
      <w:r>
        <w:rPr>
          <w:rFonts w:eastAsia="仿宋_GB2312" w:hint="eastAsia"/>
          <w:sz w:val="32"/>
          <w:szCs w:val="32"/>
        </w:rPr>
        <w:t>临床</w:t>
      </w:r>
      <w:r>
        <w:rPr>
          <w:rFonts w:eastAsia="仿宋_GB2312"/>
          <w:sz w:val="32"/>
          <w:szCs w:val="32"/>
        </w:rPr>
        <w:t>证候诊断标准如下：</w:t>
      </w:r>
    </w:p>
    <w:p w14:paraId="76E96FAC" w14:textId="77777777" w:rsidR="002C5EF7" w:rsidRPr="00924229" w:rsidRDefault="00F40349" w:rsidP="001615AB">
      <w:pPr>
        <w:spacing w:line="560" w:lineRule="exact"/>
        <w:ind w:firstLineChars="200" w:firstLine="640"/>
        <w:rPr>
          <w:rFonts w:eastAsia="仿宋_GB2312"/>
          <w:bCs/>
          <w:sz w:val="32"/>
          <w:szCs w:val="32"/>
        </w:rPr>
      </w:pPr>
      <w:r w:rsidRPr="001615AB">
        <w:rPr>
          <w:rFonts w:eastAsia="仿宋_GB2312" w:hint="eastAsia"/>
          <w:bCs/>
          <w:sz w:val="32"/>
          <w:szCs w:val="32"/>
        </w:rPr>
        <w:t>主症：</w:t>
      </w:r>
      <w:r w:rsidRPr="00924229">
        <w:rPr>
          <w:rFonts w:eastAsia="仿宋_GB2312" w:hint="eastAsia"/>
          <w:bCs/>
          <w:sz w:val="32"/>
          <w:szCs w:val="32"/>
        </w:rPr>
        <w:t>恶寒、鼻流清涕、发热、咳嗽</w:t>
      </w:r>
      <w:r w:rsidRPr="00924229">
        <w:rPr>
          <w:rFonts w:eastAsia="仿宋_GB2312"/>
          <w:bCs/>
          <w:sz w:val="32"/>
          <w:szCs w:val="32"/>
        </w:rPr>
        <w:t>、</w:t>
      </w:r>
      <w:r w:rsidRPr="00924229">
        <w:rPr>
          <w:rFonts w:eastAsia="仿宋_GB2312" w:hint="eastAsia"/>
          <w:bCs/>
          <w:sz w:val="32"/>
          <w:szCs w:val="32"/>
        </w:rPr>
        <w:t>鼻寒耳冷。</w:t>
      </w:r>
    </w:p>
    <w:p w14:paraId="746E1989" w14:textId="77777777" w:rsidR="002C5EF7" w:rsidRPr="00924229" w:rsidRDefault="00F40349" w:rsidP="001615AB">
      <w:pPr>
        <w:spacing w:line="560" w:lineRule="exact"/>
        <w:ind w:firstLineChars="200" w:firstLine="640"/>
        <w:rPr>
          <w:rFonts w:eastAsia="仿宋_GB2312"/>
          <w:bCs/>
          <w:sz w:val="32"/>
          <w:szCs w:val="32"/>
        </w:rPr>
      </w:pPr>
      <w:r w:rsidRPr="001615AB">
        <w:rPr>
          <w:rFonts w:eastAsia="仿宋_GB2312" w:hint="eastAsia"/>
          <w:bCs/>
          <w:sz w:val="32"/>
          <w:szCs w:val="32"/>
        </w:rPr>
        <w:t>次症：</w:t>
      </w:r>
      <w:r w:rsidRPr="00924229">
        <w:rPr>
          <w:rFonts w:eastAsia="仿宋_GB2312" w:hint="eastAsia"/>
          <w:bCs/>
          <w:sz w:val="32"/>
          <w:szCs w:val="32"/>
        </w:rPr>
        <w:t>鼻镜湿润、鼻汗涔涔、呼吸快、尿液清长、口色青白，苔薄白、精神倦怠、采食减少。</w:t>
      </w:r>
    </w:p>
    <w:p w14:paraId="3ED686F1" w14:textId="77777777" w:rsidR="002C5EF7" w:rsidRDefault="00F40349" w:rsidP="001615AB">
      <w:pPr>
        <w:spacing w:line="560" w:lineRule="exact"/>
        <w:ind w:firstLineChars="200" w:firstLine="640"/>
        <w:rPr>
          <w:rFonts w:eastAsia="仿宋_GB2312"/>
          <w:sz w:val="32"/>
          <w:szCs w:val="32"/>
        </w:rPr>
      </w:pPr>
      <w:r w:rsidRPr="00924229">
        <w:rPr>
          <w:rFonts w:eastAsia="仿宋_GB2312" w:hint="eastAsia"/>
          <w:bCs/>
          <w:sz w:val="32"/>
          <w:szCs w:val="32"/>
        </w:rPr>
        <w:t>诊断标准：具备全部</w:t>
      </w:r>
      <w:r>
        <w:rPr>
          <w:rFonts w:eastAsia="仿宋_GB2312" w:hint="eastAsia"/>
          <w:sz w:val="32"/>
          <w:szCs w:val="32"/>
        </w:rPr>
        <w:t>主症和</w:t>
      </w:r>
      <w:r>
        <w:rPr>
          <w:rFonts w:eastAsia="仿宋_GB2312" w:hint="eastAsia"/>
          <w:sz w:val="32"/>
          <w:szCs w:val="32"/>
        </w:rPr>
        <w:t>2</w:t>
      </w:r>
      <w:r>
        <w:rPr>
          <w:rFonts w:eastAsia="仿宋_GB2312" w:hint="eastAsia"/>
          <w:sz w:val="32"/>
          <w:szCs w:val="32"/>
        </w:rPr>
        <w:t>项以上次症，即可判为牛外感风寒证。</w:t>
      </w:r>
    </w:p>
    <w:p w14:paraId="4703B43A" w14:textId="77777777" w:rsidR="002C5EF7" w:rsidRDefault="00F40349" w:rsidP="00924229">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bookmarkStart w:id="4" w:name="_Hlk140918227"/>
      <w:r>
        <w:rPr>
          <w:rFonts w:eastAsia="楷体_GB2312" w:hint="eastAsia"/>
          <w:b/>
          <w:sz w:val="32"/>
          <w:szCs w:val="32"/>
        </w:rPr>
        <w:t>症状评分</w:t>
      </w:r>
      <w:bookmarkEnd w:id="4"/>
      <w:r>
        <w:rPr>
          <w:rFonts w:eastAsia="楷体_GB2312" w:hint="eastAsia"/>
          <w:b/>
          <w:sz w:val="32"/>
          <w:szCs w:val="32"/>
        </w:rPr>
        <w:t>赋值</w:t>
      </w:r>
    </w:p>
    <w:p w14:paraId="7425E564" w14:textId="7AB5CA99" w:rsidR="002C5EF7" w:rsidRDefault="00F40349" w:rsidP="001615AB">
      <w:pPr>
        <w:adjustRightInd w:val="0"/>
        <w:snapToGrid w:val="0"/>
        <w:spacing w:line="560" w:lineRule="exact"/>
        <w:ind w:firstLineChars="200" w:firstLine="640"/>
        <w:rPr>
          <w:rFonts w:eastAsia="仿宋_GB2312"/>
          <w:sz w:val="32"/>
          <w:szCs w:val="32"/>
        </w:rPr>
      </w:pPr>
      <w:r>
        <w:rPr>
          <w:rFonts w:eastAsia="仿宋_GB2312"/>
          <w:sz w:val="32"/>
          <w:szCs w:val="32"/>
        </w:rPr>
        <w:t>根据牛外感风寒证症状</w:t>
      </w:r>
      <w:r>
        <w:rPr>
          <w:rFonts w:eastAsia="仿宋_GB2312" w:hint="eastAsia"/>
          <w:sz w:val="32"/>
          <w:szCs w:val="32"/>
        </w:rPr>
        <w:t>的严重程度</w:t>
      </w:r>
      <w:r>
        <w:rPr>
          <w:rFonts w:eastAsia="仿宋_GB2312"/>
          <w:sz w:val="32"/>
          <w:szCs w:val="32"/>
        </w:rPr>
        <w:t>制定症状评分</w:t>
      </w:r>
      <w:r>
        <w:rPr>
          <w:rFonts w:eastAsia="仿宋_GB2312" w:hint="eastAsia"/>
          <w:sz w:val="32"/>
          <w:szCs w:val="32"/>
        </w:rPr>
        <w:t>，见表</w:t>
      </w:r>
      <w:r>
        <w:rPr>
          <w:rFonts w:eastAsia="仿宋_GB2312" w:hint="eastAsia"/>
          <w:sz w:val="32"/>
          <w:szCs w:val="32"/>
        </w:rPr>
        <w:t>1</w:t>
      </w:r>
      <w:r>
        <w:rPr>
          <w:rFonts w:eastAsia="仿宋_GB2312" w:hint="eastAsia"/>
          <w:sz w:val="32"/>
          <w:szCs w:val="32"/>
        </w:rPr>
        <w:t>、表</w:t>
      </w:r>
      <w:r>
        <w:rPr>
          <w:rFonts w:eastAsia="仿宋_GB2312" w:hint="eastAsia"/>
          <w:sz w:val="32"/>
          <w:szCs w:val="32"/>
        </w:rPr>
        <w:t>2</w:t>
      </w:r>
      <w:r>
        <w:rPr>
          <w:rFonts w:eastAsia="仿宋_GB2312" w:hint="eastAsia"/>
          <w:sz w:val="32"/>
          <w:szCs w:val="32"/>
        </w:rPr>
        <w:t>。</w:t>
      </w:r>
    </w:p>
    <w:p w14:paraId="15728129" w14:textId="195B8338" w:rsidR="00C00EBB" w:rsidRPr="00C00EBB" w:rsidRDefault="00C00EBB" w:rsidP="00C00EBB">
      <w:pPr>
        <w:adjustRightInd w:val="0"/>
        <w:snapToGrid w:val="0"/>
        <w:spacing w:line="560" w:lineRule="exact"/>
        <w:jc w:val="center"/>
        <w:rPr>
          <w:rFonts w:eastAsia="仿宋_GB2312"/>
          <w:sz w:val="32"/>
          <w:szCs w:val="32"/>
        </w:rPr>
      </w:pPr>
      <w:r w:rsidRPr="00C00EBB">
        <w:rPr>
          <w:rFonts w:eastAsia="仿宋_GB2312"/>
          <w:sz w:val="32"/>
          <w:szCs w:val="32"/>
        </w:rPr>
        <w:t>表</w:t>
      </w:r>
      <w:r>
        <w:rPr>
          <w:rFonts w:eastAsia="仿宋_GB2312"/>
          <w:sz w:val="32"/>
          <w:szCs w:val="32"/>
        </w:rPr>
        <w:t>1</w:t>
      </w:r>
      <w:r w:rsidRPr="00C00EBB">
        <w:rPr>
          <w:rFonts w:eastAsia="仿宋_GB2312"/>
          <w:sz w:val="32"/>
          <w:szCs w:val="32"/>
        </w:rPr>
        <w:t xml:space="preserve"> </w:t>
      </w:r>
      <w:r w:rsidRPr="00C00EBB">
        <w:rPr>
          <w:rFonts w:eastAsia="仿宋_GB2312"/>
          <w:sz w:val="32"/>
          <w:szCs w:val="32"/>
        </w:rPr>
        <w:t>牛外感风寒证主症评分标准</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098"/>
        <w:gridCol w:w="1385"/>
        <w:gridCol w:w="2210"/>
        <w:gridCol w:w="2045"/>
        <w:gridCol w:w="1784"/>
      </w:tblGrid>
      <w:tr w:rsidR="00C00EBB" w:rsidRPr="00F862EC" w14:paraId="73EB8AEF" w14:textId="77777777" w:rsidTr="00415474">
        <w:trPr>
          <w:trHeight w:val="358"/>
          <w:jc w:val="center"/>
        </w:trPr>
        <w:tc>
          <w:tcPr>
            <w:tcW w:w="1098" w:type="dxa"/>
            <w:tcBorders>
              <w:top w:val="single" w:sz="8" w:space="0" w:color="auto"/>
              <w:bottom w:val="single" w:sz="4" w:space="0" w:color="auto"/>
            </w:tcBorders>
            <w:vAlign w:val="center"/>
          </w:tcPr>
          <w:p w14:paraId="64D1AE2D" w14:textId="77777777" w:rsidR="00C00EBB" w:rsidRPr="00C00EBB" w:rsidRDefault="00C00EBB" w:rsidP="00415474">
            <w:pPr>
              <w:adjustRightInd w:val="0"/>
              <w:snapToGrid w:val="0"/>
              <w:spacing w:line="560" w:lineRule="exact"/>
              <w:ind w:firstLineChars="100" w:firstLine="211"/>
              <w:jc w:val="center"/>
              <w:rPr>
                <w:rFonts w:eastAsia="仿宋_GB2312"/>
                <w:b/>
                <w:bCs/>
                <w:szCs w:val="21"/>
              </w:rPr>
            </w:pPr>
            <w:r w:rsidRPr="00C00EBB">
              <w:rPr>
                <w:rFonts w:eastAsia="仿宋_GB2312"/>
                <w:b/>
                <w:bCs/>
                <w:szCs w:val="21"/>
              </w:rPr>
              <w:lastRenderedPageBreak/>
              <w:t>指标</w:t>
            </w:r>
          </w:p>
        </w:tc>
        <w:tc>
          <w:tcPr>
            <w:tcW w:w="1385" w:type="dxa"/>
            <w:tcBorders>
              <w:top w:val="single" w:sz="8" w:space="0" w:color="auto"/>
              <w:bottom w:val="single" w:sz="4" w:space="0" w:color="auto"/>
            </w:tcBorders>
            <w:vAlign w:val="center"/>
          </w:tcPr>
          <w:p w14:paraId="5B13DB99" w14:textId="77777777" w:rsidR="00C00EBB" w:rsidRPr="00C00EBB" w:rsidRDefault="00C00EBB" w:rsidP="00415474">
            <w:pPr>
              <w:adjustRightInd w:val="0"/>
              <w:snapToGrid w:val="0"/>
              <w:spacing w:line="560" w:lineRule="exact"/>
              <w:jc w:val="center"/>
              <w:rPr>
                <w:rFonts w:eastAsia="仿宋_GB2312"/>
                <w:b/>
                <w:bCs/>
                <w:szCs w:val="21"/>
              </w:rPr>
            </w:pPr>
            <w:r w:rsidRPr="00C00EBB">
              <w:rPr>
                <w:rFonts w:eastAsia="仿宋_GB2312"/>
                <w:b/>
                <w:bCs/>
                <w:szCs w:val="21"/>
              </w:rPr>
              <w:t>正常（</w:t>
            </w:r>
            <w:r w:rsidRPr="00C00EBB">
              <w:rPr>
                <w:rFonts w:eastAsia="仿宋_GB2312"/>
                <w:b/>
                <w:bCs/>
                <w:szCs w:val="21"/>
              </w:rPr>
              <w:t>0</w:t>
            </w:r>
            <w:r w:rsidRPr="00C00EBB">
              <w:rPr>
                <w:rFonts w:eastAsia="仿宋_GB2312"/>
                <w:b/>
                <w:bCs/>
                <w:szCs w:val="21"/>
              </w:rPr>
              <w:t>分）</w:t>
            </w:r>
          </w:p>
        </w:tc>
        <w:tc>
          <w:tcPr>
            <w:tcW w:w="2210" w:type="dxa"/>
            <w:tcBorders>
              <w:top w:val="single" w:sz="8" w:space="0" w:color="auto"/>
              <w:bottom w:val="single" w:sz="4" w:space="0" w:color="auto"/>
            </w:tcBorders>
            <w:vAlign w:val="center"/>
          </w:tcPr>
          <w:p w14:paraId="23DC61F6" w14:textId="77777777" w:rsidR="00C00EBB" w:rsidRPr="00C00EBB" w:rsidRDefault="00C00EBB" w:rsidP="00415474">
            <w:pPr>
              <w:adjustRightInd w:val="0"/>
              <w:snapToGrid w:val="0"/>
              <w:spacing w:line="560" w:lineRule="exact"/>
              <w:ind w:firstLineChars="200" w:firstLine="422"/>
              <w:jc w:val="center"/>
              <w:rPr>
                <w:rFonts w:eastAsia="仿宋_GB2312"/>
                <w:b/>
                <w:bCs/>
                <w:szCs w:val="21"/>
              </w:rPr>
            </w:pPr>
            <w:r w:rsidRPr="00C00EBB">
              <w:rPr>
                <w:rFonts w:eastAsia="仿宋_GB2312"/>
                <w:b/>
                <w:bCs/>
                <w:szCs w:val="21"/>
              </w:rPr>
              <w:t>轻度（</w:t>
            </w:r>
            <w:r w:rsidRPr="00C00EBB">
              <w:rPr>
                <w:rFonts w:eastAsia="仿宋_GB2312"/>
                <w:b/>
                <w:bCs/>
                <w:szCs w:val="21"/>
              </w:rPr>
              <w:t>2</w:t>
            </w:r>
            <w:r w:rsidRPr="00C00EBB">
              <w:rPr>
                <w:rFonts w:eastAsia="仿宋_GB2312"/>
                <w:b/>
                <w:bCs/>
                <w:szCs w:val="21"/>
              </w:rPr>
              <w:t>分）</w:t>
            </w:r>
          </w:p>
        </w:tc>
        <w:tc>
          <w:tcPr>
            <w:tcW w:w="2045" w:type="dxa"/>
            <w:tcBorders>
              <w:top w:val="single" w:sz="8" w:space="0" w:color="auto"/>
              <w:bottom w:val="single" w:sz="4" w:space="0" w:color="auto"/>
            </w:tcBorders>
            <w:vAlign w:val="center"/>
          </w:tcPr>
          <w:p w14:paraId="58A6EAFD" w14:textId="77777777" w:rsidR="00C00EBB" w:rsidRPr="00C00EBB" w:rsidRDefault="00C00EBB" w:rsidP="00415474">
            <w:pPr>
              <w:adjustRightInd w:val="0"/>
              <w:snapToGrid w:val="0"/>
              <w:spacing w:line="560" w:lineRule="exact"/>
              <w:jc w:val="center"/>
              <w:rPr>
                <w:rFonts w:eastAsia="仿宋_GB2312"/>
                <w:b/>
                <w:bCs/>
                <w:szCs w:val="21"/>
              </w:rPr>
            </w:pPr>
            <w:r w:rsidRPr="00C00EBB">
              <w:rPr>
                <w:rFonts w:eastAsia="仿宋_GB2312"/>
                <w:b/>
                <w:bCs/>
                <w:szCs w:val="21"/>
              </w:rPr>
              <w:t>中度（</w:t>
            </w:r>
            <w:r w:rsidRPr="00C00EBB">
              <w:rPr>
                <w:rFonts w:eastAsia="仿宋_GB2312"/>
                <w:b/>
                <w:bCs/>
                <w:szCs w:val="21"/>
              </w:rPr>
              <w:t>4</w:t>
            </w:r>
            <w:r w:rsidRPr="00C00EBB">
              <w:rPr>
                <w:rFonts w:eastAsia="仿宋_GB2312"/>
                <w:b/>
                <w:bCs/>
                <w:szCs w:val="21"/>
              </w:rPr>
              <w:t>分）</w:t>
            </w:r>
          </w:p>
        </w:tc>
        <w:tc>
          <w:tcPr>
            <w:tcW w:w="1784" w:type="dxa"/>
            <w:tcBorders>
              <w:top w:val="single" w:sz="8" w:space="0" w:color="auto"/>
              <w:bottom w:val="single" w:sz="4" w:space="0" w:color="auto"/>
            </w:tcBorders>
            <w:vAlign w:val="center"/>
          </w:tcPr>
          <w:p w14:paraId="1691D6D6" w14:textId="77777777" w:rsidR="00C00EBB" w:rsidRPr="00C00EBB" w:rsidRDefault="00C00EBB" w:rsidP="00415474">
            <w:pPr>
              <w:adjustRightInd w:val="0"/>
              <w:snapToGrid w:val="0"/>
              <w:spacing w:line="560" w:lineRule="exact"/>
              <w:jc w:val="center"/>
              <w:rPr>
                <w:rFonts w:eastAsia="仿宋_GB2312"/>
                <w:b/>
                <w:bCs/>
                <w:szCs w:val="21"/>
              </w:rPr>
            </w:pPr>
            <w:r w:rsidRPr="00C00EBB">
              <w:rPr>
                <w:rFonts w:eastAsia="仿宋_GB2312"/>
                <w:b/>
                <w:bCs/>
                <w:szCs w:val="21"/>
              </w:rPr>
              <w:t>重度（</w:t>
            </w:r>
            <w:r w:rsidRPr="00C00EBB">
              <w:rPr>
                <w:rFonts w:eastAsia="仿宋_GB2312"/>
                <w:b/>
                <w:bCs/>
                <w:szCs w:val="21"/>
              </w:rPr>
              <w:t>6</w:t>
            </w:r>
            <w:r w:rsidRPr="00C00EBB">
              <w:rPr>
                <w:rFonts w:eastAsia="仿宋_GB2312"/>
                <w:b/>
                <w:bCs/>
                <w:szCs w:val="21"/>
              </w:rPr>
              <w:t>分）</w:t>
            </w:r>
          </w:p>
        </w:tc>
      </w:tr>
      <w:tr w:rsidR="00C00EBB" w:rsidRPr="00F862EC" w14:paraId="30827FFE" w14:textId="77777777" w:rsidTr="00415474">
        <w:trPr>
          <w:trHeight w:val="712"/>
          <w:jc w:val="center"/>
        </w:trPr>
        <w:tc>
          <w:tcPr>
            <w:tcW w:w="1098" w:type="dxa"/>
            <w:tcBorders>
              <w:top w:val="single" w:sz="4" w:space="0" w:color="auto"/>
              <w:bottom w:val="nil"/>
            </w:tcBorders>
            <w:vAlign w:val="center"/>
          </w:tcPr>
          <w:p w14:paraId="2E3DDFB2"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体温</w:t>
            </w:r>
          </w:p>
        </w:tc>
        <w:tc>
          <w:tcPr>
            <w:tcW w:w="1385" w:type="dxa"/>
            <w:tcBorders>
              <w:top w:val="single" w:sz="4" w:space="0" w:color="auto"/>
              <w:bottom w:val="nil"/>
            </w:tcBorders>
            <w:vAlign w:val="center"/>
          </w:tcPr>
          <w:p w14:paraId="16BB86A9"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正常</w:t>
            </w:r>
          </w:p>
        </w:tc>
        <w:tc>
          <w:tcPr>
            <w:tcW w:w="2210" w:type="dxa"/>
            <w:tcBorders>
              <w:top w:val="single" w:sz="4" w:space="0" w:color="auto"/>
              <w:bottom w:val="nil"/>
            </w:tcBorders>
            <w:vAlign w:val="center"/>
          </w:tcPr>
          <w:p w14:paraId="3329B073"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0.5℃≤ΔT</w:t>
            </w:r>
            <w:r w:rsidRPr="00C00EBB">
              <w:rPr>
                <w:rFonts w:eastAsia="仿宋_GB2312"/>
                <w:szCs w:val="21"/>
              </w:rPr>
              <w:t>＜</w:t>
            </w:r>
            <w:r w:rsidRPr="00C00EBB">
              <w:rPr>
                <w:rFonts w:eastAsia="仿宋_GB2312"/>
                <w:szCs w:val="21"/>
              </w:rPr>
              <w:t>0.8℃</w:t>
            </w:r>
          </w:p>
        </w:tc>
        <w:tc>
          <w:tcPr>
            <w:tcW w:w="2045" w:type="dxa"/>
            <w:tcBorders>
              <w:top w:val="single" w:sz="4" w:space="0" w:color="auto"/>
              <w:bottom w:val="nil"/>
            </w:tcBorders>
            <w:vAlign w:val="center"/>
          </w:tcPr>
          <w:p w14:paraId="61630850"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0.8℃≤ΔT</w:t>
            </w:r>
            <w:r w:rsidRPr="00C00EBB">
              <w:rPr>
                <w:rFonts w:eastAsia="仿宋_GB2312"/>
                <w:szCs w:val="21"/>
              </w:rPr>
              <w:t>＜</w:t>
            </w:r>
            <w:r w:rsidRPr="00C00EBB">
              <w:rPr>
                <w:rFonts w:eastAsia="仿宋_GB2312"/>
                <w:szCs w:val="21"/>
              </w:rPr>
              <w:t>1.3℃</w:t>
            </w:r>
          </w:p>
        </w:tc>
        <w:tc>
          <w:tcPr>
            <w:tcW w:w="1784" w:type="dxa"/>
            <w:tcBorders>
              <w:top w:val="single" w:sz="4" w:space="0" w:color="auto"/>
              <w:bottom w:val="nil"/>
            </w:tcBorders>
            <w:vAlign w:val="center"/>
          </w:tcPr>
          <w:p w14:paraId="2F42CB6A"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ΔT≥1.3℃</w:t>
            </w:r>
          </w:p>
        </w:tc>
      </w:tr>
      <w:tr w:rsidR="00C00EBB" w:rsidRPr="00F862EC" w14:paraId="3D0CED84" w14:textId="77777777" w:rsidTr="00415474">
        <w:trPr>
          <w:trHeight w:val="383"/>
          <w:jc w:val="center"/>
        </w:trPr>
        <w:tc>
          <w:tcPr>
            <w:tcW w:w="1098" w:type="dxa"/>
          </w:tcPr>
          <w:p w14:paraId="19750EFD"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鼻涕</w:t>
            </w:r>
          </w:p>
        </w:tc>
        <w:tc>
          <w:tcPr>
            <w:tcW w:w="1385" w:type="dxa"/>
          </w:tcPr>
          <w:p w14:paraId="3ACCBFF9"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无</w:t>
            </w:r>
          </w:p>
        </w:tc>
        <w:tc>
          <w:tcPr>
            <w:tcW w:w="2210" w:type="dxa"/>
          </w:tcPr>
          <w:p w14:paraId="5BED98E9"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偶有少量清涕</w:t>
            </w:r>
          </w:p>
        </w:tc>
        <w:tc>
          <w:tcPr>
            <w:tcW w:w="2045" w:type="dxa"/>
          </w:tcPr>
          <w:p w14:paraId="450FFA3C"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时有多量清涕流出</w:t>
            </w:r>
          </w:p>
        </w:tc>
        <w:tc>
          <w:tcPr>
            <w:tcW w:w="1784" w:type="dxa"/>
          </w:tcPr>
          <w:p w14:paraId="10FFB69A"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清涕不断</w:t>
            </w:r>
          </w:p>
        </w:tc>
      </w:tr>
      <w:tr w:rsidR="00C00EBB" w:rsidRPr="00F862EC" w14:paraId="4A5A40A0" w14:textId="77777777" w:rsidTr="00415474">
        <w:trPr>
          <w:trHeight w:val="409"/>
          <w:jc w:val="center"/>
        </w:trPr>
        <w:tc>
          <w:tcPr>
            <w:tcW w:w="1098" w:type="dxa"/>
          </w:tcPr>
          <w:p w14:paraId="3400A3F1"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咳嗽</w:t>
            </w:r>
          </w:p>
        </w:tc>
        <w:tc>
          <w:tcPr>
            <w:tcW w:w="1385" w:type="dxa"/>
            <w:vAlign w:val="center"/>
          </w:tcPr>
          <w:p w14:paraId="179E16DD"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无</w:t>
            </w:r>
          </w:p>
        </w:tc>
        <w:tc>
          <w:tcPr>
            <w:tcW w:w="2210" w:type="dxa"/>
            <w:vAlign w:val="center"/>
          </w:tcPr>
          <w:p w14:paraId="26DFEC9C"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偶有咳嗽</w:t>
            </w:r>
          </w:p>
        </w:tc>
        <w:tc>
          <w:tcPr>
            <w:tcW w:w="2045" w:type="dxa"/>
            <w:vAlign w:val="center"/>
          </w:tcPr>
          <w:p w14:paraId="7784EBB8"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间歇性咳嗽</w:t>
            </w:r>
          </w:p>
        </w:tc>
        <w:tc>
          <w:tcPr>
            <w:tcW w:w="1784" w:type="dxa"/>
            <w:vAlign w:val="center"/>
          </w:tcPr>
          <w:p w14:paraId="4153E3E3"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咳嗽频繁，呼吸增速</w:t>
            </w:r>
          </w:p>
        </w:tc>
      </w:tr>
      <w:tr w:rsidR="00C00EBB" w:rsidRPr="00F862EC" w14:paraId="1B1B923C" w14:textId="77777777" w:rsidTr="00415474">
        <w:trPr>
          <w:trHeight w:val="409"/>
          <w:jc w:val="center"/>
        </w:trPr>
        <w:tc>
          <w:tcPr>
            <w:tcW w:w="1098" w:type="dxa"/>
            <w:vAlign w:val="center"/>
          </w:tcPr>
          <w:p w14:paraId="036E06B5"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恶寒</w:t>
            </w:r>
          </w:p>
        </w:tc>
        <w:tc>
          <w:tcPr>
            <w:tcW w:w="1385" w:type="dxa"/>
            <w:vAlign w:val="center"/>
          </w:tcPr>
          <w:p w14:paraId="2F03F34B"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无</w:t>
            </w:r>
          </w:p>
        </w:tc>
        <w:tc>
          <w:tcPr>
            <w:tcW w:w="2210" w:type="dxa"/>
            <w:vAlign w:val="center"/>
          </w:tcPr>
          <w:p w14:paraId="45995E29"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轻微</w:t>
            </w:r>
          </w:p>
        </w:tc>
        <w:tc>
          <w:tcPr>
            <w:tcW w:w="2045" w:type="dxa"/>
            <w:vAlign w:val="center"/>
          </w:tcPr>
          <w:p w14:paraId="27BE2389"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明显</w:t>
            </w:r>
          </w:p>
        </w:tc>
        <w:tc>
          <w:tcPr>
            <w:tcW w:w="1784" w:type="dxa"/>
            <w:vAlign w:val="center"/>
          </w:tcPr>
          <w:p w14:paraId="4466140A"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严重</w:t>
            </w:r>
          </w:p>
        </w:tc>
      </w:tr>
      <w:tr w:rsidR="00C00EBB" w:rsidRPr="00F862EC" w14:paraId="5F2F01C3" w14:textId="77777777" w:rsidTr="00415474">
        <w:trPr>
          <w:trHeight w:val="409"/>
          <w:jc w:val="center"/>
        </w:trPr>
        <w:tc>
          <w:tcPr>
            <w:tcW w:w="1098" w:type="dxa"/>
            <w:tcBorders>
              <w:bottom w:val="single" w:sz="8" w:space="0" w:color="auto"/>
            </w:tcBorders>
            <w:vAlign w:val="center"/>
          </w:tcPr>
          <w:p w14:paraId="0BC5D008"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鼻寒耳冷</w:t>
            </w:r>
          </w:p>
        </w:tc>
        <w:tc>
          <w:tcPr>
            <w:tcW w:w="1385" w:type="dxa"/>
            <w:tcBorders>
              <w:bottom w:val="single" w:sz="8" w:space="0" w:color="auto"/>
            </w:tcBorders>
            <w:vAlign w:val="center"/>
          </w:tcPr>
          <w:p w14:paraId="3ECA7A47"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无</w:t>
            </w:r>
          </w:p>
        </w:tc>
        <w:tc>
          <w:tcPr>
            <w:tcW w:w="2210" w:type="dxa"/>
            <w:tcBorders>
              <w:bottom w:val="single" w:sz="8" w:space="0" w:color="auto"/>
            </w:tcBorders>
            <w:vAlign w:val="center"/>
          </w:tcPr>
          <w:p w14:paraId="78C1D88C"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轻微</w:t>
            </w:r>
          </w:p>
        </w:tc>
        <w:tc>
          <w:tcPr>
            <w:tcW w:w="2045" w:type="dxa"/>
            <w:tcBorders>
              <w:bottom w:val="single" w:sz="8" w:space="0" w:color="auto"/>
            </w:tcBorders>
            <w:vAlign w:val="center"/>
          </w:tcPr>
          <w:p w14:paraId="3F9D5C22"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明显</w:t>
            </w:r>
          </w:p>
        </w:tc>
        <w:tc>
          <w:tcPr>
            <w:tcW w:w="1784" w:type="dxa"/>
            <w:tcBorders>
              <w:bottom w:val="single" w:sz="8" w:space="0" w:color="auto"/>
            </w:tcBorders>
            <w:vAlign w:val="center"/>
          </w:tcPr>
          <w:p w14:paraId="12E46623" w14:textId="77777777" w:rsidR="00C00EBB" w:rsidRPr="00C00EBB" w:rsidRDefault="00C00EBB" w:rsidP="00415474">
            <w:pPr>
              <w:adjustRightInd w:val="0"/>
              <w:snapToGrid w:val="0"/>
              <w:spacing w:line="560" w:lineRule="exact"/>
              <w:jc w:val="center"/>
              <w:rPr>
                <w:rFonts w:eastAsia="仿宋_GB2312"/>
                <w:szCs w:val="21"/>
              </w:rPr>
            </w:pPr>
            <w:r w:rsidRPr="00C00EBB">
              <w:rPr>
                <w:rFonts w:eastAsia="仿宋_GB2312"/>
                <w:szCs w:val="21"/>
              </w:rPr>
              <w:t>严重</w:t>
            </w:r>
          </w:p>
        </w:tc>
      </w:tr>
    </w:tbl>
    <w:p w14:paraId="296386C2" w14:textId="4A1B1117" w:rsidR="00C00EBB" w:rsidRPr="00C00EBB" w:rsidRDefault="00C00EBB" w:rsidP="00C00EBB">
      <w:pPr>
        <w:adjustRightInd w:val="0"/>
        <w:snapToGrid w:val="0"/>
        <w:spacing w:line="560" w:lineRule="exact"/>
        <w:jc w:val="center"/>
        <w:rPr>
          <w:rFonts w:eastAsia="仿宋_GB2312"/>
          <w:sz w:val="32"/>
          <w:szCs w:val="32"/>
        </w:rPr>
      </w:pPr>
      <w:r w:rsidRPr="00C00EBB">
        <w:rPr>
          <w:rFonts w:eastAsia="仿宋_GB2312" w:hint="eastAsia"/>
          <w:sz w:val="32"/>
          <w:szCs w:val="32"/>
        </w:rPr>
        <w:t>表</w:t>
      </w:r>
      <w:r w:rsidRPr="00C00EBB">
        <w:rPr>
          <w:rFonts w:eastAsia="仿宋_GB2312"/>
          <w:sz w:val="32"/>
          <w:szCs w:val="32"/>
        </w:rPr>
        <w:t>2</w:t>
      </w:r>
      <w:r w:rsidRPr="00C00EBB">
        <w:rPr>
          <w:rFonts w:eastAsia="仿宋_GB2312" w:hint="eastAsia"/>
          <w:sz w:val="32"/>
          <w:szCs w:val="32"/>
        </w:rPr>
        <w:t xml:space="preserve"> </w:t>
      </w:r>
      <w:r w:rsidRPr="00C00EBB">
        <w:rPr>
          <w:rFonts w:eastAsia="仿宋_GB2312" w:hint="eastAsia"/>
          <w:sz w:val="32"/>
          <w:szCs w:val="32"/>
        </w:rPr>
        <w:t>牛外感风寒证次症评分标准</w:t>
      </w:r>
    </w:p>
    <w:tbl>
      <w:tblPr>
        <w:tblW w:w="0" w:type="auto"/>
        <w:tblLook w:val="04A0" w:firstRow="1" w:lastRow="0" w:firstColumn="1" w:lastColumn="0" w:noHBand="0" w:noVBand="1"/>
      </w:tblPr>
      <w:tblGrid>
        <w:gridCol w:w="938"/>
        <w:gridCol w:w="1660"/>
        <w:gridCol w:w="2204"/>
        <w:gridCol w:w="1660"/>
        <w:gridCol w:w="1844"/>
      </w:tblGrid>
      <w:tr w:rsidR="00C00EBB" w14:paraId="43A38B4F" w14:textId="77777777" w:rsidTr="00415474">
        <w:tc>
          <w:tcPr>
            <w:tcW w:w="959" w:type="dxa"/>
            <w:tcBorders>
              <w:top w:val="single" w:sz="8" w:space="0" w:color="auto"/>
              <w:bottom w:val="single" w:sz="4" w:space="0" w:color="auto"/>
            </w:tcBorders>
            <w:shd w:val="clear" w:color="auto" w:fill="auto"/>
            <w:vAlign w:val="center"/>
          </w:tcPr>
          <w:p w14:paraId="6A35900C" w14:textId="77777777" w:rsidR="00C00EBB" w:rsidRPr="00C00EBB" w:rsidRDefault="00C00EBB" w:rsidP="00415474">
            <w:pPr>
              <w:spacing w:line="560" w:lineRule="exact"/>
              <w:jc w:val="center"/>
              <w:rPr>
                <w:rFonts w:eastAsia="仿宋_GB2312"/>
                <w:b/>
                <w:sz w:val="24"/>
              </w:rPr>
            </w:pPr>
            <w:r w:rsidRPr="00C00EBB">
              <w:rPr>
                <w:rFonts w:eastAsia="仿宋_GB2312"/>
                <w:b/>
                <w:bCs/>
                <w:szCs w:val="21"/>
              </w:rPr>
              <w:t>指标</w:t>
            </w:r>
          </w:p>
        </w:tc>
        <w:tc>
          <w:tcPr>
            <w:tcW w:w="1701" w:type="dxa"/>
            <w:tcBorders>
              <w:top w:val="single" w:sz="8" w:space="0" w:color="auto"/>
              <w:bottom w:val="single" w:sz="4" w:space="0" w:color="auto"/>
            </w:tcBorders>
            <w:shd w:val="clear" w:color="auto" w:fill="auto"/>
            <w:vAlign w:val="center"/>
          </w:tcPr>
          <w:p w14:paraId="23E418D1" w14:textId="77777777" w:rsidR="00C00EBB" w:rsidRPr="00C00EBB" w:rsidRDefault="00C00EBB" w:rsidP="00415474">
            <w:pPr>
              <w:spacing w:line="560" w:lineRule="exact"/>
              <w:jc w:val="center"/>
              <w:rPr>
                <w:rFonts w:eastAsia="仿宋_GB2312"/>
                <w:b/>
                <w:sz w:val="24"/>
              </w:rPr>
            </w:pPr>
            <w:r w:rsidRPr="00C00EBB">
              <w:rPr>
                <w:rFonts w:eastAsia="仿宋_GB2312"/>
                <w:b/>
                <w:bCs/>
                <w:szCs w:val="21"/>
              </w:rPr>
              <w:t>正常（</w:t>
            </w:r>
            <w:r w:rsidRPr="00C00EBB">
              <w:rPr>
                <w:rFonts w:eastAsia="仿宋_GB2312"/>
                <w:b/>
                <w:bCs/>
                <w:szCs w:val="21"/>
              </w:rPr>
              <w:t>0</w:t>
            </w:r>
            <w:r w:rsidRPr="00C00EBB">
              <w:rPr>
                <w:rFonts w:eastAsia="仿宋_GB2312"/>
                <w:b/>
                <w:bCs/>
                <w:szCs w:val="21"/>
              </w:rPr>
              <w:t>分）</w:t>
            </w:r>
          </w:p>
        </w:tc>
        <w:tc>
          <w:tcPr>
            <w:tcW w:w="2268" w:type="dxa"/>
            <w:tcBorders>
              <w:top w:val="single" w:sz="8" w:space="0" w:color="auto"/>
              <w:bottom w:val="single" w:sz="4" w:space="0" w:color="auto"/>
            </w:tcBorders>
            <w:shd w:val="clear" w:color="auto" w:fill="auto"/>
            <w:vAlign w:val="center"/>
          </w:tcPr>
          <w:p w14:paraId="0098D874" w14:textId="77777777" w:rsidR="00C00EBB" w:rsidRPr="00C00EBB" w:rsidRDefault="00C00EBB" w:rsidP="00415474">
            <w:pPr>
              <w:spacing w:line="560" w:lineRule="exact"/>
              <w:jc w:val="center"/>
              <w:rPr>
                <w:rFonts w:eastAsia="仿宋_GB2312"/>
                <w:b/>
                <w:sz w:val="24"/>
              </w:rPr>
            </w:pPr>
            <w:r w:rsidRPr="00C00EBB">
              <w:rPr>
                <w:rFonts w:eastAsia="仿宋_GB2312"/>
                <w:b/>
                <w:bCs/>
                <w:szCs w:val="21"/>
              </w:rPr>
              <w:t>轻度（</w:t>
            </w:r>
            <w:r w:rsidRPr="00C00EBB">
              <w:rPr>
                <w:rFonts w:eastAsia="仿宋_GB2312"/>
                <w:b/>
                <w:bCs/>
                <w:szCs w:val="21"/>
              </w:rPr>
              <w:t>1</w:t>
            </w:r>
            <w:r w:rsidRPr="00C00EBB">
              <w:rPr>
                <w:rFonts w:eastAsia="仿宋_GB2312"/>
                <w:b/>
                <w:bCs/>
                <w:szCs w:val="21"/>
              </w:rPr>
              <w:t>分）</w:t>
            </w:r>
          </w:p>
        </w:tc>
        <w:tc>
          <w:tcPr>
            <w:tcW w:w="1701" w:type="dxa"/>
            <w:tcBorders>
              <w:top w:val="single" w:sz="8" w:space="0" w:color="auto"/>
              <w:bottom w:val="single" w:sz="4" w:space="0" w:color="auto"/>
            </w:tcBorders>
            <w:shd w:val="clear" w:color="auto" w:fill="auto"/>
            <w:vAlign w:val="center"/>
          </w:tcPr>
          <w:p w14:paraId="02B49B68" w14:textId="77777777" w:rsidR="00C00EBB" w:rsidRPr="00C00EBB" w:rsidRDefault="00C00EBB" w:rsidP="00415474">
            <w:pPr>
              <w:spacing w:line="560" w:lineRule="exact"/>
              <w:jc w:val="center"/>
              <w:rPr>
                <w:rFonts w:eastAsia="仿宋_GB2312"/>
                <w:b/>
                <w:sz w:val="24"/>
              </w:rPr>
            </w:pPr>
            <w:r w:rsidRPr="00C00EBB">
              <w:rPr>
                <w:rFonts w:eastAsia="仿宋_GB2312"/>
                <w:b/>
                <w:bCs/>
                <w:szCs w:val="21"/>
              </w:rPr>
              <w:t>中度（</w:t>
            </w:r>
            <w:r w:rsidRPr="00C00EBB">
              <w:rPr>
                <w:rFonts w:eastAsia="仿宋_GB2312"/>
                <w:b/>
                <w:bCs/>
                <w:szCs w:val="21"/>
              </w:rPr>
              <w:t>2</w:t>
            </w:r>
            <w:r w:rsidRPr="00C00EBB">
              <w:rPr>
                <w:rFonts w:eastAsia="仿宋_GB2312"/>
                <w:b/>
                <w:bCs/>
                <w:szCs w:val="21"/>
              </w:rPr>
              <w:t>分）</w:t>
            </w:r>
          </w:p>
        </w:tc>
        <w:tc>
          <w:tcPr>
            <w:tcW w:w="1893" w:type="dxa"/>
            <w:tcBorders>
              <w:top w:val="single" w:sz="8" w:space="0" w:color="auto"/>
              <w:bottom w:val="single" w:sz="4" w:space="0" w:color="auto"/>
            </w:tcBorders>
            <w:shd w:val="clear" w:color="auto" w:fill="auto"/>
            <w:vAlign w:val="center"/>
          </w:tcPr>
          <w:p w14:paraId="65BAA046" w14:textId="77777777" w:rsidR="00C00EBB" w:rsidRPr="00C00EBB" w:rsidRDefault="00C00EBB" w:rsidP="00415474">
            <w:pPr>
              <w:spacing w:line="560" w:lineRule="exact"/>
              <w:jc w:val="center"/>
              <w:rPr>
                <w:rFonts w:eastAsia="仿宋_GB2312"/>
                <w:b/>
                <w:sz w:val="24"/>
              </w:rPr>
            </w:pPr>
            <w:r w:rsidRPr="00C00EBB">
              <w:rPr>
                <w:rFonts w:eastAsia="仿宋_GB2312"/>
                <w:b/>
                <w:bCs/>
                <w:szCs w:val="21"/>
              </w:rPr>
              <w:t>重度（</w:t>
            </w:r>
            <w:r w:rsidRPr="00C00EBB">
              <w:rPr>
                <w:rFonts w:eastAsia="仿宋_GB2312"/>
                <w:b/>
                <w:bCs/>
                <w:szCs w:val="21"/>
              </w:rPr>
              <w:t>3</w:t>
            </w:r>
            <w:r w:rsidRPr="00C00EBB">
              <w:rPr>
                <w:rFonts w:eastAsia="仿宋_GB2312"/>
                <w:b/>
                <w:bCs/>
                <w:szCs w:val="21"/>
              </w:rPr>
              <w:t>分）</w:t>
            </w:r>
          </w:p>
        </w:tc>
      </w:tr>
      <w:tr w:rsidR="00C00EBB" w14:paraId="784A6C79" w14:textId="77777777" w:rsidTr="00415474">
        <w:tc>
          <w:tcPr>
            <w:tcW w:w="959" w:type="dxa"/>
            <w:tcBorders>
              <w:top w:val="single" w:sz="4" w:space="0" w:color="auto"/>
            </w:tcBorders>
            <w:shd w:val="clear" w:color="auto" w:fill="auto"/>
            <w:vAlign w:val="center"/>
          </w:tcPr>
          <w:p w14:paraId="74243A2D" w14:textId="77777777" w:rsidR="00C00EBB" w:rsidRPr="00C00EBB" w:rsidRDefault="00C00EBB" w:rsidP="00415474">
            <w:pPr>
              <w:spacing w:line="560" w:lineRule="exact"/>
              <w:jc w:val="center"/>
              <w:rPr>
                <w:rFonts w:eastAsia="仿宋_GB2312"/>
                <w:sz w:val="24"/>
              </w:rPr>
            </w:pPr>
            <w:r w:rsidRPr="00C00EBB">
              <w:rPr>
                <w:rFonts w:eastAsia="仿宋_GB2312"/>
                <w:szCs w:val="21"/>
              </w:rPr>
              <w:t>鼻镜</w:t>
            </w:r>
          </w:p>
        </w:tc>
        <w:tc>
          <w:tcPr>
            <w:tcW w:w="1701" w:type="dxa"/>
            <w:tcBorders>
              <w:top w:val="single" w:sz="4" w:space="0" w:color="auto"/>
            </w:tcBorders>
            <w:shd w:val="clear" w:color="auto" w:fill="auto"/>
            <w:vAlign w:val="center"/>
          </w:tcPr>
          <w:p w14:paraId="2CD8C071" w14:textId="77777777" w:rsidR="00C00EBB" w:rsidRPr="00C00EBB" w:rsidRDefault="00C00EBB" w:rsidP="00415474">
            <w:pPr>
              <w:spacing w:line="560" w:lineRule="exact"/>
              <w:jc w:val="center"/>
              <w:rPr>
                <w:rFonts w:eastAsia="仿宋_GB2312"/>
                <w:sz w:val="24"/>
              </w:rPr>
            </w:pPr>
            <w:r w:rsidRPr="00C00EBB">
              <w:rPr>
                <w:rFonts w:eastAsia="仿宋_GB2312"/>
                <w:szCs w:val="21"/>
              </w:rPr>
              <w:t>微微湿润</w:t>
            </w:r>
          </w:p>
        </w:tc>
        <w:tc>
          <w:tcPr>
            <w:tcW w:w="2268" w:type="dxa"/>
            <w:tcBorders>
              <w:top w:val="single" w:sz="4" w:space="0" w:color="auto"/>
            </w:tcBorders>
            <w:shd w:val="clear" w:color="auto" w:fill="auto"/>
            <w:vAlign w:val="center"/>
          </w:tcPr>
          <w:p w14:paraId="125B7EB4" w14:textId="77777777" w:rsidR="00C00EBB" w:rsidRPr="00C00EBB" w:rsidRDefault="00C00EBB" w:rsidP="00415474">
            <w:pPr>
              <w:spacing w:line="560" w:lineRule="exact"/>
              <w:jc w:val="center"/>
              <w:rPr>
                <w:rFonts w:eastAsia="仿宋_GB2312"/>
                <w:sz w:val="24"/>
              </w:rPr>
            </w:pPr>
            <w:r w:rsidRPr="00C00EBB">
              <w:rPr>
                <w:rFonts w:eastAsia="仿宋_GB2312"/>
                <w:szCs w:val="21"/>
              </w:rPr>
              <w:t>无明显水珠</w:t>
            </w:r>
          </w:p>
        </w:tc>
        <w:tc>
          <w:tcPr>
            <w:tcW w:w="1701" w:type="dxa"/>
            <w:tcBorders>
              <w:top w:val="single" w:sz="4" w:space="0" w:color="auto"/>
            </w:tcBorders>
            <w:shd w:val="clear" w:color="auto" w:fill="auto"/>
            <w:vAlign w:val="center"/>
          </w:tcPr>
          <w:p w14:paraId="5B187616" w14:textId="77777777" w:rsidR="00C00EBB" w:rsidRPr="00C00EBB" w:rsidRDefault="00C00EBB" w:rsidP="00415474">
            <w:pPr>
              <w:spacing w:line="560" w:lineRule="exact"/>
              <w:jc w:val="center"/>
              <w:rPr>
                <w:rFonts w:eastAsia="仿宋_GB2312"/>
                <w:sz w:val="24"/>
              </w:rPr>
            </w:pPr>
            <w:r w:rsidRPr="00C00EBB">
              <w:rPr>
                <w:rFonts w:eastAsia="仿宋_GB2312"/>
                <w:szCs w:val="21"/>
              </w:rPr>
              <w:t>干燥</w:t>
            </w:r>
          </w:p>
        </w:tc>
        <w:tc>
          <w:tcPr>
            <w:tcW w:w="1893" w:type="dxa"/>
            <w:tcBorders>
              <w:top w:val="single" w:sz="4" w:space="0" w:color="auto"/>
            </w:tcBorders>
            <w:shd w:val="clear" w:color="auto" w:fill="auto"/>
            <w:vAlign w:val="center"/>
          </w:tcPr>
          <w:p w14:paraId="54771AC2" w14:textId="77777777" w:rsidR="00C00EBB" w:rsidRPr="00C00EBB" w:rsidRDefault="00C00EBB" w:rsidP="00415474">
            <w:pPr>
              <w:spacing w:line="560" w:lineRule="exact"/>
              <w:jc w:val="center"/>
              <w:rPr>
                <w:rFonts w:eastAsia="仿宋_GB2312"/>
                <w:sz w:val="24"/>
              </w:rPr>
            </w:pPr>
            <w:r w:rsidRPr="00C00EBB">
              <w:rPr>
                <w:rFonts w:eastAsia="仿宋_GB2312"/>
                <w:szCs w:val="21"/>
              </w:rPr>
              <w:t>干燥龟裂</w:t>
            </w:r>
          </w:p>
        </w:tc>
      </w:tr>
      <w:tr w:rsidR="00C00EBB" w14:paraId="48BFC2B8" w14:textId="77777777" w:rsidTr="00415474">
        <w:tc>
          <w:tcPr>
            <w:tcW w:w="959" w:type="dxa"/>
            <w:shd w:val="clear" w:color="auto" w:fill="auto"/>
            <w:vAlign w:val="center"/>
          </w:tcPr>
          <w:p w14:paraId="5A3062A7" w14:textId="77777777" w:rsidR="00C00EBB" w:rsidRPr="00C00EBB" w:rsidRDefault="00C00EBB" w:rsidP="00415474">
            <w:pPr>
              <w:spacing w:line="560" w:lineRule="exact"/>
              <w:jc w:val="center"/>
              <w:rPr>
                <w:rFonts w:eastAsia="仿宋_GB2312"/>
                <w:sz w:val="24"/>
              </w:rPr>
            </w:pPr>
            <w:r w:rsidRPr="00C00EBB">
              <w:rPr>
                <w:rFonts w:eastAsia="仿宋_GB2312"/>
                <w:szCs w:val="21"/>
              </w:rPr>
              <w:t>尿液</w:t>
            </w:r>
          </w:p>
        </w:tc>
        <w:tc>
          <w:tcPr>
            <w:tcW w:w="1701" w:type="dxa"/>
            <w:shd w:val="clear" w:color="auto" w:fill="auto"/>
            <w:vAlign w:val="center"/>
          </w:tcPr>
          <w:p w14:paraId="0D4594E3" w14:textId="77777777" w:rsidR="00C00EBB" w:rsidRPr="00C00EBB" w:rsidRDefault="00C00EBB" w:rsidP="00415474">
            <w:pPr>
              <w:spacing w:line="560" w:lineRule="exact"/>
              <w:jc w:val="center"/>
              <w:rPr>
                <w:rFonts w:eastAsia="仿宋_GB2312"/>
                <w:sz w:val="24"/>
              </w:rPr>
            </w:pPr>
            <w:r w:rsidRPr="00C00EBB">
              <w:rPr>
                <w:rFonts w:eastAsia="仿宋_GB2312"/>
                <w:szCs w:val="21"/>
              </w:rPr>
              <w:t>正常</w:t>
            </w:r>
          </w:p>
        </w:tc>
        <w:tc>
          <w:tcPr>
            <w:tcW w:w="2268" w:type="dxa"/>
            <w:shd w:val="clear" w:color="auto" w:fill="auto"/>
            <w:vAlign w:val="center"/>
          </w:tcPr>
          <w:p w14:paraId="416D7160" w14:textId="77777777" w:rsidR="00C00EBB" w:rsidRPr="00C00EBB" w:rsidRDefault="00C00EBB" w:rsidP="00415474">
            <w:pPr>
              <w:spacing w:line="560" w:lineRule="exact"/>
              <w:jc w:val="center"/>
              <w:rPr>
                <w:rFonts w:eastAsia="仿宋_GB2312"/>
                <w:sz w:val="24"/>
              </w:rPr>
            </w:pPr>
            <w:r w:rsidRPr="00C00EBB">
              <w:rPr>
                <w:rFonts w:eastAsia="仿宋_GB2312"/>
                <w:szCs w:val="21"/>
              </w:rPr>
              <w:t>尿略多</w:t>
            </w:r>
          </w:p>
        </w:tc>
        <w:tc>
          <w:tcPr>
            <w:tcW w:w="1701" w:type="dxa"/>
            <w:shd w:val="clear" w:color="auto" w:fill="auto"/>
            <w:vAlign w:val="center"/>
          </w:tcPr>
          <w:p w14:paraId="1EA35076" w14:textId="77777777" w:rsidR="00C00EBB" w:rsidRPr="00C00EBB" w:rsidRDefault="00C00EBB" w:rsidP="00415474">
            <w:pPr>
              <w:spacing w:line="560" w:lineRule="exact"/>
              <w:jc w:val="center"/>
              <w:rPr>
                <w:rFonts w:eastAsia="仿宋_GB2312"/>
                <w:sz w:val="24"/>
              </w:rPr>
            </w:pPr>
            <w:r w:rsidRPr="00C00EBB">
              <w:rPr>
                <w:rFonts w:eastAsia="仿宋_GB2312"/>
                <w:szCs w:val="21"/>
              </w:rPr>
              <w:t>尿多，偏冷</w:t>
            </w:r>
          </w:p>
        </w:tc>
        <w:tc>
          <w:tcPr>
            <w:tcW w:w="1893" w:type="dxa"/>
            <w:shd w:val="clear" w:color="auto" w:fill="auto"/>
            <w:vAlign w:val="center"/>
          </w:tcPr>
          <w:p w14:paraId="7A527782" w14:textId="77777777" w:rsidR="00C00EBB" w:rsidRPr="00C00EBB" w:rsidRDefault="00C00EBB" w:rsidP="00415474">
            <w:pPr>
              <w:spacing w:line="560" w:lineRule="exact"/>
              <w:jc w:val="center"/>
              <w:rPr>
                <w:rFonts w:eastAsia="仿宋_GB2312"/>
                <w:sz w:val="24"/>
              </w:rPr>
            </w:pPr>
            <w:r w:rsidRPr="00C00EBB">
              <w:rPr>
                <w:rFonts w:eastAsia="仿宋_GB2312"/>
                <w:szCs w:val="21"/>
              </w:rPr>
              <w:t>尿清长，有寒</w:t>
            </w:r>
          </w:p>
        </w:tc>
      </w:tr>
      <w:tr w:rsidR="00C00EBB" w14:paraId="223535A2" w14:textId="77777777" w:rsidTr="00415474">
        <w:tc>
          <w:tcPr>
            <w:tcW w:w="959" w:type="dxa"/>
            <w:shd w:val="clear" w:color="auto" w:fill="auto"/>
            <w:vAlign w:val="center"/>
          </w:tcPr>
          <w:p w14:paraId="7F9DD67F" w14:textId="77777777" w:rsidR="00C00EBB" w:rsidRPr="00C00EBB" w:rsidRDefault="00C00EBB" w:rsidP="00415474">
            <w:pPr>
              <w:spacing w:line="560" w:lineRule="exact"/>
              <w:jc w:val="center"/>
              <w:rPr>
                <w:rFonts w:eastAsia="仿宋_GB2312"/>
                <w:sz w:val="24"/>
              </w:rPr>
            </w:pPr>
            <w:r w:rsidRPr="00C00EBB">
              <w:rPr>
                <w:rFonts w:eastAsia="仿宋_GB2312"/>
                <w:szCs w:val="21"/>
              </w:rPr>
              <w:t>呼吸</w:t>
            </w:r>
          </w:p>
        </w:tc>
        <w:tc>
          <w:tcPr>
            <w:tcW w:w="1701" w:type="dxa"/>
            <w:shd w:val="clear" w:color="auto" w:fill="auto"/>
            <w:vAlign w:val="center"/>
          </w:tcPr>
          <w:p w14:paraId="653AB52E" w14:textId="77777777" w:rsidR="00C00EBB" w:rsidRPr="00C00EBB" w:rsidRDefault="00C00EBB" w:rsidP="00415474">
            <w:pPr>
              <w:spacing w:line="560" w:lineRule="exact"/>
              <w:jc w:val="center"/>
              <w:rPr>
                <w:rFonts w:eastAsia="仿宋_GB2312"/>
                <w:sz w:val="24"/>
              </w:rPr>
            </w:pPr>
            <w:r w:rsidRPr="00C00EBB">
              <w:rPr>
                <w:rFonts w:eastAsia="仿宋_GB2312"/>
                <w:szCs w:val="21"/>
              </w:rPr>
              <w:t>正常</w:t>
            </w:r>
          </w:p>
        </w:tc>
        <w:tc>
          <w:tcPr>
            <w:tcW w:w="2268" w:type="dxa"/>
            <w:shd w:val="clear" w:color="auto" w:fill="auto"/>
            <w:vAlign w:val="center"/>
          </w:tcPr>
          <w:p w14:paraId="1845870C" w14:textId="77777777" w:rsidR="00C00EBB" w:rsidRPr="00C00EBB" w:rsidRDefault="00C00EBB" w:rsidP="00415474">
            <w:pPr>
              <w:spacing w:line="560" w:lineRule="exact"/>
              <w:jc w:val="center"/>
              <w:rPr>
                <w:rFonts w:eastAsia="仿宋_GB2312"/>
                <w:sz w:val="24"/>
              </w:rPr>
            </w:pPr>
            <w:r w:rsidRPr="00C00EBB">
              <w:rPr>
                <w:rFonts w:eastAsia="仿宋_GB2312"/>
                <w:szCs w:val="21"/>
              </w:rPr>
              <w:t>呼吸略快</w:t>
            </w:r>
          </w:p>
        </w:tc>
        <w:tc>
          <w:tcPr>
            <w:tcW w:w="1701" w:type="dxa"/>
            <w:shd w:val="clear" w:color="auto" w:fill="auto"/>
            <w:vAlign w:val="center"/>
          </w:tcPr>
          <w:p w14:paraId="3E5A88F6" w14:textId="77777777" w:rsidR="00C00EBB" w:rsidRPr="00C00EBB" w:rsidRDefault="00C00EBB" w:rsidP="00415474">
            <w:pPr>
              <w:spacing w:line="560" w:lineRule="exact"/>
              <w:jc w:val="center"/>
              <w:rPr>
                <w:rFonts w:eastAsia="仿宋_GB2312"/>
                <w:sz w:val="24"/>
              </w:rPr>
            </w:pPr>
            <w:r w:rsidRPr="00C00EBB">
              <w:rPr>
                <w:rFonts w:eastAsia="仿宋_GB2312"/>
                <w:szCs w:val="21"/>
              </w:rPr>
              <w:t>呼吸稍快</w:t>
            </w:r>
          </w:p>
        </w:tc>
        <w:tc>
          <w:tcPr>
            <w:tcW w:w="1893" w:type="dxa"/>
            <w:shd w:val="clear" w:color="auto" w:fill="auto"/>
            <w:vAlign w:val="center"/>
          </w:tcPr>
          <w:p w14:paraId="324528A6" w14:textId="77777777" w:rsidR="00C00EBB" w:rsidRPr="00C00EBB" w:rsidRDefault="00C00EBB" w:rsidP="00415474">
            <w:pPr>
              <w:spacing w:line="560" w:lineRule="exact"/>
              <w:jc w:val="center"/>
              <w:rPr>
                <w:rFonts w:eastAsia="仿宋_GB2312"/>
                <w:sz w:val="24"/>
              </w:rPr>
            </w:pPr>
            <w:r w:rsidRPr="00C00EBB">
              <w:rPr>
                <w:rFonts w:eastAsia="仿宋_GB2312"/>
                <w:szCs w:val="21"/>
              </w:rPr>
              <w:t>呼吸粗，咳嗽气喘</w:t>
            </w:r>
          </w:p>
        </w:tc>
      </w:tr>
      <w:tr w:rsidR="00C00EBB" w14:paraId="5E0CD48B" w14:textId="77777777" w:rsidTr="00415474">
        <w:tc>
          <w:tcPr>
            <w:tcW w:w="959" w:type="dxa"/>
            <w:shd w:val="clear" w:color="auto" w:fill="auto"/>
            <w:vAlign w:val="center"/>
          </w:tcPr>
          <w:p w14:paraId="6E574CB5" w14:textId="77777777" w:rsidR="00C00EBB" w:rsidRPr="00C00EBB" w:rsidRDefault="00C00EBB" w:rsidP="00415474">
            <w:pPr>
              <w:spacing w:line="560" w:lineRule="exact"/>
              <w:jc w:val="center"/>
              <w:rPr>
                <w:rFonts w:eastAsia="仿宋_GB2312"/>
                <w:sz w:val="24"/>
              </w:rPr>
            </w:pPr>
            <w:r w:rsidRPr="00C00EBB">
              <w:rPr>
                <w:rFonts w:eastAsia="仿宋_GB2312"/>
                <w:szCs w:val="21"/>
              </w:rPr>
              <w:t>口色</w:t>
            </w:r>
          </w:p>
        </w:tc>
        <w:tc>
          <w:tcPr>
            <w:tcW w:w="1701" w:type="dxa"/>
            <w:shd w:val="clear" w:color="auto" w:fill="auto"/>
            <w:vAlign w:val="center"/>
          </w:tcPr>
          <w:p w14:paraId="2626B930" w14:textId="77777777" w:rsidR="00C00EBB" w:rsidRPr="00C00EBB" w:rsidRDefault="00C00EBB" w:rsidP="00415474">
            <w:pPr>
              <w:spacing w:line="560" w:lineRule="exact"/>
              <w:jc w:val="center"/>
              <w:rPr>
                <w:rFonts w:eastAsia="仿宋_GB2312"/>
                <w:sz w:val="24"/>
              </w:rPr>
            </w:pPr>
            <w:r w:rsidRPr="00C00EBB">
              <w:rPr>
                <w:rFonts w:eastAsia="仿宋_GB2312"/>
                <w:szCs w:val="21"/>
              </w:rPr>
              <w:t>正常</w:t>
            </w:r>
          </w:p>
        </w:tc>
        <w:tc>
          <w:tcPr>
            <w:tcW w:w="2268" w:type="dxa"/>
            <w:shd w:val="clear" w:color="auto" w:fill="auto"/>
            <w:vAlign w:val="center"/>
          </w:tcPr>
          <w:p w14:paraId="369B1C9D" w14:textId="77777777" w:rsidR="00C00EBB" w:rsidRPr="00C00EBB" w:rsidRDefault="00C00EBB" w:rsidP="00415474">
            <w:pPr>
              <w:spacing w:line="560" w:lineRule="exact"/>
              <w:jc w:val="center"/>
              <w:rPr>
                <w:rFonts w:eastAsia="仿宋_GB2312"/>
                <w:sz w:val="24"/>
              </w:rPr>
            </w:pPr>
            <w:r w:rsidRPr="00C00EBB">
              <w:rPr>
                <w:rFonts w:eastAsia="仿宋_GB2312"/>
                <w:szCs w:val="21"/>
              </w:rPr>
              <w:t>青白</w:t>
            </w:r>
          </w:p>
        </w:tc>
        <w:tc>
          <w:tcPr>
            <w:tcW w:w="1701" w:type="dxa"/>
            <w:shd w:val="clear" w:color="auto" w:fill="auto"/>
            <w:vAlign w:val="center"/>
          </w:tcPr>
          <w:p w14:paraId="77A57305" w14:textId="77777777" w:rsidR="00C00EBB" w:rsidRPr="00C00EBB" w:rsidRDefault="00C00EBB" w:rsidP="00415474">
            <w:pPr>
              <w:spacing w:line="560" w:lineRule="exact"/>
              <w:jc w:val="center"/>
              <w:rPr>
                <w:rFonts w:eastAsia="仿宋_GB2312"/>
                <w:sz w:val="24"/>
              </w:rPr>
            </w:pPr>
            <w:r w:rsidRPr="00C00EBB">
              <w:rPr>
                <w:rFonts w:eastAsia="仿宋_GB2312"/>
                <w:szCs w:val="21"/>
              </w:rPr>
              <w:t>口色青白，苔薄白</w:t>
            </w:r>
          </w:p>
        </w:tc>
        <w:tc>
          <w:tcPr>
            <w:tcW w:w="1893" w:type="dxa"/>
            <w:shd w:val="clear" w:color="auto" w:fill="auto"/>
            <w:vAlign w:val="center"/>
          </w:tcPr>
          <w:p w14:paraId="213A8BAB" w14:textId="77777777" w:rsidR="00C00EBB" w:rsidRPr="00C00EBB" w:rsidRDefault="00C00EBB" w:rsidP="00415474">
            <w:pPr>
              <w:spacing w:line="560" w:lineRule="exact"/>
              <w:jc w:val="center"/>
              <w:rPr>
                <w:rFonts w:eastAsia="仿宋_GB2312"/>
                <w:sz w:val="24"/>
              </w:rPr>
            </w:pPr>
            <w:r w:rsidRPr="00C00EBB">
              <w:rPr>
                <w:rFonts w:eastAsia="仿宋_GB2312"/>
                <w:szCs w:val="21"/>
              </w:rPr>
              <w:t>口色青白，舌底发青，苔薄白或薄黄</w:t>
            </w:r>
          </w:p>
        </w:tc>
      </w:tr>
      <w:tr w:rsidR="00C00EBB" w14:paraId="785540FB" w14:textId="77777777" w:rsidTr="00415474">
        <w:tc>
          <w:tcPr>
            <w:tcW w:w="959" w:type="dxa"/>
            <w:shd w:val="clear" w:color="auto" w:fill="auto"/>
            <w:vAlign w:val="center"/>
          </w:tcPr>
          <w:p w14:paraId="2D42C5E5" w14:textId="77777777" w:rsidR="00C00EBB" w:rsidRPr="00C00EBB" w:rsidRDefault="00C00EBB" w:rsidP="00415474">
            <w:pPr>
              <w:spacing w:line="560" w:lineRule="exact"/>
              <w:jc w:val="center"/>
              <w:rPr>
                <w:rFonts w:eastAsia="仿宋_GB2312"/>
                <w:sz w:val="24"/>
              </w:rPr>
            </w:pPr>
            <w:r w:rsidRPr="00C00EBB">
              <w:rPr>
                <w:rFonts w:eastAsia="仿宋_GB2312"/>
                <w:szCs w:val="21"/>
              </w:rPr>
              <w:t>精神</w:t>
            </w:r>
          </w:p>
        </w:tc>
        <w:tc>
          <w:tcPr>
            <w:tcW w:w="1701" w:type="dxa"/>
            <w:shd w:val="clear" w:color="auto" w:fill="auto"/>
            <w:vAlign w:val="center"/>
          </w:tcPr>
          <w:p w14:paraId="75AE9D28" w14:textId="77777777" w:rsidR="00C00EBB" w:rsidRPr="00C00EBB" w:rsidRDefault="00C00EBB" w:rsidP="00415474">
            <w:pPr>
              <w:spacing w:line="560" w:lineRule="exact"/>
              <w:jc w:val="center"/>
              <w:rPr>
                <w:rFonts w:eastAsia="仿宋_GB2312"/>
                <w:sz w:val="24"/>
              </w:rPr>
            </w:pPr>
            <w:r w:rsidRPr="00C00EBB">
              <w:rPr>
                <w:rFonts w:eastAsia="仿宋_GB2312"/>
                <w:szCs w:val="21"/>
              </w:rPr>
              <w:t>反应灵敏，正常</w:t>
            </w:r>
          </w:p>
        </w:tc>
        <w:tc>
          <w:tcPr>
            <w:tcW w:w="2268" w:type="dxa"/>
            <w:shd w:val="clear" w:color="auto" w:fill="auto"/>
            <w:vAlign w:val="center"/>
          </w:tcPr>
          <w:p w14:paraId="46D005DC" w14:textId="77777777" w:rsidR="00C00EBB" w:rsidRPr="00C00EBB" w:rsidRDefault="00C00EBB" w:rsidP="00415474">
            <w:pPr>
              <w:spacing w:line="560" w:lineRule="exact"/>
              <w:jc w:val="center"/>
              <w:rPr>
                <w:rFonts w:eastAsia="仿宋_GB2312"/>
                <w:sz w:val="24"/>
              </w:rPr>
            </w:pPr>
            <w:r w:rsidRPr="00C00EBB">
              <w:rPr>
                <w:rFonts w:eastAsia="仿宋_GB2312"/>
                <w:szCs w:val="21"/>
              </w:rPr>
              <w:t>精神不佳，倦怠</w:t>
            </w:r>
          </w:p>
        </w:tc>
        <w:tc>
          <w:tcPr>
            <w:tcW w:w="1701" w:type="dxa"/>
            <w:shd w:val="clear" w:color="auto" w:fill="auto"/>
            <w:vAlign w:val="center"/>
          </w:tcPr>
          <w:p w14:paraId="357DAC5A" w14:textId="77777777" w:rsidR="00C00EBB" w:rsidRPr="00C00EBB" w:rsidRDefault="00C00EBB" w:rsidP="00415474">
            <w:pPr>
              <w:spacing w:line="560" w:lineRule="exact"/>
              <w:jc w:val="center"/>
              <w:rPr>
                <w:rFonts w:eastAsia="仿宋_GB2312"/>
                <w:sz w:val="24"/>
              </w:rPr>
            </w:pPr>
            <w:r w:rsidRPr="00C00EBB">
              <w:rPr>
                <w:rFonts w:eastAsia="仿宋_GB2312"/>
                <w:szCs w:val="21"/>
              </w:rPr>
              <w:t>精神不振，呆立或运步迟缓</w:t>
            </w:r>
          </w:p>
        </w:tc>
        <w:tc>
          <w:tcPr>
            <w:tcW w:w="1893" w:type="dxa"/>
            <w:shd w:val="clear" w:color="auto" w:fill="auto"/>
            <w:vAlign w:val="center"/>
          </w:tcPr>
          <w:p w14:paraId="3149D3F6" w14:textId="77777777" w:rsidR="00C00EBB" w:rsidRPr="00C00EBB" w:rsidRDefault="00C00EBB" w:rsidP="00415474">
            <w:pPr>
              <w:spacing w:line="560" w:lineRule="exact"/>
              <w:jc w:val="center"/>
              <w:rPr>
                <w:rFonts w:eastAsia="仿宋_GB2312"/>
                <w:sz w:val="24"/>
              </w:rPr>
            </w:pPr>
            <w:r w:rsidRPr="00C00EBB">
              <w:rPr>
                <w:rFonts w:eastAsia="仿宋_GB2312"/>
                <w:szCs w:val="21"/>
              </w:rPr>
              <w:t>精神萎靡，喜卧懒动</w:t>
            </w:r>
          </w:p>
        </w:tc>
      </w:tr>
      <w:tr w:rsidR="00C00EBB" w14:paraId="77F29F33" w14:textId="77777777" w:rsidTr="00415474">
        <w:tc>
          <w:tcPr>
            <w:tcW w:w="959" w:type="dxa"/>
            <w:tcBorders>
              <w:bottom w:val="single" w:sz="8" w:space="0" w:color="auto"/>
            </w:tcBorders>
            <w:shd w:val="clear" w:color="auto" w:fill="auto"/>
            <w:vAlign w:val="center"/>
          </w:tcPr>
          <w:p w14:paraId="79AADB5C" w14:textId="77777777" w:rsidR="00C00EBB" w:rsidRPr="00C00EBB" w:rsidRDefault="00C00EBB" w:rsidP="00415474">
            <w:pPr>
              <w:spacing w:line="560" w:lineRule="exact"/>
              <w:jc w:val="center"/>
              <w:rPr>
                <w:rFonts w:eastAsia="仿宋_GB2312"/>
                <w:sz w:val="24"/>
              </w:rPr>
            </w:pPr>
            <w:r w:rsidRPr="00C00EBB">
              <w:rPr>
                <w:rFonts w:eastAsia="仿宋_GB2312"/>
                <w:szCs w:val="21"/>
              </w:rPr>
              <w:t>食欲</w:t>
            </w:r>
          </w:p>
        </w:tc>
        <w:tc>
          <w:tcPr>
            <w:tcW w:w="1701" w:type="dxa"/>
            <w:tcBorders>
              <w:bottom w:val="single" w:sz="8" w:space="0" w:color="auto"/>
            </w:tcBorders>
            <w:shd w:val="clear" w:color="auto" w:fill="auto"/>
            <w:vAlign w:val="center"/>
          </w:tcPr>
          <w:p w14:paraId="2AAE5421" w14:textId="77777777" w:rsidR="00C00EBB" w:rsidRPr="00C00EBB" w:rsidRDefault="00C00EBB" w:rsidP="00415474">
            <w:pPr>
              <w:spacing w:line="560" w:lineRule="exact"/>
              <w:jc w:val="center"/>
              <w:rPr>
                <w:rFonts w:eastAsia="仿宋_GB2312"/>
                <w:sz w:val="24"/>
              </w:rPr>
            </w:pPr>
            <w:r w:rsidRPr="00C00EBB">
              <w:rPr>
                <w:rFonts w:eastAsia="仿宋_GB2312"/>
                <w:szCs w:val="21"/>
              </w:rPr>
              <w:t>正常</w:t>
            </w:r>
          </w:p>
        </w:tc>
        <w:tc>
          <w:tcPr>
            <w:tcW w:w="2268" w:type="dxa"/>
            <w:tcBorders>
              <w:bottom w:val="single" w:sz="8" w:space="0" w:color="auto"/>
            </w:tcBorders>
            <w:shd w:val="clear" w:color="auto" w:fill="auto"/>
            <w:vAlign w:val="center"/>
          </w:tcPr>
          <w:p w14:paraId="7CDE4BA1" w14:textId="77777777" w:rsidR="00C00EBB" w:rsidRPr="00C00EBB" w:rsidRDefault="00C00EBB" w:rsidP="00415474">
            <w:pPr>
              <w:spacing w:line="560" w:lineRule="exact"/>
              <w:jc w:val="center"/>
              <w:rPr>
                <w:rFonts w:eastAsia="仿宋_GB2312"/>
                <w:sz w:val="24"/>
              </w:rPr>
            </w:pPr>
            <w:r w:rsidRPr="00C00EBB">
              <w:rPr>
                <w:rFonts w:eastAsia="仿宋_GB2312"/>
                <w:szCs w:val="21"/>
              </w:rPr>
              <w:t>采食量下降</w:t>
            </w:r>
            <w:r w:rsidRPr="00C00EBB">
              <w:rPr>
                <w:rFonts w:eastAsia="仿宋_GB2312"/>
                <w:szCs w:val="21"/>
              </w:rPr>
              <w:t>10-20%</w:t>
            </w:r>
          </w:p>
        </w:tc>
        <w:tc>
          <w:tcPr>
            <w:tcW w:w="1701" w:type="dxa"/>
            <w:tcBorders>
              <w:bottom w:val="single" w:sz="8" w:space="0" w:color="auto"/>
            </w:tcBorders>
            <w:shd w:val="clear" w:color="auto" w:fill="auto"/>
            <w:vAlign w:val="center"/>
          </w:tcPr>
          <w:p w14:paraId="770850ED" w14:textId="77777777" w:rsidR="00C00EBB" w:rsidRPr="00C00EBB" w:rsidRDefault="00C00EBB" w:rsidP="00415474">
            <w:pPr>
              <w:spacing w:line="560" w:lineRule="exact"/>
              <w:jc w:val="center"/>
              <w:rPr>
                <w:rFonts w:eastAsia="仿宋_GB2312"/>
                <w:sz w:val="24"/>
              </w:rPr>
            </w:pPr>
            <w:r w:rsidRPr="00C00EBB">
              <w:rPr>
                <w:rFonts w:eastAsia="仿宋_GB2312"/>
                <w:szCs w:val="21"/>
              </w:rPr>
              <w:t>采食量下降</w:t>
            </w:r>
            <w:r w:rsidRPr="00C00EBB">
              <w:rPr>
                <w:rFonts w:eastAsia="仿宋_GB2312"/>
                <w:szCs w:val="21"/>
              </w:rPr>
              <w:t>20-50%</w:t>
            </w:r>
          </w:p>
        </w:tc>
        <w:tc>
          <w:tcPr>
            <w:tcW w:w="1893" w:type="dxa"/>
            <w:tcBorders>
              <w:bottom w:val="single" w:sz="8" w:space="0" w:color="auto"/>
            </w:tcBorders>
            <w:shd w:val="clear" w:color="auto" w:fill="auto"/>
            <w:vAlign w:val="center"/>
          </w:tcPr>
          <w:p w14:paraId="1515949A" w14:textId="77777777" w:rsidR="00C00EBB" w:rsidRPr="00C00EBB" w:rsidRDefault="00C00EBB" w:rsidP="00415474">
            <w:pPr>
              <w:spacing w:line="560" w:lineRule="exact"/>
              <w:jc w:val="center"/>
              <w:rPr>
                <w:rFonts w:eastAsia="仿宋_GB2312"/>
                <w:sz w:val="24"/>
              </w:rPr>
            </w:pPr>
            <w:r w:rsidRPr="00C00EBB">
              <w:rPr>
                <w:rFonts w:eastAsia="仿宋_GB2312"/>
                <w:szCs w:val="21"/>
              </w:rPr>
              <w:t>采食量下降</w:t>
            </w:r>
            <w:r w:rsidRPr="00C00EBB">
              <w:rPr>
                <w:rFonts w:eastAsia="仿宋_GB2312"/>
                <w:szCs w:val="21"/>
              </w:rPr>
              <w:t>50%</w:t>
            </w:r>
            <w:r w:rsidRPr="00C00EBB">
              <w:rPr>
                <w:rFonts w:eastAsia="仿宋_GB2312"/>
                <w:szCs w:val="21"/>
              </w:rPr>
              <w:t>以上，料槽剩料明显</w:t>
            </w:r>
          </w:p>
        </w:tc>
      </w:tr>
    </w:tbl>
    <w:p w14:paraId="469296D3" w14:textId="77777777" w:rsidR="002C5EF7" w:rsidRDefault="00F40349" w:rsidP="001615AB">
      <w:pPr>
        <w:adjustRightInd w:val="0"/>
        <w:snapToGrid w:val="0"/>
        <w:spacing w:line="560" w:lineRule="exact"/>
        <w:ind w:firstLineChars="200" w:firstLine="643"/>
        <w:rPr>
          <w:rFonts w:eastAsia="楷体_GB2312"/>
          <w:b/>
          <w:sz w:val="32"/>
          <w:szCs w:val="32"/>
        </w:rPr>
      </w:pPr>
      <w:r>
        <w:rPr>
          <w:rFonts w:eastAsia="楷体_GB2312" w:hint="eastAsia"/>
          <w:b/>
          <w:sz w:val="32"/>
          <w:szCs w:val="32"/>
        </w:rPr>
        <w:t>（四）受试动物选择</w:t>
      </w:r>
    </w:p>
    <w:p w14:paraId="00B0F359" w14:textId="50061EFC" w:rsidR="002C5EF7" w:rsidRDefault="00F40349" w:rsidP="001615AB">
      <w:pPr>
        <w:adjustRightInd w:val="0"/>
        <w:snapToGrid w:val="0"/>
        <w:spacing w:line="560" w:lineRule="exact"/>
        <w:ind w:firstLineChars="200" w:firstLine="643"/>
        <w:rPr>
          <w:rFonts w:eastAsia="楷体_GB2312"/>
          <w:b/>
          <w:bCs/>
          <w:sz w:val="32"/>
          <w:szCs w:val="32"/>
        </w:rPr>
      </w:pPr>
      <w:r>
        <w:rPr>
          <w:rFonts w:eastAsia="楷体_GB2312"/>
          <w:b/>
          <w:bCs/>
          <w:sz w:val="32"/>
          <w:szCs w:val="32"/>
        </w:rPr>
        <w:t>1.</w:t>
      </w:r>
      <w:r w:rsidR="0054608C">
        <w:rPr>
          <w:rFonts w:eastAsia="楷体_GB2312"/>
          <w:b/>
          <w:bCs/>
          <w:sz w:val="32"/>
          <w:szCs w:val="32"/>
        </w:rPr>
        <w:t xml:space="preserve"> </w:t>
      </w:r>
      <w:r>
        <w:rPr>
          <w:rFonts w:eastAsia="楷体_GB2312" w:hint="eastAsia"/>
          <w:b/>
          <w:bCs/>
          <w:sz w:val="32"/>
          <w:szCs w:val="32"/>
        </w:rPr>
        <w:t>纳入标准</w:t>
      </w:r>
    </w:p>
    <w:p w14:paraId="1F7456E1"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）牛来源明确，牛场具有检疫合格证；</w:t>
      </w:r>
    </w:p>
    <w:p w14:paraId="4D35BC65"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21895F0C"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）试验前</w:t>
      </w:r>
      <w:r>
        <w:rPr>
          <w:rFonts w:eastAsia="仿宋_GB2312" w:hint="eastAsia"/>
          <w:sz w:val="32"/>
          <w:szCs w:val="32"/>
        </w:rPr>
        <w:t>2</w:t>
      </w:r>
      <w:r>
        <w:rPr>
          <w:rFonts w:eastAsia="仿宋_GB2312" w:hint="eastAsia"/>
          <w:sz w:val="32"/>
          <w:szCs w:val="32"/>
        </w:rPr>
        <w:t>周，未接受过其他药物进行预防或治疗；</w:t>
      </w:r>
    </w:p>
    <w:p w14:paraId="2E10242E" w14:textId="322875B0"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sidR="0054608C">
        <w:rPr>
          <w:rFonts w:eastAsia="仿宋_GB2312" w:hint="eastAsia"/>
          <w:sz w:val="32"/>
          <w:szCs w:val="32"/>
        </w:rPr>
        <w:t>患病牛</w:t>
      </w:r>
      <w:r>
        <w:rPr>
          <w:rFonts w:eastAsia="仿宋_GB2312" w:hint="eastAsia"/>
          <w:sz w:val="32"/>
          <w:szCs w:val="32"/>
        </w:rPr>
        <w:t>符合外感风寒证</w:t>
      </w:r>
      <w:r w:rsidR="00C0328F">
        <w:rPr>
          <w:rFonts w:eastAsia="仿宋_GB2312" w:hint="eastAsia"/>
          <w:sz w:val="32"/>
          <w:szCs w:val="32"/>
        </w:rPr>
        <w:t>的</w:t>
      </w:r>
      <w:r>
        <w:rPr>
          <w:rFonts w:eastAsia="仿宋_GB2312" w:hint="eastAsia"/>
          <w:sz w:val="32"/>
          <w:szCs w:val="32"/>
        </w:rPr>
        <w:t>临床证候</w:t>
      </w:r>
      <w:r w:rsidR="0054608C">
        <w:rPr>
          <w:rFonts w:eastAsia="仿宋_GB2312" w:hint="eastAsia"/>
          <w:sz w:val="32"/>
          <w:szCs w:val="32"/>
        </w:rPr>
        <w:t>诊断标准。</w:t>
      </w:r>
    </w:p>
    <w:p w14:paraId="4E8ED63E" w14:textId="6C40DD4E" w:rsidR="002C5EF7" w:rsidRDefault="00F40349" w:rsidP="001615AB">
      <w:pPr>
        <w:adjustRightInd w:val="0"/>
        <w:snapToGrid w:val="0"/>
        <w:spacing w:line="560" w:lineRule="exact"/>
        <w:ind w:firstLineChars="200" w:firstLine="643"/>
        <w:rPr>
          <w:rFonts w:eastAsia="楷体_GB2312"/>
          <w:b/>
          <w:bCs/>
          <w:sz w:val="32"/>
          <w:szCs w:val="32"/>
        </w:rPr>
      </w:pPr>
      <w:r>
        <w:rPr>
          <w:rFonts w:eastAsia="楷体_GB2312"/>
          <w:b/>
          <w:bCs/>
          <w:sz w:val="32"/>
          <w:szCs w:val="32"/>
        </w:rPr>
        <w:t>2.</w:t>
      </w:r>
      <w:r w:rsidR="0054608C">
        <w:rPr>
          <w:rFonts w:eastAsia="楷体_GB2312"/>
          <w:b/>
          <w:bCs/>
          <w:sz w:val="32"/>
          <w:szCs w:val="32"/>
        </w:rPr>
        <w:t xml:space="preserve"> </w:t>
      </w:r>
      <w:r>
        <w:rPr>
          <w:rFonts w:eastAsia="楷体_GB2312" w:hint="eastAsia"/>
          <w:b/>
          <w:bCs/>
          <w:sz w:val="32"/>
          <w:szCs w:val="32"/>
        </w:rPr>
        <w:t>排除标准</w:t>
      </w:r>
    </w:p>
    <w:p w14:paraId="58BDE402"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）有外感风寒以外的症状或疾病的病牛；</w:t>
      </w:r>
    </w:p>
    <w:p w14:paraId="07E1189E"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）发病后继发其他疾病而濒临死亡，预后不良，预期难以救治的病牛；</w:t>
      </w:r>
    </w:p>
    <w:p w14:paraId="617A0A7C"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hint="eastAsia"/>
          <w:sz w:val="32"/>
          <w:szCs w:val="32"/>
        </w:rPr>
        <w:t>2</w:t>
      </w:r>
      <w:r>
        <w:rPr>
          <w:rFonts w:eastAsia="仿宋_GB2312" w:hint="eastAsia"/>
          <w:sz w:val="32"/>
          <w:szCs w:val="32"/>
        </w:rPr>
        <w:t>周，接受过可影响本试验的其他药物治疗的病牛；</w:t>
      </w:r>
    </w:p>
    <w:p w14:paraId="21F133E1"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）药物治疗后不能持续跟踪观察或数据丢失严重的病牛。</w:t>
      </w:r>
      <w:bookmarkStart w:id="5" w:name="_Toc499033910"/>
    </w:p>
    <w:p w14:paraId="3D6009BE" w14:textId="77777777" w:rsidR="002C5EF7" w:rsidRDefault="00F40349" w:rsidP="001615AB">
      <w:pPr>
        <w:adjustRightInd w:val="0"/>
        <w:snapToGrid w:val="0"/>
        <w:spacing w:line="560" w:lineRule="exact"/>
        <w:ind w:firstLineChars="200" w:firstLine="643"/>
        <w:rPr>
          <w:rFonts w:eastAsia="楷体_GB2312"/>
          <w:b/>
          <w:bCs/>
          <w:sz w:val="32"/>
          <w:szCs w:val="32"/>
        </w:rPr>
      </w:pPr>
      <w:r>
        <w:rPr>
          <w:rFonts w:eastAsia="楷体_GB2312" w:hint="eastAsia"/>
          <w:b/>
          <w:bCs/>
          <w:sz w:val="32"/>
          <w:szCs w:val="32"/>
        </w:rPr>
        <w:t>（五）退出标准</w:t>
      </w:r>
      <w:bookmarkEnd w:id="5"/>
    </w:p>
    <w:p w14:paraId="2862910C"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）入选后，给药前出现外因导致的受伤、有生命危险等情况；</w:t>
      </w:r>
    </w:p>
    <w:p w14:paraId="686336B9"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41374E58"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01C55878" w14:textId="77777777" w:rsidR="002C5EF7" w:rsidRDefault="00F40349" w:rsidP="001615AB">
      <w:pPr>
        <w:adjustRightInd w:val="0"/>
        <w:snapToGrid w:val="0"/>
        <w:spacing w:line="560" w:lineRule="exact"/>
        <w:ind w:firstLineChars="200" w:firstLine="643"/>
        <w:rPr>
          <w:rFonts w:eastAsia="仿宋_GB2312"/>
          <w:b/>
          <w:sz w:val="32"/>
          <w:szCs w:val="32"/>
        </w:rPr>
      </w:pPr>
      <w:r>
        <w:rPr>
          <w:rFonts w:eastAsia="仿宋_GB2312" w:hint="eastAsia"/>
          <w:b/>
          <w:sz w:val="32"/>
          <w:szCs w:val="32"/>
        </w:rPr>
        <w:t>（六）</w:t>
      </w:r>
      <w:r>
        <w:rPr>
          <w:rFonts w:eastAsia="仿宋_GB2312"/>
          <w:b/>
          <w:sz w:val="32"/>
          <w:szCs w:val="32"/>
        </w:rPr>
        <w:t>试验中止</w:t>
      </w:r>
    </w:p>
    <w:p w14:paraId="0ADFA68C"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4105101E" w14:textId="77777777" w:rsidR="002C5EF7" w:rsidRDefault="00F40349" w:rsidP="001615AB">
      <w:pPr>
        <w:adjustRightInd w:val="0"/>
        <w:snapToGrid w:val="0"/>
        <w:spacing w:line="560" w:lineRule="exact"/>
        <w:ind w:firstLineChars="200" w:firstLine="643"/>
        <w:rPr>
          <w:rFonts w:eastAsia="楷体_GB2312"/>
          <w:b/>
          <w:bCs/>
          <w:sz w:val="32"/>
          <w:szCs w:val="32"/>
        </w:rPr>
      </w:pPr>
      <w:bookmarkStart w:id="6" w:name="_Toc499033911"/>
      <w:r>
        <w:rPr>
          <w:rFonts w:eastAsia="楷体_GB2312" w:hint="eastAsia"/>
          <w:b/>
          <w:bCs/>
          <w:sz w:val="32"/>
          <w:szCs w:val="32"/>
        </w:rPr>
        <w:t>（七）试验设计</w:t>
      </w:r>
    </w:p>
    <w:p w14:paraId="7A4835C3" w14:textId="77777777" w:rsidR="002C5EF7" w:rsidRDefault="00F40349" w:rsidP="001615AB">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w:t>
      </w:r>
      <w:r>
        <w:rPr>
          <w:rFonts w:eastAsia="仿宋_GB2312" w:hint="eastAsia"/>
          <w:bCs/>
          <w:sz w:val="32"/>
          <w:szCs w:val="32"/>
        </w:rPr>
        <w:t>）设盲</w:t>
      </w:r>
    </w:p>
    <w:p w14:paraId="3F4379D1"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评估者设计。分组和给药人员不参与疗</w:t>
      </w:r>
      <w:r>
        <w:rPr>
          <w:rFonts w:eastAsia="仿宋_GB2312" w:hint="eastAsia"/>
          <w:sz w:val="32"/>
          <w:szCs w:val="32"/>
        </w:rPr>
        <w:lastRenderedPageBreak/>
        <w:t>效评估；疗效评估者不了解试验牛的分组、给药与药物信息；锁定数据后揭盲，对数据进行分析并撰写试验报告。试验期间，除非出现严重不良事件，不对相关人员揭盲。</w:t>
      </w:r>
    </w:p>
    <w:p w14:paraId="1AA52A0F"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4D4B40D7"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分组遵循随机、对照和重复的原则，药效评价试验设置三个剂量组（即高、中、低剂量组，中剂量为推荐剂量）和药物对照组。药效评价田间试验设置推荐剂量组和药物对照组。</w:t>
      </w:r>
    </w:p>
    <w:p w14:paraId="5B034535" w14:textId="77777777" w:rsidR="002C5EF7" w:rsidRDefault="00F40349" w:rsidP="001615AB">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w:t>
      </w:r>
      <w:r>
        <w:rPr>
          <w:rFonts w:eastAsia="仿宋_GB2312"/>
          <w:b/>
          <w:bCs/>
          <w:sz w:val="32"/>
          <w:szCs w:val="32"/>
        </w:rPr>
        <w:t>3</w:t>
      </w:r>
      <w:r>
        <w:rPr>
          <w:rFonts w:eastAsia="仿宋_GB2312" w:hint="eastAsia"/>
          <w:b/>
          <w:bCs/>
          <w:sz w:val="32"/>
          <w:szCs w:val="32"/>
        </w:rPr>
        <w:t>）给药方案</w:t>
      </w:r>
    </w:p>
    <w:p w14:paraId="2782D893"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给药方案包括规范明确的给药途径、给药方法、使用剂量、投药频次，次数、时机及给药疗程。</w:t>
      </w:r>
    </w:p>
    <w:p w14:paraId="61BB3C78" w14:textId="77777777" w:rsidR="002C5EF7" w:rsidRDefault="00F40349" w:rsidP="001615AB">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（八）对照药物选择</w:t>
      </w:r>
    </w:p>
    <w:p w14:paraId="670BA2DB"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44738E8A"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如没有可选的获得批准文号的合法对照药物，则对照药物可选安慰剂，安慰剂应在剂型、外观、气味、口感、质感等特征性状上与试验药物尽量接近，确保临床研究者在盲态下开展研究。</w:t>
      </w:r>
    </w:p>
    <w:p w14:paraId="20301BF3" w14:textId="77777777" w:rsidR="002C5EF7" w:rsidRDefault="00F40349" w:rsidP="001615AB">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（九）疗程及观测时点</w:t>
      </w:r>
    </w:p>
    <w:p w14:paraId="70AD0E9E"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根据药物特点和前期研究信息合理设置观测时点及疗</w:t>
      </w:r>
      <w:r>
        <w:rPr>
          <w:rFonts w:eastAsia="仿宋_GB2312" w:hint="eastAsia"/>
          <w:sz w:val="32"/>
          <w:szCs w:val="32"/>
        </w:rPr>
        <w:lastRenderedPageBreak/>
        <w:t>程，并根据研究目的的不同，科学设计观测的方法、时点、内容等</w:t>
      </w:r>
      <w:bookmarkEnd w:id="6"/>
      <w:r>
        <w:rPr>
          <w:rFonts w:eastAsia="仿宋_GB2312" w:hint="eastAsia"/>
          <w:sz w:val="32"/>
          <w:szCs w:val="32"/>
        </w:rPr>
        <w:t>。</w:t>
      </w:r>
    </w:p>
    <w:p w14:paraId="3A16BF55" w14:textId="77777777" w:rsidR="002C5EF7" w:rsidRDefault="00F40349" w:rsidP="001615AB">
      <w:pPr>
        <w:adjustRightInd w:val="0"/>
        <w:snapToGrid w:val="0"/>
        <w:spacing w:line="560" w:lineRule="exact"/>
        <w:ind w:firstLineChars="200" w:firstLine="643"/>
        <w:rPr>
          <w:rFonts w:eastAsia="仿宋_GB2312"/>
          <w:b/>
          <w:bCs/>
          <w:sz w:val="32"/>
          <w:szCs w:val="32"/>
        </w:rPr>
      </w:pPr>
      <w:bookmarkStart w:id="7" w:name="_Toc499033914"/>
      <w:r>
        <w:rPr>
          <w:rFonts w:eastAsia="仿宋_GB2312" w:hint="eastAsia"/>
          <w:b/>
          <w:bCs/>
          <w:sz w:val="32"/>
          <w:szCs w:val="32"/>
        </w:rPr>
        <w:t>（十）有效性评价</w:t>
      </w:r>
      <w:bookmarkEnd w:id="7"/>
    </w:p>
    <w:p w14:paraId="15B6E424"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的评价。，中兽医证候疗效为复合性指标，包括主症和次症的消除、改善或控制，并可以共同积分的改变。应重视各指标的权重赋值的合理，新兽药治疗牛外感风寒证的具体评价指标如下：</w:t>
      </w:r>
    </w:p>
    <w:p w14:paraId="245AFEC3" w14:textId="79BE5745" w:rsidR="002C5EF7" w:rsidRDefault="000E1EDC" w:rsidP="001615AB">
      <w:pPr>
        <w:adjustRightInd w:val="0"/>
        <w:snapToGrid w:val="0"/>
        <w:spacing w:line="560" w:lineRule="exact"/>
        <w:ind w:firstLineChars="200" w:firstLine="640"/>
        <w:rPr>
          <w:rFonts w:eastAsia="仿宋_GB2312"/>
          <w:sz w:val="32"/>
          <w:szCs w:val="32"/>
        </w:rPr>
      </w:pPr>
      <w:bookmarkStart w:id="8" w:name="_Hlk148517051"/>
      <w:bookmarkStart w:id="9" w:name="_Toc499033918"/>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F40349">
        <w:rPr>
          <w:rFonts w:eastAsia="仿宋_GB2312" w:hint="eastAsia"/>
          <w:sz w:val="32"/>
          <w:szCs w:val="32"/>
        </w:rPr>
        <w:t>治愈：</w:t>
      </w:r>
      <w:bookmarkStart w:id="10" w:name="_Hlk62718055"/>
      <w:r w:rsidR="00F40349">
        <w:rPr>
          <w:rFonts w:eastAsia="仿宋_GB2312" w:hint="eastAsia"/>
          <w:sz w:val="32"/>
          <w:szCs w:val="32"/>
        </w:rPr>
        <w:t>临床证候消除。症状积分</w:t>
      </w:r>
      <w:r w:rsidR="00F40349">
        <w:rPr>
          <w:rFonts w:eastAsia="仿宋_GB2312"/>
          <w:sz w:val="32"/>
          <w:szCs w:val="32"/>
        </w:rPr>
        <w:t>减少</w:t>
      </w:r>
      <w:r w:rsidR="00F40349">
        <w:rPr>
          <w:rFonts w:eastAsia="仿宋_GB2312"/>
          <w:sz w:val="32"/>
          <w:szCs w:val="32"/>
        </w:rPr>
        <w:t>100%</w:t>
      </w:r>
      <w:r w:rsidR="00F40349">
        <w:rPr>
          <w:rFonts w:eastAsia="仿宋_GB2312"/>
          <w:sz w:val="32"/>
          <w:szCs w:val="32"/>
        </w:rPr>
        <w:t>。治疗后</w:t>
      </w:r>
      <w:bookmarkEnd w:id="10"/>
      <w:r w:rsidR="00F40349">
        <w:rPr>
          <w:rFonts w:eastAsia="仿宋_GB2312"/>
          <w:sz w:val="32"/>
          <w:szCs w:val="32"/>
        </w:rPr>
        <w:t>患牛发热、流涕、咳嗽或气喘症状完全消除、鼻镜、精神、食欲、体温等恢复正常；观察期不复发，判为治愈。计算治愈率。</w:t>
      </w:r>
    </w:p>
    <w:p w14:paraId="51EC55D5" w14:textId="4FC51A89" w:rsidR="002C5EF7" w:rsidRDefault="000E1EDC"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sidR="00F40349">
        <w:rPr>
          <w:rFonts w:eastAsia="仿宋_GB2312" w:hint="eastAsia"/>
          <w:sz w:val="32"/>
          <w:szCs w:val="32"/>
        </w:rPr>
        <w:t>显效：临床证候明显改善，症状积分减少≥</w:t>
      </w:r>
      <w:r w:rsidR="00F40349">
        <w:rPr>
          <w:rFonts w:eastAsia="仿宋_GB2312" w:hint="eastAsia"/>
          <w:sz w:val="32"/>
          <w:szCs w:val="32"/>
        </w:rPr>
        <w:t>7</w:t>
      </w:r>
      <w:r w:rsidR="00F40349">
        <w:rPr>
          <w:rFonts w:eastAsia="仿宋_GB2312"/>
          <w:sz w:val="32"/>
          <w:szCs w:val="32"/>
        </w:rPr>
        <w:t>0</w:t>
      </w:r>
      <w:r w:rsidR="00F40349">
        <w:rPr>
          <w:rFonts w:eastAsia="仿宋_GB2312" w:hint="eastAsia"/>
          <w:sz w:val="32"/>
          <w:szCs w:val="32"/>
        </w:rPr>
        <w:t>%</w:t>
      </w:r>
      <w:r w:rsidR="00F40349">
        <w:rPr>
          <w:rFonts w:eastAsia="仿宋_GB2312" w:hint="eastAsia"/>
          <w:sz w:val="32"/>
          <w:szCs w:val="32"/>
        </w:rPr>
        <w:t>。治疗后患牛发热、流涕、咳嗽或气喘症状明显减轻，鼻镜、精神，食欲、大小便等基本恢复正常；观察期内症状不再加重，判断为显效。计算显效率。</w:t>
      </w:r>
    </w:p>
    <w:p w14:paraId="72A5A1CB" w14:textId="261E5057" w:rsidR="002C5EF7" w:rsidRDefault="000E1EDC"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00F40349">
        <w:rPr>
          <w:rFonts w:eastAsia="仿宋_GB2312" w:hint="eastAsia"/>
          <w:sz w:val="32"/>
          <w:szCs w:val="32"/>
        </w:rPr>
        <w:t>有效：临床证候部分改善，</w:t>
      </w:r>
      <w:r w:rsidR="00F40349">
        <w:rPr>
          <w:rFonts w:eastAsia="仿宋_GB2312"/>
          <w:sz w:val="32"/>
          <w:szCs w:val="32"/>
        </w:rPr>
        <w:t>30%</w:t>
      </w:r>
      <w:r w:rsidR="00F40349">
        <w:rPr>
          <w:rFonts w:eastAsia="仿宋_GB2312" w:hint="eastAsia"/>
          <w:sz w:val="32"/>
          <w:szCs w:val="32"/>
        </w:rPr>
        <w:t>≤症状积分减少＜</w:t>
      </w:r>
      <w:r w:rsidR="00F40349">
        <w:rPr>
          <w:rFonts w:eastAsia="仿宋_GB2312"/>
          <w:sz w:val="32"/>
          <w:szCs w:val="32"/>
        </w:rPr>
        <w:t>70%</w:t>
      </w:r>
      <w:r w:rsidR="00F40349">
        <w:rPr>
          <w:rFonts w:eastAsia="仿宋_GB2312" w:hint="eastAsia"/>
          <w:sz w:val="32"/>
          <w:szCs w:val="32"/>
        </w:rPr>
        <w:t>。治疗后发热、流涕、咳嗽气喘症状略有好转，鼻镜、精神、食欲等症状略有好转；观察期内症状不再加重或反复，判断为有效。计算有效率。</w:t>
      </w:r>
    </w:p>
    <w:p w14:paraId="573CEBA5" w14:textId="21B20A34" w:rsidR="002C5EF7" w:rsidRDefault="000E1EDC" w:rsidP="001615A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F40349">
        <w:rPr>
          <w:rFonts w:eastAsia="仿宋_GB2312" w:hint="eastAsia"/>
          <w:sz w:val="32"/>
          <w:szCs w:val="32"/>
        </w:rPr>
        <w:t>无效：临床证候无明显改善，甚或加重，症状积分减少＜</w:t>
      </w:r>
      <w:r w:rsidR="00F40349">
        <w:rPr>
          <w:rFonts w:eastAsia="仿宋_GB2312"/>
          <w:sz w:val="32"/>
          <w:szCs w:val="32"/>
        </w:rPr>
        <w:t>30%</w:t>
      </w:r>
      <w:r w:rsidR="00F40349">
        <w:rPr>
          <w:rFonts w:eastAsia="仿宋_GB2312" w:hint="eastAsia"/>
          <w:sz w:val="32"/>
          <w:szCs w:val="32"/>
        </w:rPr>
        <w:t>。治疗后病牛精神、食欲、发热、流涕、咳嗽气喘症状没有减轻甚至加重，</w:t>
      </w:r>
      <w:bookmarkStart w:id="11" w:name="_Hlk142341103"/>
      <w:r w:rsidR="00F40349">
        <w:rPr>
          <w:rFonts w:eastAsia="仿宋_GB2312" w:hint="eastAsia"/>
          <w:sz w:val="32"/>
          <w:szCs w:val="32"/>
        </w:rPr>
        <w:t>或疾病转化，表现体热、鼻镜干燥、</w:t>
      </w:r>
      <w:bookmarkEnd w:id="11"/>
      <w:r w:rsidR="00F40349">
        <w:rPr>
          <w:rFonts w:eastAsia="仿宋_GB2312" w:hint="eastAsia"/>
          <w:sz w:val="32"/>
          <w:szCs w:val="32"/>
        </w:rPr>
        <w:t>鼻流浓涕，鼻翼结痂，咳嗽气喘加重等症状甚至死亡，判为无效。计算无效率。</w:t>
      </w:r>
    </w:p>
    <w:p w14:paraId="5728FF5E"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最后统计总有效率，总有效率为治愈率、显效率、有效率之和。以治愈率、显效率和总有效率为主要指标</w:t>
      </w:r>
      <w:r>
        <w:rPr>
          <w:rFonts w:ascii="等线" w:eastAsia="仿宋_GB2312" w:hAnsi="等线" w:hint="eastAsia"/>
          <w:sz w:val="32"/>
          <w:szCs w:val="32"/>
        </w:rPr>
        <w:t>，</w:t>
      </w:r>
      <w:r>
        <w:rPr>
          <w:rFonts w:eastAsia="仿宋_GB2312"/>
          <w:sz w:val="32"/>
          <w:szCs w:val="32"/>
        </w:rPr>
        <w:t>综合评价受试药物对牛外感风寒证的疗效。</w:t>
      </w:r>
    </w:p>
    <w:bookmarkEnd w:id="8"/>
    <w:p w14:paraId="5AD99E9A" w14:textId="77777777" w:rsidR="002C5EF7" w:rsidRDefault="00F40349" w:rsidP="001615AB">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（十一）试验的质量控制</w:t>
      </w:r>
    </w:p>
    <w:p w14:paraId="69A65189" w14:textId="77777777" w:rsidR="002C5EF7" w:rsidRDefault="00F40349" w:rsidP="001615AB">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申办方应当选择一种适当的方式，便于评价患病动物在试验过程中每天的症状和体征。</w:t>
      </w:r>
    </w:p>
    <w:p w14:paraId="2C92DB93" w14:textId="77777777" w:rsidR="002C5EF7" w:rsidRDefault="00F40349" w:rsidP="001615AB">
      <w:pPr>
        <w:adjustRightInd w:val="0"/>
        <w:snapToGrid w:val="0"/>
        <w:spacing w:line="560" w:lineRule="exact"/>
        <w:ind w:firstLineChars="200" w:firstLine="640"/>
        <w:rPr>
          <w:rFonts w:eastAsia="仿宋_GB2312"/>
          <w:b/>
          <w:bCs/>
          <w:sz w:val="32"/>
          <w:szCs w:val="32"/>
        </w:rPr>
      </w:pPr>
      <w:r>
        <w:rPr>
          <w:rFonts w:eastAsia="仿宋_GB2312" w:hint="eastAsia"/>
          <w:bCs/>
          <w:sz w:val="32"/>
          <w:szCs w:val="32"/>
        </w:rPr>
        <w:t>对于主观评价指标，质量控制至关重要。若在试验的某个阶段（如探索性试验阶段）未采取盲法设计，应着重注意保证评价者与数据分析者均处于盲态，降低偏倚性。</w:t>
      </w:r>
    </w:p>
    <w:p w14:paraId="18FE51F9" w14:textId="77777777" w:rsidR="002C5EF7" w:rsidRDefault="00F40349" w:rsidP="001615AB">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（十二）统计方法</w:t>
      </w:r>
      <w:bookmarkEnd w:id="9"/>
    </w:p>
    <w:p w14:paraId="6F9B8071" w14:textId="77777777" w:rsidR="002C5EF7" w:rsidRDefault="00F40349" w:rsidP="001615AB">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、相关法规或技术规程的要求进行计算统计。</w:t>
      </w:r>
    </w:p>
    <w:p w14:paraId="3B9B57BA" w14:textId="77777777" w:rsidR="002C5EF7" w:rsidRDefault="002C5EF7" w:rsidP="00924229">
      <w:pPr>
        <w:adjustRightInd w:val="0"/>
        <w:snapToGrid w:val="0"/>
        <w:spacing w:line="560" w:lineRule="exact"/>
        <w:ind w:firstLineChars="200" w:firstLine="640"/>
        <w:rPr>
          <w:rFonts w:eastAsia="仿宋_GB2312"/>
          <w:sz w:val="32"/>
          <w:szCs w:val="32"/>
        </w:rPr>
      </w:pPr>
    </w:p>
    <w:sectPr w:rsidR="002C5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A2058" w14:textId="77777777" w:rsidR="00831E8F" w:rsidRDefault="00831E8F" w:rsidP="00924229">
      <w:r>
        <w:separator/>
      </w:r>
    </w:p>
  </w:endnote>
  <w:endnote w:type="continuationSeparator" w:id="0">
    <w:p w14:paraId="18E4ADCB" w14:textId="77777777" w:rsidR="00831E8F" w:rsidRDefault="00831E8F" w:rsidP="0092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8836" w14:textId="77777777" w:rsidR="00831E8F" w:rsidRDefault="00831E8F" w:rsidP="00924229">
      <w:r>
        <w:separator/>
      </w:r>
    </w:p>
  </w:footnote>
  <w:footnote w:type="continuationSeparator" w:id="0">
    <w:p w14:paraId="3350AE07" w14:textId="77777777" w:rsidR="00831E8F" w:rsidRDefault="00831E8F" w:rsidP="0092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33CD8"/>
    <w:rsid w:val="00035F8F"/>
    <w:rsid w:val="00046674"/>
    <w:rsid w:val="00047DAD"/>
    <w:rsid w:val="00052429"/>
    <w:rsid w:val="00052E6D"/>
    <w:rsid w:val="000A5234"/>
    <w:rsid w:val="000C50A7"/>
    <w:rsid w:val="000E1EDC"/>
    <w:rsid w:val="000E47EC"/>
    <w:rsid w:val="00114FC4"/>
    <w:rsid w:val="00150186"/>
    <w:rsid w:val="001615AB"/>
    <w:rsid w:val="00170A66"/>
    <w:rsid w:val="00197815"/>
    <w:rsid w:val="001A38A6"/>
    <w:rsid w:val="001C532D"/>
    <w:rsid w:val="001C7EDC"/>
    <w:rsid w:val="001E3C73"/>
    <w:rsid w:val="00242FE8"/>
    <w:rsid w:val="002731F3"/>
    <w:rsid w:val="002B1AE9"/>
    <w:rsid w:val="002B6E70"/>
    <w:rsid w:val="002C5EF7"/>
    <w:rsid w:val="002E1ED3"/>
    <w:rsid w:val="002F039E"/>
    <w:rsid w:val="0030785E"/>
    <w:rsid w:val="00324C42"/>
    <w:rsid w:val="003554E2"/>
    <w:rsid w:val="00375030"/>
    <w:rsid w:val="003C1193"/>
    <w:rsid w:val="003D066C"/>
    <w:rsid w:val="003E4655"/>
    <w:rsid w:val="00441314"/>
    <w:rsid w:val="004500A6"/>
    <w:rsid w:val="0046101B"/>
    <w:rsid w:val="00461671"/>
    <w:rsid w:val="004D01D8"/>
    <w:rsid w:val="0051560A"/>
    <w:rsid w:val="00530DA4"/>
    <w:rsid w:val="0054608C"/>
    <w:rsid w:val="00553C5F"/>
    <w:rsid w:val="005569B3"/>
    <w:rsid w:val="00574ABD"/>
    <w:rsid w:val="005765A8"/>
    <w:rsid w:val="00582524"/>
    <w:rsid w:val="005C372E"/>
    <w:rsid w:val="005C7AB8"/>
    <w:rsid w:val="005E6C29"/>
    <w:rsid w:val="005F2034"/>
    <w:rsid w:val="00660975"/>
    <w:rsid w:val="0067449D"/>
    <w:rsid w:val="006A0212"/>
    <w:rsid w:val="006C6E53"/>
    <w:rsid w:val="006D39DE"/>
    <w:rsid w:val="00700BCD"/>
    <w:rsid w:val="00713F57"/>
    <w:rsid w:val="00723C51"/>
    <w:rsid w:val="00735C0D"/>
    <w:rsid w:val="00735E6E"/>
    <w:rsid w:val="00746781"/>
    <w:rsid w:val="00763DC8"/>
    <w:rsid w:val="00786E80"/>
    <w:rsid w:val="007A6D30"/>
    <w:rsid w:val="007C32E2"/>
    <w:rsid w:val="00804631"/>
    <w:rsid w:val="00831E8F"/>
    <w:rsid w:val="00850EC5"/>
    <w:rsid w:val="00871B2E"/>
    <w:rsid w:val="008878C0"/>
    <w:rsid w:val="008A3EE0"/>
    <w:rsid w:val="008C1725"/>
    <w:rsid w:val="008C5A20"/>
    <w:rsid w:val="008C690F"/>
    <w:rsid w:val="00905A0C"/>
    <w:rsid w:val="009165E8"/>
    <w:rsid w:val="00917B1D"/>
    <w:rsid w:val="00924229"/>
    <w:rsid w:val="009546B9"/>
    <w:rsid w:val="0098597C"/>
    <w:rsid w:val="009A0382"/>
    <w:rsid w:val="009D5504"/>
    <w:rsid w:val="009F0BFB"/>
    <w:rsid w:val="009F2CAC"/>
    <w:rsid w:val="00A1392C"/>
    <w:rsid w:val="00A173F4"/>
    <w:rsid w:val="00A80453"/>
    <w:rsid w:val="00A93DEC"/>
    <w:rsid w:val="00A94676"/>
    <w:rsid w:val="00AE46FA"/>
    <w:rsid w:val="00AE60CB"/>
    <w:rsid w:val="00AF1217"/>
    <w:rsid w:val="00B34185"/>
    <w:rsid w:val="00B6326B"/>
    <w:rsid w:val="00B90CA2"/>
    <w:rsid w:val="00BC1BAE"/>
    <w:rsid w:val="00C00EBB"/>
    <w:rsid w:val="00C0328F"/>
    <w:rsid w:val="00C50E44"/>
    <w:rsid w:val="00C615B0"/>
    <w:rsid w:val="00C94E2C"/>
    <w:rsid w:val="00CA4BFE"/>
    <w:rsid w:val="00CA5D3B"/>
    <w:rsid w:val="00CC4574"/>
    <w:rsid w:val="00D258B1"/>
    <w:rsid w:val="00D36184"/>
    <w:rsid w:val="00D4131C"/>
    <w:rsid w:val="00D47677"/>
    <w:rsid w:val="00DB327E"/>
    <w:rsid w:val="00DC25ED"/>
    <w:rsid w:val="00E15A3A"/>
    <w:rsid w:val="00E5296F"/>
    <w:rsid w:val="00EA44E9"/>
    <w:rsid w:val="00F24294"/>
    <w:rsid w:val="00F40349"/>
    <w:rsid w:val="00F51133"/>
    <w:rsid w:val="00F54FA8"/>
    <w:rsid w:val="00F67E62"/>
    <w:rsid w:val="00F8746D"/>
    <w:rsid w:val="00FA57BE"/>
    <w:rsid w:val="00FC121F"/>
    <w:rsid w:val="00FE21FD"/>
    <w:rsid w:val="275A0FDC"/>
    <w:rsid w:val="3E403F0A"/>
    <w:rsid w:val="71FD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BBA1"/>
  <w15:docId w15:val="{B6A96CF8-0009-4F17-807E-4F7E4097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unhideWhenUsed/>
    <w:qFormat/>
    <w:pPr>
      <w:spacing w:line="360" w:lineRule="auto"/>
      <w:ind w:firstLineChars="200" w:firstLine="420"/>
    </w:pPr>
    <w:rPr>
      <w:szCs w:val="21"/>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b"/>
    <w:qFormat/>
    <w:rPr>
      <w:rFonts w:eastAsia="仿宋_GB2312"/>
      <w:sz w:val="32"/>
      <w:szCs w:val="32"/>
    </w:rPr>
  </w:style>
  <w:style w:type="paragraph" w:customStyle="1" w:styleId="ab">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paragraph" w:customStyle="1" w:styleId="1">
    <w:name w:val="修订1"/>
    <w:hidden/>
    <w:uiPriority w:val="99"/>
    <w:semiHidden/>
    <w:qFormat/>
    <w:rPr>
      <w:kern w:val="2"/>
      <w:sz w:val="21"/>
      <w:szCs w:val="24"/>
    </w:rPr>
  </w:style>
  <w:style w:type="paragraph" w:styleId="ac">
    <w:name w:val="List Paragraph"/>
    <w:basedOn w:val="a"/>
    <w:link w:val="Char6"/>
    <w:uiPriority w:val="34"/>
    <w:qFormat/>
    <w:pPr>
      <w:ind w:firstLineChars="200" w:firstLine="420"/>
    </w:pPr>
    <w:rPr>
      <w:rFonts w:ascii="等线" w:eastAsia="等线" w:hAnsi="等线" w:cstheme="minorBidi"/>
      <w:szCs w:val="22"/>
    </w:rPr>
  </w:style>
  <w:style w:type="character" w:customStyle="1" w:styleId="Char6">
    <w:name w:val="列出段落 Char"/>
    <w:link w:val="ac"/>
    <w:uiPriority w:val="34"/>
    <w:qFormat/>
    <w:rPr>
      <w:rFonts w:ascii="等线" w:eastAsia="等线" w:hAnsi="等线"/>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d">
    <w:name w:val="Revision"/>
    <w:hidden/>
    <w:uiPriority w:val="99"/>
    <w:semiHidden/>
    <w:rsid w:val="009242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84DC-09D0-434C-AFEF-EA20ABDC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48623;吴世迪</dc:creator>
  <cp:lastModifiedBy>刘自扬</cp:lastModifiedBy>
  <cp:revision>3</cp:revision>
  <dcterms:created xsi:type="dcterms:W3CDTF">2024-01-25T08:55:00Z</dcterms:created>
  <dcterms:modified xsi:type="dcterms:W3CDTF">2024-01-25T09:29:00Z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CF463DB0B7DF486B8B1AA7AF5DB8EAC2_13</vt:lpwstr>
  </property>
</Properties>
</file>