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71F80" w14:textId="77777777" w:rsidR="0006652F" w:rsidRDefault="0006652F">
      <w:pPr>
        <w:adjustRightInd w:val="0"/>
        <w:snapToGrid w:val="0"/>
        <w:spacing w:line="560" w:lineRule="exact"/>
        <w:ind w:firstLineChars="200" w:firstLine="640"/>
        <w:rPr>
          <w:rFonts w:eastAsia="仿宋_GB2312"/>
          <w:sz w:val="32"/>
          <w:szCs w:val="32"/>
        </w:rPr>
      </w:pPr>
    </w:p>
    <w:p w14:paraId="69703CF1" w14:textId="77777777" w:rsidR="0006652F" w:rsidRDefault="0006652F">
      <w:pPr>
        <w:adjustRightInd w:val="0"/>
        <w:snapToGrid w:val="0"/>
        <w:spacing w:line="560" w:lineRule="exact"/>
        <w:ind w:firstLineChars="200" w:firstLine="640"/>
        <w:rPr>
          <w:rFonts w:eastAsia="仿宋_GB2312"/>
          <w:sz w:val="32"/>
          <w:szCs w:val="32"/>
        </w:rPr>
      </w:pPr>
    </w:p>
    <w:p w14:paraId="11DED723" w14:textId="77777777" w:rsidR="0006652F" w:rsidRDefault="0006652F">
      <w:pPr>
        <w:adjustRightInd w:val="0"/>
        <w:snapToGrid w:val="0"/>
        <w:spacing w:line="560" w:lineRule="exact"/>
        <w:ind w:firstLineChars="200" w:firstLine="640"/>
        <w:rPr>
          <w:rFonts w:eastAsia="仿宋_GB2312"/>
          <w:sz w:val="32"/>
          <w:szCs w:val="32"/>
        </w:rPr>
      </w:pPr>
    </w:p>
    <w:p w14:paraId="2CF012F6" w14:textId="77777777" w:rsidR="0006652F" w:rsidRDefault="0006652F">
      <w:pPr>
        <w:adjustRightInd w:val="0"/>
        <w:snapToGrid w:val="0"/>
        <w:spacing w:line="560" w:lineRule="exact"/>
        <w:ind w:firstLineChars="200" w:firstLine="640"/>
        <w:rPr>
          <w:rFonts w:eastAsia="仿宋_GB2312"/>
          <w:sz w:val="32"/>
          <w:szCs w:val="32"/>
        </w:rPr>
      </w:pPr>
    </w:p>
    <w:p w14:paraId="11143885" w14:textId="77777777" w:rsidR="0006652F" w:rsidRDefault="0006652F">
      <w:pPr>
        <w:adjustRightInd w:val="0"/>
        <w:snapToGrid w:val="0"/>
        <w:spacing w:line="560" w:lineRule="exact"/>
        <w:ind w:firstLineChars="200" w:firstLine="640"/>
        <w:rPr>
          <w:rFonts w:eastAsia="仿宋_GB2312"/>
          <w:sz w:val="32"/>
          <w:szCs w:val="32"/>
        </w:rPr>
      </w:pPr>
    </w:p>
    <w:p w14:paraId="4FC8EEED" w14:textId="77777777" w:rsidR="0006652F" w:rsidRDefault="0006652F">
      <w:pPr>
        <w:adjustRightInd w:val="0"/>
        <w:snapToGrid w:val="0"/>
        <w:spacing w:line="560" w:lineRule="exact"/>
        <w:ind w:firstLineChars="200" w:firstLine="640"/>
        <w:rPr>
          <w:rFonts w:eastAsia="仿宋_GB2312"/>
          <w:sz w:val="32"/>
          <w:szCs w:val="32"/>
        </w:rPr>
      </w:pPr>
    </w:p>
    <w:p w14:paraId="6A82E52B" w14:textId="2B46CDC7" w:rsidR="0006652F" w:rsidRPr="00E6600D" w:rsidRDefault="00C142DE">
      <w:pPr>
        <w:adjustRightInd w:val="0"/>
        <w:snapToGrid w:val="0"/>
        <w:spacing w:beforeLines="100" w:before="312" w:afterLines="100" w:after="312" w:line="560" w:lineRule="exact"/>
        <w:jc w:val="center"/>
        <w:rPr>
          <w:rFonts w:ascii="黑体" w:eastAsia="黑体" w:hAnsi="黑体"/>
          <w:b/>
          <w:sz w:val="32"/>
          <w:szCs w:val="32"/>
        </w:rPr>
      </w:pPr>
      <w:r>
        <w:rPr>
          <w:rFonts w:ascii="黑体" w:eastAsia="黑体" w:hAnsi="黑体" w:hint="eastAsia"/>
          <w:b/>
          <w:sz w:val="32"/>
          <w:szCs w:val="32"/>
        </w:rPr>
        <w:t>用于牛脾胃虚弱</w:t>
      </w:r>
      <w:r w:rsidRPr="00E6600D">
        <w:rPr>
          <w:rFonts w:ascii="黑体" w:eastAsia="黑体" w:hAnsi="黑体" w:hint="eastAsia"/>
          <w:b/>
          <w:sz w:val="32"/>
          <w:szCs w:val="32"/>
        </w:rPr>
        <w:t>证</w:t>
      </w:r>
      <w:r w:rsidR="005D1A03" w:rsidRPr="00E6600D">
        <w:rPr>
          <w:rFonts w:ascii="黑体" w:eastAsia="黑体" w:hAnsi="黑体" w:hint="eastAsia"/>
          <w:b/>
          <w:sz w:val="32"/>
          <w:szCs w:val="32"/>
        </w:rPr>
        <w:t>的兽用</w:t>
      </w:r>
      <w:r w:rsidRPr="00E6600D">
        <w:rPr>
          <w:rFonts w:ascii="黑体" w:eastAsia="黑体" w:hAnsi="黑体" w:hint="eastAsia"/>
          <w:b/>
          <w:sz w:val="32"/>
          <w:szCs w:val="32"/>
        </w:rPr>
        <w:t>中药临床研究技术指导原则</w:t>
      </w:r>
    </w:p>
    <w:p w14:paraId="5651068F" w14:textId="4828158B" w:rsidR="005D1A03" w:rsidRPr="00E6600D" w:rsidRDefault="005D1A03">
      <w:pPr>
        <w:adjustRightInd w:val="0"/>
        <w:snapToGrid w:val="0"/>
        <w:spacing w:beforeLines="100" w:before="312" w:afterLines="100" w:after="312" w:line="560" w:lineRule="exact"/>
        <w:jc w:val="center"/>
        <w:rPr>
          <w:rFonts w:ascii="黑体" w:eastAsia="黑体" w:hAnsi="黑体"/>
          <w:b/>
          <w:sz w:val="32"/>
          <w:szCs w:val="32"/>
        </w:rPr>
      </w:pPr>
      <w:r w:rsidRPr="00E6600D">
        <w:rPr>
          <w:rFonts w:ascii="黑体" w:eastAsia="黑体" w:hAnsi="黑体" w:hint="eastAsia"/>
          <w:b/>
          <w:sz w:val="32"/>
          <w:szCs w:val="32"/>
        </w:rPr>
        <w:t>（</w:t>
      </w:r>
      <w:r w:rsidRPr="00E6600D">
        <w:rPr>
          <w:rFonts w:ascii="黑体" w:eastAsia="黑体" w:hAnsi="黑体"/>
          <w:b/>
          <w:sz w:val="32"/>
          <w:szCs w:val="32"/>
        </w:rPr>
        <w:t>征求意见稿）</w:t>
      </w:r>
    </w:p>
    <w:p w14:paraId="3A9E921D" w14:textId="77777777" w:rsidR="0006652F" w:rsidRDefault="0006652F">
      <w:pPr>
        <w:adjustRightInd w:val="0"/>
        <w:snapToGrid w:val="0"/>
        <w:spacing w:beforeLines="100" w:before="312" w:afterLines="100" w:after="312" w:line="560" w:lineRule="exact"/>
        <w:jc w:val="center"/>
        <w:rPr>
          <w:rFonts w:eastAsia="仿宋_GB2312"/>
          <w:sz w:val="32"/>
          <w:szCs w:val="32"/>
        </w:rPr>
      </w:pPr>
    </w:p>
    <w:p w14:paraId="70584729" w14:textId="77777777" w:rsidR="0006652F" w:rsidRDefault="0006652F">
      <w:pPr>
        <w:adjustRightInd w:val="0"/>
        <w:snapToGrid w:val="0"/>
        <w:spacing w:line="560" w:lineRule="exact"/>
        <w:ind w:firstLineChars="200" w:firstLine="640"/>
        <w:rPr>
          <w:rFonts w:eastAsia="仿宋_GB2312"/>
          <w:sz w:val="32"/>
          <w:szCs w:val="32"/>
        </w:rPr>
      </w:pPr>
    </w:p>
    <w:p w14:paraId="05AEEDEE" w14:textId="77777777" w:rsidR="0006652F" w:rsidRDefault="0006652F">
      <w:pPr>
        <w:adjustRightInd w:val="0"/>
        <w:snapToGrid w:val="0"/>
        <w:spacing w:line="560" w:lineRule="exact"/>
        <w:ind w:firstLineChars="200" w:firstLine="640"/>
        <w:rPr>
          <w:rFonts w:eastAsia="仿宋_GB2312"/>
          <w:sz w:val="32"/>
          <w:szCs w:val="32"/>
        </w:rPr>
      </w:pPr>
    </w:p>
    <w:p w14:paraId="22EA64A8" w14:textId="77777777" w:rsidR="0006652F" w:rsidRDefault="0006652F">
      <w:pPr>
        <w:adjustRightInd w:val="0"/>
        <w:snapToGrid w:val="0"/>
        <w:spacing w:line="560" w:lineRule="exact"/>
        <w:ind w:firstLineChars="200" w:firstLine="640"/>
        <w:rPr>
          <w:rFonts w:eastAsia="仿宋_GB2312"/>
          <w:sz w:val="32"/>
          <w:szCs w:val="32"/>
        </w:rPr>
      </w:pPr>
    </w:p>
    <w:p w14:paraId="1524466B" w14:textId="77777777" w:rsidR="0006652F" w:rsidRDefault="0006652F">
      <w:pPr>
        <w:adjustRightInd w:val="0"/>
        <w:snapToGrid w:val="0"/>
        <w:spacing w:line="560" w:lineRule="exact"/>
        <w:ind w:firstLineChars="200" w:firstLine="640"/>
        <w:rPr>
          <w:rFonts w:eastAsia="仿宋_GB2312"/>
          <w:sz w:val="32"/>
          <w:szCs w:val="32"/>
        </w:rPr>
      </w:pPr>
    </w:p>
    <w:p w14:paraId="2BAE31FE" w14:textId="77777777" w:rsidR="0006652F" w:rsidRDefault="0006652F">
      <w:pPr>
        <w:adjustRightInd w:val="0"/>
        <w:snapToGrid w:val="0"/>
        <w:spacing w:line="560" w:lineRule="exact"/>
        <w:ind w:firstLineChars="200" w:firstLine="640"/>
        <w:rPr>
          <w:rFonts w:eastAsia="仿宋_GB2312"/>
          <w:sz w:val="32"/>
          <w:szCs w:val="32"/>
        </w:rPr>
      </w:pPr>
    </w:p>
    <w:p w14:paraId="54C09CD0" w14:textId="77777777" w:rsidR="0006652F" w:rsidRDefault="0006652F">
      <w:pPr>
        <w:adjustRightInd w:val="0"/>
        <w:snapToGrid w:val="0"/>
        <w:spacing w:line="560" w:lineRule="exact"/>
        <w:ind w:firstLineChars="200" w:firstLine="640"/>
        <w:rPr>
          <w:rFonts w:eastAsia="仿宋_GB2312"/>
          <w:sz w:val="32"/>
          <w:szCs w:val="32"/>
        </w:rPr>
      </w:pPr>
    </w:p>
    <w:p w14:paraId="7C4CB299" w14:textId="77777777" w:rsidR="0006652F" w:rsidRDefault="0006652F">
      <w:pPr>
        <w:adjustRightInd w:val="0"/>
        <w:snapToGrid w:val="0"/>
        <w:spacing w:line="560" w:lineRule="exact"/>
        <w:ind w:firstLineChars="200" w:firstLine="640"/>
        <w:rPr>
          <w:rFonts w:eastAsia="仿宋_GB2312"/>
          <w:sz w:val="32"/>
          <w:szCs w:val="32"/>
        </w:rPr>
      </w:pPr>
    </w:p>
    <w:p w14:paraId="256C8C06" w14:textId="77777777" w:rsidR="0006652F" w:rsidRDefault="0006652F">
      <w:pPr>
        <w:adjustRightInd w:val="0"/>
        <w:snapToGrid w:val="0"/>
        <w:spacing w:line="560" w:lineRule="exact"/>
        <w:ind w:firstLineChars="200" w:firstLine="640"/>
        <w:rPr>
          <w:rFonts w:eastAsia="仿宋_GB2312"/>
          <w:sz w:val="32"/>
          <w:szCs w:val="32"/>
        </w:rPr>
      </w:pPr>
    </w:p>
    <w:p w14:paraId="50448025" w14:textId="77777777" w:rsidR="0006652F" w:rsidRDefault="0006652F">
      <w:pPr>
        <w:adjustRightInd w:val="0"/>
        <w:snapToGrid w:val="0"/>
        <w:spacing w:line="560" w:lineRule="exact"/>
        <w:ind w:firstLineChars="200" w:firstLine="640"/>
        <w:rPr>
          <w:rFonts w:eastAsia="仿宋_GB2312"/>
          <w:sz w:val="32"/>
          <w:szCs w:val="32"/>
        </w:rPr>
      </w:pPr>
    </w:p>
    <w:p w14:paraId="6EF4ED98" w14:textId="77777777" w:rsidR="0006652F" w:rsidRDefault="0006652F">
      <w:pPr>
        <w:adjustRightInd w:val="0"/>
        <w:snapToGrid w:val="0"/>
        <w:spacing w:line="560" w:lineRule="exact"/>
        <w:ind w:firstLineChars="200" w:firstLine="640"/>
        <w:rPr>
          <w:rFonts w:eastAsia="仿宋_GB2312"/>
          <w:sz w:val="32"/>
          <w:szCs w:val="32"/>
        </w:rPr>
      </w:pPr>
    </w:p>
    <w:p w14:paraId="454BDE79" w14:textId="77777777" w:rsidR="0006652F" w:rsidRDefault="0006652F">
      <w:pPr>
        <w:adjustRightInd w:val="0"/>
        <w:snapToGrid w:val="0"/>
        <w:spacing w:line="560" w:lineRule="exact"/>
        <w:rPr>
          <w:rFonts w:eastAsia="仿宋_GB2312"/>
          <w:sz w:val="32"/>
          <w:szCs w:val="32"/>
        </w:rPr>
      </w:pPr>
    </w:p>
    <w:p w14:paraId="0AA2A459" w14:textId="77777777" w:rsidR="0006652F" w:rsidRDefault="0006652F">
      <w:pPr>
        <w:adjustRightInd w:val="0"/>
        <w:snapToGrid w:val="0"/>
        <w:spacing w:line="560" w:lineRule="exact"/>
        <w:rPr>
          <w:rFonts w:eastAsia="仿宋_GB2312"/>
          <w:sz w:val="32"/>
          <w:szCs w:val="32"/>
        </w:rPr>
      </w:pPr>
    </w:p>
    <w:p w14:paraId="1C879C63" w14:textId="77777777" w:rsidR="0006652F" w:rsidRDefault="0006652F">
      <w:pPr>
        <w:adjustRightInd w:val="0"/>
        <w:snapToGrid w:val="0"/>
        <w:spacing w:line="560" w:lineRule="exact"/>
        <w:rPr>
          <w:rFonts w:eastAsia="仿宋_GB2312"/>
          <w:sz w:val="32"/>
          <w:szCs w:val="32"/>
        </w:rPr>
      </w:pPr>
    </w:p>
    <w:p w14:paraId="5F1014CA" w14:textId="77777777" w:rsidR="0006652F" w:rsidRPr="00045FF5" w:rsidRDefault="00C142DE" w:rsidP="00045FF5">
      <w:pPr>
        <w:adjustRightInd w:val="0"/>
        <w:snapToGrid w:val="0"/>
        <w:spacing w:line="560" w:lineRule="exact"/>
        <w:ind w:firstLineChars="200" w:firstLine="640"/>
        <w:rPr>
          <w:rFonts w:ascii="黑体" w:eastAsia="黑体" w:hAnsi="黑体" w:cs="黑体"/>
          <w:bCs/>
          <w:sz w:val="32"/>
          <w:szCs w:val="32"/>
        </w:rPr>
      </w:pPr>
      <w:r w:rsidRPr="00045FF5">
        <w:rPr>
          <w:rFonts w:ascii="黑体" w:eastAsia="黑体" w:hAnsi="黑体" w:cs="黑体" w:hint="eastAsia"/>
          <w:bCs/>
          <w:sz w:val="32"/>
          <w:szCs w:val="32"/>
        </w:rPr>
        <w:lastRenderedPageBreak/>
        <w:t>一、概述</w:t>
      </w:r>
    </w:p>
    <w:p w14:paraId="06FA71C3" w14:textId="77777777" w:rsidR="0006652F" w:rsidRDefault="00C142DE" w:rsidP="002C086B">
      <w:pPr>
        <w:adjustRightInd w:val="0"/>
        <w:snapToGrid w:val="0"/>
        <w:spacing w:line="560" w:lineRule="exact"/>
        <w:ind w:firstLineChars="200" w:firstLine="640"/>
        <w:rPr>
          <w:rFonts w:eastAsia="仿宋_GB2312"/>
          <w:sz w:val="32"/>
          <w:szCs w:val="32"/>
        </w:rPr>
      </w:pPr>
      <w:r>
        <w:rPr>
          <w:rFonts w:eastAsia="仿宋_GB2312" w:hint="eastAsia"/>
          <w:sz w:val="32"/>
          <w:szCs w:val="32"/>
        </w:rPr>
        <w:t>充分可靠的临床研究数据是评价所申报产品临床安全性、有效性的重要依据，为保证兽用中药临床试验结论的确实可靠，本指导原则旨在通过科学、系统地分辨牛脾胃虚弱证证候特点及其演变规律，对诊断标准、纳入标准和疗效评价进行了统一，同时，解决中兽医诊断条目缺乏权重等问题，促进其在兽医临床与科研中的应用，为中兽医临床精准辨治牛脾胃虚弱证，开展安全性、有效性评价提供指导。研究者应根据本指导原则要求，结合牛的地域和品种等因素的影响，在具体实施过程中，可依照实际情况灵活调整。研究应以安全性和有效性为纲，贯穿整个目标适应症研究的始终，增强兽医临床辨治研究的科学性，可靠性和一致性。</w:t>
      </w:r>
    </w:p>
    <w:p w14:paraId="50EAFA4A" w14:textId="77777777" w:rsidR="0006652F" w:rsidRDefault="00C142DE" w:rsidP="002C086B">
      <w:pPr>
        <w:adjustRightInd w:val="0"/>
        <w:snapToGrid w:val="0"/>
        <w:spacing w:line="560" w:lineRule="exact"/>
        <w:ind w:firstLineChars="200" w:firstLine="640"/>
        <w:rPr>
          <w:rFonts w:eastAsia="仿宋_GB2312"/>
          <w:sz w:val="32"/>
          <w:szCs w:val="32"/>
        </w:rPr>
      </w:pPr>
      <w:r>
        <w:rPr>
          <w:rFonts w:eastAsia="仿宋_GB2312" w:hint="eastAsia"/>
          <w:sz w:val="32"/>
          <w:szCs w:val="32"/>
        </w:rPr>
        <w:t>脾胃虚弱证多因冬春气候寒冷，畜舍潮湿，饲养管理不当，饲喂冻料冷水致脾阳受损，或长期营养不足，化源不足，或过饲或长期饲喂单一不易消化的粗纤维，如麦秸、豆秸或发酵、腐败、变质的草料而致消化不良，损伤脾胃，或过劳耗气，或虫积，如蛔虫，绦虫等致营养不良，或久病失治，饥饱不均，患畜草料采食不足，营养不良所致。</w:t>
      </w:r>
    </w:p>
    <w:p w14:paraId="6190C86A" w14:textId="77777777" w:rsidR="0006652F" w:rsidRDefault="00C142DE" w:rsidP="002C086B">
      <w:pPr>
        <w:adjustRightInd w:val="0"/>
        <w:snapToGrid w:val="0"/>
        <w:spacing w:line="560" w:lineRule="exact"/>
        <w:ind w:firstLineChars="200" w:firstLine="640"/>
        <w:rPr>
          <w:rFonts w:eastAsia="仿宋_GB2312"/>
          <w:sz w:val="32"/>
          <w:szCs w:val="32"/>
        </w:rPr>
      </w:pPr>
      <w:r>
        <w:rPr>
          <w:rFonts w:eastAsia="仿宋_GB2312" w:hint="eastAsia"/>
          <w:sz w:val="32"/>
          <w:szCs w:val="32"/>
        </w:rPr>
        <w:t>本证常见于年老体虚牛，或身体素虚，体质孱弱犊牛等。当脾气虚，则运化失调，清不升，浊不降，水湿停留于胃肠致消化不良，完谷不化，发生飧泻；脾气受损，胃主受纳功能不全，且腑气不通，故常见肚腹胀满，食欲降低，甚至慢草不食。脾主肌肉四肢，故见脾虚病牛神情呆滞，精神萎顿，毛焦肷吊，体瘦，运步缓慢无力，喜卧懒动，严重者可见四</w:t>
      </w:r>
      <w:r>
        <w:rPr>
          <w:rFonts w:eastAsia="仿宋_GB2312" w:hint="eastAsia"/>
          <w:sz w:val="32"/>
          <w:szCs w:val="32"/>
        </w:rPr>
        <w:lastRenderedPageBreak/>
        <w:t>肢浮肿。另外，胃气不得蒸腾，故见口色淡白，舌体胖嫩，舌苔白腻或薄黄。现代兽医学中有关体质孱弱，消化吸收功能不良，营养不良，贫血以及寄生虫病等病理过程中常见脾胃虚弱证候，临床上可以将这类疾病病理过程中见有该证候的病例纳入脾胃虚弱证进行辨治。</w:t>
      </w:r>
    </w:p>
    <w:p w14:paraId="0A657B0E" w14:textId="32BC3143" w:rsidR="0006652F" w:rsidRDefault="00C142DE" w:rsidP="00045FF5">
      <w:pPr>
        <w:adjustRightInd w:val="0"/>
        <w:snapToGrid w:val="0"/>
        <w:spacing w:line="560" w:lineRule="exact"/>
        <w:ind w:firstLineChars="200" w:firstLine="643"/>
        <w:rPr>
          <w:rFonts w:eastAsia="仿宋_GB2312"/>
          <w:b/>
          <w:sz w:val="32"/>
          <w:szCs w:val="32"/>
        </w:rPr>
      </w:pPr>
      <w:r>
        <w:rPr>
          <w:rFonts w:ascii="黑体" w:eastAsia="黑体" w:hAnsi="黑体" w:cs="黑体" w:hint="eastAsia"/>
          <w:b/>
          <w:sz w:val="32"/>
          <w:szCs w:val="32"/>
        </w:rPr>
        <w:t>二、临床研究要点</w:t>
      </w:r>
    </w:p>
    <w:p w14:paraId="722E74D1" w14:textId="68D808F8" w:rsidR="0006652F" w:rsidRDefault="00C142DE" w:rsidP="002C086B">
      <w:pPr>
        <w:adjustRightInd w:val="0"/>
        <w:snapToGrid w:val="0"/>
        <w:spacing w:line="560" w:lineRule="exact"/>
        <w:ind w:firstLineChars="200" w:firstLine="640"/>
        <w:rPr>
          <w:rFonts w:eastAsia="仿宋_GB2312"/>
          <w:sz w:val="28"/>
          <w:szCs w:val="28"/>
        </w:rPr>
      </w:pPr>
      <w:r>
        <w:rPr>
          <w:rFonts w:eastAsia="仿宋_GB2312"/>
          <w:sz w:val="32"/>
          <w:szCs w:val="32"/>
        </w:rPr>
        <w:t>新</w:t>
      </w:r>
      <w:r>
        <w:rPr>
          <w:rFonts w:eastAsia="仿宋_GB2312" w:hint="eastAsia"/>
          <w:sz w:val="32"/>
          <w:szCs w:val="32"/>
        </w:rPr>
        <w:t>兽</w:t>
      </w:r>
      <w:r>
        <w:rPr>
          <w:rFonts w:eastAsia="仿宋_GB2312"/>
          <w:sz w:val="32"/>
          <w:szCs w:val="32"/>
        </w:rPr>
        <w:t>药临床试验的主要目的是通过临床试验探索或确</w:t>
      </w:r>
      <w:r>
        <w:rPr>
          <w:rFonts w:eastAsia="仿宋_GB2312" w:hint="eastAsia"/>
          <w:sz w:val="32"/>
          <w:szCs w:val="32"/>
        </w:rPr>
        <w:t>证</w:t>
      </w:r>
      <w:r>
        <w:rPr>
          <w:rFonts w:eastAsia="仿宋_GB2312"/>
          <w:sz w:val="32"/>
          <w:szCs w:val="32"/>
        </w:rPr>
        <w:t>新</w:t>
      </w:r>
      <w:r>
        <w:rPr>
          <w:rFonts w:eastAsia="仿宋_GB2312" w:hint="eastAsia"/>
          <w:sz w:val="32"/>
          <w:szCs w:val="32"/>
        </w:rPr>
        <w:t>兽</w:t>
      </w:r>
      <w:r>
        <w:rPr>
          <w:rFonts w:eastAsia="仿宋_GB2312"/>
          <w:sz w:val="32"/>
          <w:szCs w:val="32"/>
        </w:rPr>
        <w:t>药对</w:t>
      </w:r>
      <w:r>
        <w:rPr>
          <w:rFonts w:eastAsia="仿宋_GB2312" w:hint="eastAsia"/>
          <w:sz w:val="32"/>
          <w:szCs w:val="32"/>
        </w:rPr>
        <w:t>动物的安全性及</w:t>
      </w:r>
      <w:r>
        <w:rPr>
          <w:rFonts w:eastAsia="仿宋_GB2312"/>
          <w:sz w:val="32"/>
          <w:szCs w:val="32"/>
        </w:rPr>
        <w:t>目标适应症</w:t>
      </w:r>
      <w:r>
        <w:rPr>
          <w:rFonts w:eastAsia="仿宋_GB2312" w:hint="eastAsia"/>
          <w:sz w:val="32"/>
          <w:szCs w:val="32"/>
        </w:rPr>
        <w:t>的</w:t>
      </w:r>
      <w:r>
        <w:rPr>
          <w:rFonts w:eastAsia="仿宋_GB2312"/>
          <w:sz w:val="32"/>
          <w:szCs w:val="32"/>
        </w:rPr>
        <w:t>有效性。在开展</w:t>
      </w:r>
      <w:r w:rsidR="00E6600D" w:rsidRPr="00E6600D">
        <w:rPr>
          <w:rFonts w:eastAsia="仿宋_GB2312" w:hint="eastAsia"/>
          <w:sz w:val="32"/>
          <w:szCs w:val="32"/>
        </w:rPr>
        <w:t>兽用中药新药</w:t>
      </w:r>
      <w:r>
        <w:rPr>
          <w:rFonts w:eastAsia="仿宋_GB2312"/>
          <w:sz w:val="32"/>
          <w:szCs w:val="32"/>
        </w:rPr>
        <w:t>的临床试验时，应关注临床试验的目的与定位、疾病诊断标准、纳入</w:t>
      </w:r>
      <w:r>
        <w:rPr>
          <w:rFonts w:eastAsia="仿宋_GB2312" w:hint="eastAsia"/>
          <w:sz w:val="32"/>
          <w:szCs w:val="32"/>
        </w:rPr>
        <w:t>动物情况</w:t>
      </w:r>
      <w:r>
        <w:rPr>
          <w:rFonts w:eastAsia="仿宋_GB2312"/>
          <w:sz w:val="32"/>
          <w:szCs w:val="32"/>
        </w:rPr>
        <w:t>、试验设计与研究方法、给药方案、疗程及疗效观察时点、疗效观察指标、安全性研究与评价以及统计学要求等问题。</w:t>
      </w:r>
    </w:p>
    <w:p w14:paraId="7B44609F" w14:textId="77777777" w:rsidR="0006652F" w:rsidRDefault="00C142DE" w:rsidP="00045FF5">
      <w:pPr>
        <w:adjustRightInd w:val="0"/>
        <w:snapToGrid w:val="0"/>
        <w:spacing w:line="560" w:lineRule="exact"/>
        <w:ind w:firstLineChars="200" w:firstLine="643"/>
        <w:rPr>
          <w:rFonts w:eastAsia="楷体_GB2312"/>
          <w:b/>
          <w:sz w:val="32"/>
          <w:szCs w:val="32"/>
        </w:rPr>
      </w:pPr>
      <w:bookmarkStart w:id="0" w:name="_Toc30966"/>
      <w:r>
        <w:rPr>
          <w:rFonts w:eastAsia="楷体_GB2312" w:hint="eastAsia"/>
          <w:b/>
          <w:sz w:val="32"/>
          <w:szCs w:val="32"/>
        </w:rPr>
        <w:t>（一）临床试验目的和定位</w:t>
      </w:r>
      <w:bookmarkEnd w:id="0"/>
    </w:p>
    <w:p w14:paraId="093BA6C8" w14:textId="568AF73D" w:rsidR="0006652F" w:rsidRPr="00E6600D" w:rsidRDefault="005D1A03" w:rsidP="002C086B">
      <w:pPr>
        <w:adjustRightInd w:val="0"/>
        <w:snapToGrid w:val="0"/>
        <w:spacing w:line="560" w:lineRule="exact"/>
        <w:ind w:firstLineChars="200" w:firstLine="640"/>
        <w:rPr>
          <w:rFonts w:eastAsia="仿宋_GB2312"/>
          <w:sz w:val="32"/>
          <w:szCs w:val="32"/>
        </w:rPr>
      </w:pPr>
      <w:r w:rsidRPr="00E6600D">
        <w:rPr>
          <w:rFonts w:eastAsia="仿宋_GB2312" w:hint="eastAsia"/>
          <w:sz w:val="32"/>
          <w:szCs w:val="32"/>
        </w:rPr>
        <w:t>兽用中药新药</w:t>
      </w:r>
      <w:r w:rsidR="00C142DE" w:rsidRPr="00E6600D">
        <w:rPr>
          <w:rFonts w:eastAsia="仿宋_GB2312"/>
          <w:sz w:val="32"/>
          <w:szCs w:val="32"/>
        </w:rPr>
        <w:t>用于</w:t>
      </w:r>
      <w:r w:rsidR="00C142DE" w:rsidRPr="00E6600D">
        <w:rPr>
          <w:rFonts w:eastAsia="仿宋_GB2312" w:hint="eastAsia"/>
          <w:sz w:val="32"/>
          <w:szCs w:val="32"/>
        </w:rPr>
        <w:t>治疗牛脾胃虚弱证</w:t>
      </w:r>
      <w:r w:rsidR="00C142DE" w:rsidRPr="00E6600D">
        <w:rPr>
          <w:rFonts w:eastAsia="仿宋_GB2312"/>
          <w:sz w:val="32"/>
          <w:szCs w:val="32"/>
        </w:rPr>
        <w:t>临床试验，应是目标明确、设计科学、质量可控和实施规范的一系列研究过程。开展临床试验的首要问题是根据临床</w:t>
      </w:r>
      <w:r w:rsidR="00C142DE" w:rsidRPr="00E6600D">
        <w:rPr>
          <w:rFonts w:eastAsia="仿宋_GB2312" w:hint="eastAsia"/>
          <w:sz w:val="32"/>
          <w:szCs w:val="32"/>
        </w:rPr>
        <w:t>前</w:t>
      </w:r>
      <w:r w:rsidR="00C142DE" w:rsidRPr="00E6600D">
        <w:rPr>
          <w:rFonts w:eastAsia="仿宋_GB2312"/>
          <w:sz w:val="32"/>
          <w:szCs w:val="32"/>
        </w:rPr>
        <w:t>研究</w:t>
      </w:r>
      <w:r w:rsidR="00C142DE" w:rsidRPr="00E6600D">
        <w:rPr>
          <w:rFonts w:eastAsia="仿宋_GB2312" w:hint="eastAsia"/>
          <w:sz w:val="32"/>
          <w:szCs w:val="32"/>
        </w:rPr>
        <w:t>的</w:t>
      </w:r>
      <w:r w:rsidR="00C142DE" w:rsidRPr="00E6600D">
        <w:rPr>
          <w:rFonts w:eastAsia="仿宋_GB2312"/>
          <w:sz w:val="32"/>
          <w:szCs w:val="32"/>
        </w:rPr>
        <w:t>结果，拟定研究目的，明确</w:t>
      </w:r>
      <w:r w:rsidRPr="00E6600D">
        <w:rPr>
          <w:rFonts w:eastAsia="仿宋_GB2312" w:hint="eastAsia"/>
          <w:sz w:val="32"/>
          <w:szCs w:val="32"/>
        </w:rPr>
        <w:t>兽用中</w:t>
      </w:r>
      <w:bookmarkStart w:id="1" w:name="_GoBack"/>
      <w:bookmarkEnd w:id="1"/>
      <w:r w:rsidRPr="00E6600D">
        <w:rPr>
          <w:rFonts w:eastAsia="仿宋_GB2312" w:hint="eastAsia"/>
          <w:sz w:val="32"/>
          <w:szCs w:val="32"/>
        </w:rPr>
        <w:t>药新药</w:t>
      </w:r>
      <w:r w:rsidR="00C142DE" w:rsidRPr="00E6600D">
        <w:rPr>
          <w:rFonts w:eastAsia="仿宋_GB2312" w:hint="eastAsia"/>
          <w:sz w:val="32"/>
          <w:szCs w:val="32"/>
        </w:rPr>
        <w:t>的适应症</w:t>
      </w:r>
      <w:r w:rsidR="00C142DE" w:rsidRPr="00E6600D">
        <w:rPr>
          <w:rFonts w:eastAsia="仿宋_GB2312"/>
          <w:sz w:val="32"/>
          <w:szCs w:val="32"/>
        </w:rPr>
        <w:t>，确定新药</w:t>
      </w:r>
      <w:r w:rsidR="00C142DE" w:rsidRPr="00E6600D">
        <w:rPr>
          <w:rFonts w:eastAsia="仿宋_GB2312" w:hint="eastAsia"/>
          <w:sz w:val="32"/>
          <w:szCs w:val="32"/>
        </w:rPr>
        <w:t>临床应用的功能主治</w:t>
      </w:r>
      <w:r w:rsidR="00C142DE" w:rsidRPr="00E6600D">
        <w:rPr>
          <w:rFonts w:eastAsia="仿宋_GB2312"/>
          <w:sz w:val="32"/>
          <w:szCs w:val="32"/>
        </w:rPr>
        <w:t>定位。</w:t>
      </w:r>
    </w:p>
    <w:p w14:paraId="5079F33D" w14:textId="1A210119" w:rsidR="0006652F" w:rsidRDefault="005D1A03" w:rsidP="002C086B">
      <w:pPr>
        <w:adjustRightInd w:val="0"/>
        <w:snapToGrid w:val="0"/>
        <w:spacing w:line="560" w:lineRule="exact"/>
        <w:ind w:firstLineChars="200" w:firstLine="640"/>
        <w:rPr>
          <w:rFonts w:eastAsia="仿宋_GB2312"/>
          <w:sz w:val="32"/>
          <w:szCs w:val="32"/>
        </w:rPr>
      </w:pPr>
      <w:r w:rsidRPr="00E6600D">
        <w:rPr>
          <w:rFonts w:eastAsia="仿宋_GB2312" w:hint="eastAsia"/>
          <w:bCs/>
          <w:sz w:val="32"/>
          <w:szCs w:val="32"/>
        </w:rPr>
        <w:t>兽用中药新药</w:t>
      </w:r>
      <w:r w:rsidR="00C142DE" w:rsidRPr="00E6600D">
        <w:rPr>
          <w:rFonts w:eastAsia="仿宋_GB2312" w:hint="eastAsia"/>
          <w:bCs/>
          <w:sz w:val="32"/>
          <w:szCs w:val="32"/>
        </w:rPr>
        <w:t>用</w:t>
      </w:r>
      <w:bookmarkStart w:id="2" w:name="_Hlk140913642"/>
      <w:r w:rsidR="00C142DE">
        <w:rPr>
          <w:rFonts w:eastAsia="仿宋_GB2312" w:hint="eastAsia"/>
          <w:bCs/>
          <w:sz w:val="32"/>
          <w:szCs w:val="32"/>
        </w:rPr>
        <w:t>于</w:t>
      </w:r>
      <w:bookmarkEnd w:id="2"/>
      <w:r w:rsidR="00C142DE">
        <w:rPr>
          <w:rFonts w:eastAsia="仿宋_GB2312" w:hint="eastAsia"/>
          <w:bCs/>
          <w:sz w:val="32"/>
          <w:szCs w:val="32"/>
        </w:rPr>
        <w:t>牛脾胃虚弱证的临床定位一般可从以下几方面考虑：</w:t>
      </w:r>
    </w:p>
    <w:p w14:paraId="717547EB" w14:textId="78BA9634" w:rsidR="0006652F" w:rsidRDefault="00C142DE" w:rsidP="002C086B">
      <w:pPr>
        <w:adjustRightInd w:val="0"/>
        <w:snapToGrid w:val="0"/>
        <w:spacing w:line="560" w:lineRule="exact"/>
        <w:ind w:firstLineChars="200" w:firstLine="643"/>
        <w:rPr>
          <w:rFonts w:eastAsia="仿宋_GB2312"/>
          <w:sz w:val="32"/>
          <w:szCs w:val="32"/>
        </w:rPr>
      </w:pPr>
      <w:r>
        <w:rPr>
          <w:rFonts w:eastAsia="仿宋_GB2312"/>
          <w:b/>
          <w:bCs/>
          <w:sz w:val="32"/>
          <w:szCs w:val="32"/>
        </w:rPr>
        <w:t>1.</w:t>
      </w:r>
      <w:r w:rsidR="00C51F05">
        <w:rPr>
          <w:rFonts w:eastAsia="仿宋_GB2312"/>
          <w:b/>
          <w:bCs/>
          <w:sz w:val="32"/>
          <w:szCs w:val="32"/>
        </w:rPr>
        <w:t xml:space="preserve"> </w:t>
      </w:r>
      <w:r>
        <w:rPr>
          <w:rFonts w:eastAsia="仿宋_GB2312" w:hint="eastAsia"/>
          <w:b/>
          <w:bCs/>
          <w:sz w:val="32"/>
          <w:szCs w:val="32"/>
        </w:rPr>
        <w:t>消除或改善病牛慢草不食，粪便稀薄甚则完谷不化</w:t>
      </w:r>
      <w:r>
        <w:rPr>
          <w:rFonts w:eastAsia="仿宋_GB2312"/>
          <w:sz w:val="32"/>
          <w:szCs w:val="32"/>
        </w:rPr>
        <w:t>，</w:t>
      </w:r>
      <w:r>
        <w:rPr>
          <w:rFonts w:eastAsia="仿宋_GB2312" w:hint="eastAsia"/>
          <w:sz w:val="32"/>
          <w:szCs w:val="32"/>
        </w:rPr>
        <w:t>口色淡白，脉细迟无力</w:t>
      </w:r>
      <w:r>
        <w:rPr>
          <w:rFonts w:eastAsia="仿宋_GB2312"/>
          <w:sz w:val="32"/>
          <w:szCs w:val="32"/>
        </w:rPr>
        <w:t>等</w:t>
      </w:r>
      <w:r>
        <w:rPr>
          <w:rFonts w:eastAsia="仿宋_GB2312" w:hint="eastAsia"/>
          <w:sz w:val="32"/>
          <w:szCs w:val="32"/>
        </w:rPr>
        <w:t>症状</w:t>
      </w:r>
      <w:r>
        <w:rPr>
          <w:rFonts w:eastAsia="仿宋_GB2312"/>
          <w:sz w:val="32"/>
          <w:szCs w:val="32"/>
        </w:rPr>
        <w:t>。</w:t>
      </w:r>
    </w:p>
    <w:p w14:paraId="3B54FDA1" w14:textId="4BE900CA" w:rsidR="0006652F" w:rsidRDefault="00C142DE" w:rsidP="002C086B">
      <w:pPr>
        <w:adjustRightInd w:val="0"/>
        <w:snapToGrid w:val="0"/>
        <w:spacing w:line="560" w:lineRule="exact"/>
        <w:ind w:firstLineChars="200" w:firstLine="643"/>
        <w:rPr>
          <w:rFonts w:eastAsia="仿宋_GB2312"/>
          <w:sz w:val="32"/>
          <w:szCs w:val="32"/>
        </w:rPr>
      </w:pPr>
      <w:r>
        <w:rPr>
          <w:rFonts w:eastAsia="仿宋_GB2312"/>
          <w:b/>
          <w:bCs/>
          <w:sz w:val="32"/>
          <w:szCs w:val="32"/>
        </w:rPr>
        <w:t>2.</w:t>
      </w:r>
      <w:r w:rsidR="00C51F05">
        <w:rPr>
          <w:rFonts w:eastAsia="仿宋_GB2312"/>
          <w:b/>
          <w:bCs/>
          <w:sz w:val="32"/>
          <w:szCs w:val="32"/>
        </w:rPr>
        <w:t xml:space="preserve"> </w:t>
      </w:r>
      <w:r>
        <w:rPr>
          <w:rFonts w:eastAsia="仿宋_GB2312" w:hint="eastAsia"/>
          <w:b/>
          <w:bCs/>
          <w:sz w:val="32"/>
          <w:szCs w:val="32"/>
        </w:rPr>
        <w:t>改善病牛脾胃虚弱证的整体状况</w:t>
      </w:r>
      <w:r>
        <w:rPr>
          <w:rFonts w:eastAsia="仿宋_GB2312"/>
          <w:sz w:val="32"/>
          <w:szCs w:val="32"/>
        </w:rPr>
        <w:t xml:space="preserve"> </w:t>
      </w:r>
      <w:r>
        <w:rPr>
          <w:rFonts w:eastAsia="仿宋_GB2312" w:hint="eastAsia"/>
          <w:sz w:val="32"/>
          <w:szCs w:val="32"/>
        </w:rPr>
        <w:t>通过治疗牛脾胃虚弱证，减轻消化不良的症状，以及肢体末端寒冷的严重程度</w:t>
      </w:r>
      <w:r>
        <w:rPr>
          <w:rFonts w:eastAsia="仿宋_GB2312" w:hint="eastAsia"/>
          <w:sz w:val="32"/>
          <w:szCs w:val="32"/>
        </w:rPr>
        <w:lastRenderedPageBreak/>
        <w:t>等，恢复反刍，改善</w:t>
      </w:r>
      <w:r w:rsidR="008A3AA1">
        <w:rPr>
          <w:rFonts w:eastAsia="仿宋_GB2312" w:hint="eastAsia"/>
          <w:sz w:val="32"/>
          <w:szCs w:val="32"/>
        </w:rPr>
        <w:t>病</w:t>
      </w:r>
      <w:r>
        <w:rPr>
          <w:rFonts w:eastAsia="仿宋_GB2312" w:hint="eastAsia"/>
          <w:sz w:val="32"/>
          <w:szCs w:val="32"/>
        </w:rPr>
        <w:t>牛状态，使病情得到一定或完全控制。改善或提高生产性能</w:t>
      </w:r>
      <w:r>
        <w:rPr>
          <w:rFonts w:eastAsia="仿宋_GB2312"/>
          <w:sz w:val="32"/>
          <w:szCs w:val="32"/>
        </w:rPr>
        <w:t>。</w:t>
      </w:r>
    </w:p>
    <w:p w14:paraId="4692DBAF" w14:textId="65266E58" w:rsidR="0006652F" w:rsidRDefault="00C142DE" w:rsidP="002C086B">
      <w:pPr>
        <w:adjustRightInd w:val="0"/>
        <w:snapToGrid w:val="0"/>
        <w:spacing w:line="560" w:lineRule="exact"/>
        <w:ind w:firstLineChars="200" w:firstLine="643"/>
        <w:rPr>
          <w:rFonts w:eastAsia="仿宋_GB2312"/>
          <w:sz w:val="32"/>
          <w:szCs w:val="32"/>
        </w:rPr>
      </w:pPr>
      <w:r>
        <w:rPr>
          <w:rFonts w:eastAsia="仿宋_GB2312"/>
          <w:b/>
          <w:bCs/>
          <w:sz w:val="32"/>
          <w:szCs w:val="32"/>
        </w:rPr>
        <w:t>3.</w:t>
      </w:r>
      <w:r w:rsidR="00C51F05">
        <w:rPr>
          <w:rFonts w:eastAsia="仿宋_GB2312"/>
          <w:b/>
          <w:bCs/>
          <w:sz w:val="32"/>
          <w:szCs w:val="32"/>
        </w:rPr>
        <w:t xml:space="preserve"> </w:t>
      </w:r>
      <w:r>
        <w:rPr>
          <w:rFonts w:eastAsia="仿宋_GB2312" w:hint="eastAsia"/>
          <w:b/>
          <w:bCs/>
          <w:sz w:val="32"/>
          <w:szCs w:val="32"/>
        </w:rPr>
        <w:t>控制疾病的进一步发展</w:t>
      </w:r>
      <w:r>
        <w:rPr>
          <w:rFonts w:eastAsia="仿宋_GB2312"/>
          <w:sz w:val="32"/>
          <w:szCs w:val="32"/>
        </w:rPr>
        <w:t xml:space="preserve"> </w:t>
      </w:r>
      <w:r>
        <w:rPr>
          <w:rFonts w:eastAsia="仿宋_GB2312" w:hint="eastAsia"/>
          <w:sz w:val="32"/>
          <w:szCs w:val="32"/>
        </w:rPr>
        <w:t>牛脾胃虚弱证</w:t>
      </w:r>
      <w:r>
        <w:rPr>
          <w:rFonts w:eastAsia="仿宋_GB2312"/>
          <w:sz w:val="32"/>
          <w:szCs w:val="32"/>
        </w:rPr>
        <w:t>长期反复发作，部分</w:t>
      </w:r>
      <w:r>
        <w:rPr>
          <w:rFonts w:eastAsia="仿宋_GB2312" w:hint="eastAsia"/>
          <w:sz w:val="32"/>
          <w:szCs w:val="32"/>
        </w:rPr>
        <w:t>病牛</w:t>
      </w:r>
      <w:r>
        <w:rPr>
          <w:rFonts w:eastAsia="仿宋_GB2312"/>
          <w:sz w:val="32"/>
          <w:szCs w:val="32"/>
        </w:rPr>
        <w:t>可能</w:t>
      </w:r>
      <w:r>
        <w:rPr>
          <w:rFonts w:eastAsia="仿宋_GB2312" w:hint="eastAsia"/>
          <w:sz w:val="32"/>
          <w:szCs w:val="32"/>
        </w:rPr>
        <w:t>会进一步恶化，出现严重营养不良甚至恶液质乃至全身衰竭，加重机体损伤，用药可以明显控制牛脾胃虚弱证的恶化</w:t>
      </w:r>
      <w:r>
        <w:rPr>
          <w:rFonts w:eastAsia="仿宋_GB2312"/>
          <w:sz w:val="32"/>
          <w:szCs w:val="32"/>
        </w:rPr>
        <w:t>。</w:t>
      </w:r>
    </w:p>
    <w:p w14:paraId="0B02AC62" w14:textId="77777777" w:rsidR="0006652F" w:rsidRDefault="00C142DE" w:rsidP="00045FF5">
      <w:pPr>
        <w:adjustRightInd w:val="0"/>
        <w:snapToGrid w:val="0"/>
        <w:spacing w:line="560" w:lineRule="exact"/>
        <w:ind w:firstLineChars="200" w:firstLine="643"/>
        <w:rPr>
          <w:rFonts w:eastAsia="楷体_GB2312"/>
          <w:b/>
          <w:sz w:val="32"/>
          <w:szCs w:val="32"/>
        </w:rPr>
      </w:pPr>
      <w:r>
        <w:rPr>
          <w:rFonts w:eastAsia="楷体_GB2312" w:hint="eastAsia"/>
          <w:b/>
          <w:sz w:val="32"/>
          <w:szCs w:val="32"/>
        </w:rPr>
        <w:t>（二）证候诊断标准</w:t>
      </w:r>
    </w:p>
    <w:p w14:paraId="009BDCFC" w14:textId="77777777" w:rsidR="0006652F" w:rsidRDefault="00C142DE" w:rsidP="002C086B">
      <w:pPr>
        <w:adjustRightInd w:val="0"/>
        <w:snapToGrid w:val="0"/>
        <w:spacing w:line="560" w:lineRule="exact"/>
        <w:ind w:firstLineChars="200" w:firstLine="640"/>
        <w:rPr>
          <w:rFonts w:eastAsia="仿宋_GB2312"/>
          <w:sz w:val="32"/>
          <w:szCs w:val="32"/>
        </w:rPr>
      </w:pPr>
      <w:r>
        <w:rPr>
          <w:rFonts w:eastAsia="仿宋_GB2312" w:hint="eastAsia"/>
          <w:sz w:val="32"/>
          <w:szCs w:val="32"/>
        </w:rPr>
        <w:t>中兽医临床证候诊断标准可以参照有关国家标准、行业标准或团体标准等进行制定，如无适用的诊断标准，可自行制定并经专家论证达成共识。证候诊断构成要素可采用定性或半定量方式，或主次症的方法，可制定具有中兽医特色的证候诊断量表，满足科学性、合理性，并具有临床实际可操作性。牛脾胃虚弱证中兽医临床证候诊断标准如下：</w:t>
      </w:r>
    </w:p>
    <w:p w14:paraId="7679578E" w14:textId="77777777" w:rsidR="0006652F" w:rsidRPr="002C086B" w:rsidRDefault="00C142DE" w:rsidP="002C086B">
      <w:pPr>
        <w:adjustRightInd w:val="0"/>
        <w:snapToGrid w:val="0"/>
        <w:spacing w:line="560" w:lineRule="exact"/>
        <w:ind w:firstLineChars="200" w:firstLine="640"/>
        <w:rPr>
          <w:rFonts w:eastAsia="仿宋_GB2312"/>
          <w:bCs/>
          <w:sz w:val="32"/>
          <w:szCs w:val="32"/>
        </w:rPr>
      </w:pPr>
      <w:r w:rsidRPr="00045FF5">
        <w:rPr>
          <w:rFonts w:eastAsia="仿宋_GB2312" w:hint="eastAsia"/>
          <w:bCs/>
          <w:sz w:val="32"/>
          <w:szCs w:val="32"/>
        </w:rPr>
        <w:t>主症：</w:t>
      </w:r>
      <w:r w:rsidRPr="002C086B">
        <w:rPr>
          <w:rFonts w:eastAsia="仿宋_GB2312" w:hint="eastAsia"/>
          <w:bCs/>
          <w:sz w:val="32"/>
          <w:szCs w:val="32"/>
        </w:rPr>
        <w:t>少食或不食，体瘦、毛焦肷吊，粪便稀糙甚则完谷不化，反刍减少或停止，鼻镜干燥。</w:t>
      </w:r>
    </w:p>
    <w:p w14:paraId="2820E2A4" w14:textId="77777777" w:rsidR="0006652F" w:rsidRDefault="00C142DE" w:rsidP="002C086B">
      <w:pPr>
        <w:adjustRightInd w:val="0"/>
        <w:snapToGrid w:val="0"/>
        <w:spacing w:line="560" w:lineRule="exact"/>
        <w:ind w:firstLineChars="200" w:firstLine="640"/>
        <w:rPr>
          <w:rFonts w:eastAsia="仿宋_GB2312"/>
          <w:bCs/>
          <w:sz w:val="32"/>
          <w:szCs w:val="32"/>
        </w:rPr>
      </w:pPr>
      <w:r w:rsidRPr="00045FF5">
        <w:rPr>
          <w:rFonts w:eastAsia="仿宋_GB2312" w:hint="eastAsia"/>
          <w:bCs/>
          <w:sz w:val="32"/>
          <w:szCs w:val="32"/>
        </w:rPr>
        <w:t>次症：</w:t>
      </w:r>
      <w:r w:rsidRPr="002C086B">
        <w:rPr>
          <w:rFonts w:eastAsia="仿宋_GB2312" w:hint="eastAsia"/>
          <w:bCs/>
          <w:sz w:val="32"/>
          <w:szCs w:val="32"/>
        </w:rPr>
        <w:t>精神沉郁，喜卧懒动、四肢无力，或四肢浮肿，四肢（耳尖）</w:t>
      </w:r>
      <w:r>
        <w:rPr>
          <w:rFonts w:eastAsia="仿宋_GB2312" w:hint="eastAsia"/>
          <w:bCs/>
          <w:sz w:val="32"/>
          <w:szCs w:val="32"/>
        </w:rPr>
        <w:t>俱凉，口色淡白，脉迟细无力。</w:t>
      </w:r>
    </w:p>
    <w:p w14:paraId="10A37CEE" w14:textId="77777777" w:rsidR="0006652F" w:rsidRDefault="00C142DE" w:rsidP="002C086B">
      <w:pPr>
        <w:adjustRightInd w:val="0"/>
        <w:snapToGrid w:val="0"/>
        <w:spacing w:line="560" w:lineRule="exact"/>
        <w:ind w:firstLineChars="200" w:firstLine="640"/>
        <w:rPr>
          <w:rFonts w:eastAsia="仿宋_GB2312"/>
          <w:sz w:val="32"/>
          <w:szCs w:val="32"/>
        </w:rPr>
      </w:pPr>
      <w:r>
        <w:rPr>
          <w:rFonts w:eastAsia="仿宋_GB2312" w:hint="eastAsia"/>
          <w:bCs/>
          <w:sz w:val="32"/>
          <w:szCs w:val="32"/>
        </w:rPr>
        <w:t>证候确定：</w:t>
      </w:r>
      <w:bookmarkStart w:id="3" w:name="_Hlk142768824"/>
      <w:r>
        <w:rPr>
          <w:rFonts w:eastAsia="仿宋_GB2312" w:hint="eastAsia"/>
          <w:bCs/>
          <w:sz w:val="32"/>
          <w:szCs w:val="32"/>
        </w:rPr>
        <w:t>具备全部主症</w:t>
      </w:r>
      <w:r>
        <w:rPr>
          <w:rFonts w:eastAsia="仿宋_GB2312" w:hint="eastAsia"/>
          <w:sz w:val="32"/>
          <w:szCs w:val="32"/>
        </w:rPr>
        <w:t>和至少</w:t>
      </w:r>
      <w:r>
        <w:rPr>
          <w:rFonts w:eastAsia="仿宋_GB2312" w:hint="eastAsia"/>
          <w:sz w:val="32"/>
          <w:szCs w:val="32"/>
        </w:rPr>
        <w:t>2</w:t>
      </w:r>
      <w:r>
        <w:rPr>
          <w:rFonts w:eastAsia="仿宋_GB2312" w:hint="eastAsia"/>
          <w:sz w:val="32"/>
          <w:szCs w:val="32"/>
        </w:rPr>
        <w:t>项次症者，即可诊断</w:t>
      </w:r>
      <w:r>
        <w:rPr>
          <w:rFonts w:eastAsia="仿宋_GB2312" w:hint="eastAsia"/>
          <w:bCs/>
          <w:sz w:val="32"/>
          <w:szCs w:val="32"/>
        </w:rPr>
        <w:t>为牛脾胃虚弱证</w:t>
      </w:r>
      <w:r>
        <w:rPr>
          <w:rFonts w:eastAsia="仿宋_GB2312" w:hint="eastAsia"/>
          <w:sz w:val="32"/>
          <w:szCs w:val="32"/>
        </w:rPr>
        <w:t>。</w:t>
      </w:r>
    </w:p>
    <w:bookmarkEnd w:id="3"/>
    <w:p w14:paraId="6AFC77A5" w14:textId="77777777" w:rsidR="0006652F" w:rsidRDefault="00C142DE" w:rsidP="00045FF5">
      <w:pPr>
        <w:adjustRightInd w:val="0"/>
        <w:snapToGrid w:val="0"/>
        <w:spacing w:line="560" w:lineRule="exact"/>
        <w:ind w:firstLineChars="200" w:firstLine="643"/>
        <w:rPr>
          <w:rFonts w:eastAsia="楷体_GB2312"/>
          <w:b/>
          <w:sz w:val="32"/>
          <w:szCs w:val="32"/>
        </w:rPr>
      </w:pPr>
      <w:r>
        <w:rPr>
          <w:rFonts w:eastAsia="楷体_GB2312" w:hint="eastAsia"/>
          <w:b/>
          <w:sz w:val="32"/>
          <w:szCs w:val="32"/>
        </w:rPr>
        <w:t>（三）</w:t>
      </w:r>
      <w:bookmarkStart w:id="4" w:name="_Hlk140918227"/>
      <w:r>
        <w:rPr>
          <w:rFonts w:eastAsia="楷体_GB2312" w:hint="eastAsia"/>
          <w:b/>
          <w:sz w:val="32"/>
          <w:szCs w:val="32"/>
        </w:rPr>
        <w:t>症状评分</w:t>
      </w:r>
      <w:bookmarkEnd w:id="4"/>
      <w:r>
        <w:rPr>
          <w:rFonts w:eastAsia="楷体_GB2312" w:hint="eastAsia"/>
          <w:b/>
          <w:sz w:val="32"/>
          <w:szCs w:val="32"/>
        </w:rPr>
        <w:t>赋值</w:t>
      </w:r>
    </w:p>
    <w:p w14:paraId="7286F631" w14:textId="77777777" w:rsidR="0006652F" w:rsidRDefault="00C142DE" w:rsidP="002C086B">
      <w:pPr>
        <w:adjustRightInd w:val="0"/>
        <w:snapToGrid w:val="0"/>
        <w:spacing w:line="560" w:lineRule="exact"/>
        <w:ind w:firstLineChars="200" w:firstLine="640"/>
        <w:rPr>
          <w:rFonts w:eastAsia="仿宋_GB2312"/>
          <w:sz w:val="32"/>
          <w:szCs w:val="32"/>
        </w:rPr>
      </w:pPr>
      <w:r>
        <w:rPr>
          <w:rFonts w:eastAsia="仿宋_GB2312" w:hint="eastAsia"/>
          <w:sz w:val="32"/>
          <w:szCs w:val="32"/>
        </w:rPr>
        <w:t>根据牛脾胃虚弱证症状的严重程度制定症状评分，见表</w:t>
      </w:r>
      <w:r>
        <w:rPr>
          <w:rFonts w:eastAsia="仿宋_GB2312" w:hint="eastAsia"/>
          <w:sz w:val="32"/>
          <w:szCs w:val="32"/>
        </w:rPr>
        <w:t>1</w:t>
      </w:r>
      <w:r>
        <w:rPr>
          <w:rFonts w:eastAsia="仿宋_GB2312" w:hint="eastAsia"/>
          <w:sz w:val="32"/>
          <w:szCs w:val="32"/>
        </w:rPr>
        <w:t>、表</w:t>
      </w:r>
      <w:r>
        <w:rPr>
          <w:rFonts w:eastAsia="仿宋_GB2312" w:hint="eastAsia"/>
          <w:sz w:val="32"/>
          <w:szCs w:val="32"/>
        </w:rPr>
        <w:t>2</w:t>
      </w:r>
      <w:r>
        <w:rPr>
          <w:rFonts w:eastAsia="仿宋_GB2312" w:hint="eastAsia"/>
          <w:sz w:val="32"/>
          <w:szCs w:val="32"/>
        </w:rPr>
        <w:t>。</w:t>
      </w:r>
    </w:p>
    <w:p w14:paraId="3E9F9C61" w14:textId="0E640E6C" w:rsidR="0006652F" w:rsidRDefault="00C142DE" w:rsidP="00045FF5">
      <w:pPr>
        <w:spacing w:line="560" w:lineRule="exact"/>
        <w:jc w:val="center"/>
        <w:rPr>
          <w:rFonts w:eastAsia="仿宋_GB2312"/>
          <w:sz w:val="32"/>
          <w:szCs w:val="32"/>
        </w:rPr>
      </w:pPr>
      <w:r>
        <w:rPr>
          <w:rFonts w:eastAsia="仿宋_GB2312" w:hint="eastAsia"/>
          <w:sz w:val="32"/>
          <w:szCs w:val="32"/>
        </w:rPr>
        <w:t>表</w:t>
      </w:r>
      <w:r>
        <w:rPr>
          <w:rFonts w:eastAsia="仿宋_GB2312" w:hint="eastAsia"/>
          <w:sz w:val="32"/>
          <w:szCs w:val="32"/>
        </w:rPr>
        <w:t xml:space="preserve">1 </w:t>
      </w:r>
      <w:r>
        <w:rPr>
          <w:rFonts w:eastAsia="仿宋_GB2312" w:hint="eastAsia"/>
          <w:sz w:val="32"/>
          <w:szCs w:val="32"/>
        </w:rPr>
        <w:t>牛脾胃虚弱证主症评分标准</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42"/>
        <w:gridCol w:w="1228"/>
        <w:gridCol w:w="1434"/>
        <w:gridCol w:w="2213"/>
        <w:gridCol w:w="1889"/>
      </w:tblGrid>
      <w:tr w:rsidR="0006652F" w14:paraId="427F2C6D" w14:textId="77777777" w:rsidTr="00045FF5">
        <w:trPr>
          <w:trHeight w:val="358"/>
          <w:jc w:val="center"/>
        </w:trPr>
        <w:tc>
          <w:tcPr>
            <w:tcW w:w="929" w:type="pct"/>
            <w:tcBorders>
              <w:top w:val="single" w:sz="8" w:space="0" w:color="auto"/>
              <w:bottom w:val="single" w:sz="4" w:space="0" w:color="auto"/>
            </w:tcBorders>
            <w:vAlign w:val="center"/>
          </w:tcPr>
          <w:p w14:paraId="0C3F0258" w14:textId="77777777" w:rsidR="0006652F" w:rsidRPr="00C51F05" w:rsidRDefault="003B0558" w:rsidP="00045FF5">
            <w:pPr>
              <w:jc w:val="center"/>
              <w:rPr>
                <w:rFonts w:eastAsia="仿宋_GB2312"/>
                <w:b/>
                <w:szCs w:val="21"/>
              </w:rPr>
            </w:pPr>
            <w:r w:rsidRPr="00C51F05">
              <w:rPr>
                <w:rFonts w:eastAsia="仿宋_GB2312" w:hint="eastAsia"/>
                <w:b/>
                <w:szCs w:val="21"/>
              </w:rPr>
              <w:t>指标</w:t>
            </w:r>
          </w:p>
        </w:tc>
        <w:tc>
          <w:tcPr>
            <w:tcW w:w="739" w:type="pct"/>
            <w:tcBorders>
              <w:top w:val="single" w:sz="8" w:space="0" w:color="auto"/>
              <w:bottom w:val="single" w:sz="4" w:space="0" w:color="auto"/>
            </w:tcBorders>
            <w:vAlign w:val="center"/>
          </w:tcPr>
          <w:p w14:paraId="684999EC" w14:textId="77777777" w:rsidR="0006652F" w:rsidRPr="00C51F05" w:rsidRDefault="00C142DE" w:rsidP="00045FF5">
            <w:pPr>
              <w:jc w:val="center"/>
              <w:rPr>
                <w:rFonts w:eastAsia="仿宋_GB2312"/>
                <w:b/>
                <w:szCs w:val="21"/>
              </w:rPr>
            </w:pPr>
            <w:r w:rsidRPr="00C51F05">
              <w:rPr>
                <w:rFonts w:eastAsia="仿宋_GB2312" w:hint="eastAsia"/>
                <w:b/>
                <w:szCs w:val="21"/>
              </w:rPr>
              <w:t>正常（</w:t>
            </w:r>
            <w:r w:rsidRPr="00C51F05">
              <w:rPr>
                <w:rFonts w:eastAsia="仿宋_GB2312"/>
                <w:b/>
                <w:szCs w:val="21"/>
              </w:rPr>
              <w:t>0</w:t>
            </w:r>
            <w:r w:rsidRPr="00C51F05">
              <w:rPr>
                <w:rFonts w:eastAsia="仿宋_GB2312" w:hint="eastAsia"/>
                <w:b/>
                <w:szCs w:val="21"/>
              </w:rPr>
              <w:t>分）</w:t>
            </w:r>
          </w:p>
        </w:tc>
        <w:tc>
          <w:tcPr>
            <w:tcW w:w="863" w:type="pct"/>
            <w:tcBorders>
              <w:top w:val="single" w:sz="8" w:space="0" w:color="auto"/>
              <w:bottom w:val="single" w:sz="4" w:space="0" w:color="auto"/>
            </w:tcBorders>
            <w:vAlign w:val="center"/>
          </w:tcPr>
          <w:p w14:paraId="6AA2D629" w14:textId="77777777" w:rsidR="0006652F" w:rsidRPr="00C51F05" w:rsidRDefault="00C142DE" w:rsidP="00045FF5">
            <w:pPr>
              <w:jc w:val="center"/>
              <w:rPr>
                <w:rFonts w:eastAsia="仿宋_GB2312"/>
                <w:b/>
                <w:szCs w:val="21"/>
              </w:rPr>
            </w:pPr>
            <w:r w:rsidRPr="00C51F05">
              <w:rPr>
                <w:rFonts w:eastAsia="仿宋_GB2312" w:hint="eastAsia"/>
                <w:b/>
                <w:szCs w:val="21"/>
              </w:rPr>
              <w:t>轻度（</w:t>
            </w:r>
            <w:r w:rsidRPr="00C51F05">
              <w:rPr>
                <w:rFonts w:eastAsia="仿宋_GB2312"/>
                <w:b/>
                <w:szCs w:val="21"/>
              </w:rPr>
              <w:t>2</w:t>
            </w:r>
            <w:r w:rsidRPr="00C51F05">
              <w:rPr>
                <w:rFonts w:eastAsia="仿宋_GB2312" w:hint="eastAsia"/>
                <w:b/>
                <w:szCs w:val="21"/>
              </w:rPr>
              <w:t>分）</w:t>
            </w:r>
          </w:p>
        </w:tc>
        <w:tc>
          <w:tcPr>
            <w:tcW w:w="1332" w:type="pct"/>
            <w:tcBorders>
              <w:top w:val="single" w:sz="8" w:space="0" w:color="auto"/>
              <w:bottom w:val="single" w:sz="4" w:space="0" w:color="auto"/>
            </w:tcBorders>
            <w:vAlign w:val="center"/>
          </w:tcPr>
          <w:p w14:paraId="03FEE486" w14:textId="77777777" w:rsidR="0006652F" w:rsidRPr="00C51F05" w:rsidRDefault="00C142DE" w:rsidP="00045FF5">
            <w:pPr>
              <w:jc w:val="center"/>
              <w:rPr>
                <w:rFonts w:eastAsia="仿宋_GB2312"/>
                <w:b/>
                <w:szCs w:val="21"/>
              </w:rPr>
            </w:pPr>
            <w:r w:rsidRPr="00C51F05">
              <w:rPr>
                <w:rFonts w:eastAsia="仿宋_GB2312" w:hint="eastAsia"/>
                <w:b/>
                <w:szCs w:val="21"/>
              </w:rPr>
              <w:t>中度（</w:t>
            </w:r>
            <w:r w:rsidRPr="00C51F05">
              <w:rPr>
                <w:rFonts w:eastAsia="仿宋_GB2312"/>
                <w:b/>
                <w:szCs w:val="21"/>
              </w:rPr>
              <w:t>4</w:t>
            </w:r>
            <w:r w:rsidRPr="00C51F05">
              <w:rPr>
                <w:rFonts w:eastAsia="仿宋_GB2312" w:hint="eastAsia"/>
                <w:b/>
                <w:szCs w:val="21"/>
              </w:rPr>
              <w:t>分）</w:t>
            </w:r>
          </w:p>
        </w:tc>
        <w:tc>
          <w:tcPr>
            <w:tcW w:w="1138" w:type="pct"/>
            <w:tcBorders>
              <w:top w:val="single" w:sz="8" w:space="0" w:color="auto"/>
              <w:bottom w:val="single" w:sz="4" w:space="0" w:color="auto"/>
            </w:tcBorders>
            <w:vAlign w:val="center"/>
          </w:tcPr>
          <w:p w14:paraId="6491A54B" w14:textId="77777777" w:rsidR="0006652F" w:rsidRPr="00C51F05" w:rsidRDefault="00C142DE" w:rsidP="00045FF5">
            <w:pPr>
              <w:jc w:val="center"/>
              <w:rPr>
                <w:rFonts w:eastAsia="仿宋_GB2312"/>
                <w:b/>
                <w:szCs w:val="21"/>
              </w:rPr>
            </w:pPr>
            <w:r w:rsidRPr="00C51F05">
              <w:rPr>
                <w:rFonts w:eastAsia="仿宋_GB2312" w:hint="eastAsia"/>
                <w:b/>
                <w:szCs w:val="21"/>
              </w:rPr>
              <w:t>重度（</w:t>
            </w:r>
            <w:r w:rsidRPr="00C51F05">
              <w:rPr>
                <w:rFonts w:eastAsia="仿宋_GB2312"/>
                <w:b/>
                <w:szCs w:val="21"/>
              </w:rPr>
              <w:t>6</w:t>
            </w:r>
            <w:r w:rsidRPr="00C51F05">
              <w:rPr>
                <w:rFonts w:eastAsia="仿宋_GB2312" w:hint="eastAsia"/>
                <w:b/>
                <w:szCs w:val="21"/>
              </w:rPr>
              <w:t>分）</w:t>
            </w:r>
          </w:p>
        </w:tc>
      </w:tr>
      <w:tr w:rsidR="0006652F" w14:paraId="4A8ABD4E" w14:textId="77777777">
        <w:trPr>
          <w:trHeight w:val="326"/>
          <w:jc w:val="center"/>
        </w:trPr>
        <w:tc>
          <w:tcPr>
            <w:tcW w:w="929" w:type="pct"/>
            <w:tcBorders>
              <w:top w:val="nil"/>
              <w:bottom w:val="nil"/>
            </w:tcBorders>
            <w:vAlign w:val="center"/>
          </w:tcPr>
          <w:p w14:paraId="23D826F1" w14:textId="77777777" w:rsidR="0006652F" w:rsidRPr="005F7554" w:rsidRDefault="00C142DE" w:rsidP="00536DF3">
            <w:pPr>
              <w:jc w:val="center"/>
              <w:rPr>
                <w:rFonts w:eastAsia="仿宋_GB2312"/>
                <w:szCs w:val="21"/>
              </w:rPr>
            </w:pPr>
            <w:r w:rsidRPr="005F7554">
              <w:rPr>
                <w:rFonts w:eastAsia="仿宋_GB2312" w:hint="eastAsia"/>
                <w:szCs w:val="21"/>
              </w:rPr>
              <w:t>采食</w:t>
            </w:r>
          </w:p>
        </w:tc>
        <w:tc>
          <w:tcPr>
            <w:tcW w:w="739" w:type="pct"/>
            <w:tcBorders>
              <w:top w:val="nil"/>
              <w:bottom w:val="nil"/>
            </w:tcBorders>
            <w:vAlign w:val="center"/>
          </w:tcPr>
          <w:p w14:paraId="365AC11F" w14:textId="77777777" w:rsidR="0006652F" w:rsidRPr="005F7554" w:rsidRDefault="00C142DE" w:rsidP="00536DF3">
            <w:pPr>
              <w:jc w:val="center"/>
              <w:rPr>
                <w:rFonts w:eastAsia="仿宋_GB2312"/>
                <w:szCs w:val="21"/>
              </w:rPr>
            </w:pPr>
            <w:r w:rsidRPr="005F7554">
              <w:rPr>
                <w:rFonts w:eastAsia="仿宋_GB2312" w:hint="eastAsia"/>
                <w:szCs w:val="21"/>
              </w:rPr>
              <w:t>正常</w:t>
            </w:r>
          </w:p>
        </w:tc>
        <w:tc>
          <w:tcPr>
            <w:tcW w:w="863" w:type="pct"/>
            <w:tcBorders>
              <w:top w:val="nil"/>
              <w:bottom w:val="nil"/>
            </w:tcBorders>
            <w:vAlign w:val="center"/>
          </w:tcPr>
          <w:p w14:paraId="52AF865F" w14:textId="77777777" w:rsidR="0006652F" w:rsidRPr="005F7554" w:rsidRDefault="00C142DE" w:rsidP="00536DF3">
            <w:pPr>
              <w:jc w:val="center"/>
              <w:rPr>
                <w:rFonts w:eastAsia="仿宋_GB2312"/>
                <w:szCs w:val="21"/>
              </w:rPr>
            </w:pPr>
            <w:r w:rsidRPr="005F7554">
              <w:rPr>
                <w:rFonts w:eastAsia="仿宋_GB2312" w:hint="eastAsia"/>
                <w:szCs w:val="21"/>
              </w:rPr>
              <w:t>采食减少</w:t>
            </w:r>
            <w:r w:rsidRPr="005F7554">
              <w:rPr>
                <w:rFonts w:eastAsia="仿宋_GB2312"/>
                <w:szCs w:val="21"/>
              </w:rPr>
              <w:t>10-</w:t>
            </w:r>
            <w:r w:rsidRPr="005F7554">
              <w:rPr>
                <w:rFonts w:eastAsia="仿宋_GB2312"/>
                <w:szCs w:val="21"/>
              </w:rPr>
              <w:lastRenderedPageBreak/>
              <w:t>20%</w:t>
            </w:r>
          </w:p>
        </w:tc>
        <w:tc>
          <w:tcPr>
            <w:tcW w:w="1332" w:type="pct"/>
            <w:tcBorders>
              <w:top w:val="nil"/>
              <w:bottom w:val="nil"/>
            </w:tcBorders>
            <w:vAlign w:val="center"/>
          </w:tcPr>
          <w:p w14:paraId="32C2C89F" w14:textId="77777777" w:rsidR="0006652F" w:rsidRPr="005F7554" w:rsidRDefault="00C142DE" w:rsidP="00536DF3">
            <w:pPr>
              <w:jc w:val="center"/>
              <w:rPr>
                <w:rFonts w:eastAsia="仿宋_GB2312"/>
                <w:szCs w:val="21"/>
              </w:rPr>
            </w:pPr>
            <w:r w:rsidRPr="005F7554">
              <w:rPr>
                <w:rFonts w:eastAsia="仿宋_GB2312" w:hint="eastAsia"/>
                <w:szCs w:val="21"/>
              </w:rPr>
              <w:lastRenderedPageBreak/>
              <w:t>慢草，食欲明显降</w:t>
            </w:r>
            <w:r w:rsidRPr="005F7554">
              <w:rPr>
                <w:rFonts w:eastAsia="仿宋_GB2312" w:hint="eastAsia"/>
                <w:szCs w:val="21"/>
              </w:rPr>
              <w:lastRenderedPageBreak/>
              <w:t>低，采食减少</w:t>
            </w:r>
            <w:r w:rsidRPr="005F7554">
              <w:rPr>
                <w:rFonts w:eastAsia="仿宋_GB2312"/>
                <w:szCs w:val="21"/>
              </w:rPr>
              <w:t>20-50%</w:t>
            </w:r>
          </w:p>
        </w:tc>
        <w:tc>
          <w:tcPr>
            <w:tcW w:w="1138" w:type="pct"/>
            <w:tcBorders>
              <w:top w:val="nil"/>
              <w:bottom w:val="nil"/>
            </w:tcBorders>
            <w:vAlign w:val="center"/>
          </w:tcPr>
          <w:p w14:paraId="75975AFE" w14:textId="77777777" w:rsidR="0006652F" w:rsidRPr="005F7554" w:rsidRDefault="00C142DE" w:rsidP="00536DF3">
            <w:pPr>
              <w:jc w:val="center"/>
              <w:rPr>
                <w:rFonts w:eastAsia="仿宋_GB2312"/>
                <w:szCs w:val="21"/>
              </w:rPr>
            </w:pPr>
            <w:r w:rsidRPr="005F7554">
              <w:rPr>
                <w:rFonts w:eastAsia="仿宋_GB2312" w:hint="eastAsia"/>
                <w:szCs w:val="21"/>
              </w:rPr>
              <w:lastRenderedPageBreak/>
              <w:t>食欲急剧下降，</w:t>
            </w:r>
            <w:r w:rsidRPr="005F7554">
              <w:rPr>
                <w:rFonts w:eastAsia="仿宋_GB2312" w:hint="eastAsia"/>
                <w:szCs w:val="21"/>
              </w:rPr>
              <w:lastRenderedPageBreak/>
              <w:t>采食减少</w:t>
            </w:r>
            <w:r w:rsidRPr="005F7554">
              <w:rPr>
                <w:rFonts w:eastAsia="仿宋_GB2312"/>
                <w:szCs w:val="21"/>
              </w:rPr>
              <w:t>50%</w:t>
            </w:r>
            <w:r w:rsidRPr="005F7554">
              <w:rPr>
                <w:rFonts w:eastAsia="仿宋_GB2312" w:hint="eastAsia"/>
                <w:szCs w:val="21"/>
              </w:rPr>
              <w:t>以上，甚或食欲废绝</w:t>
            </w:r>
          </w:p>
        </w:tc>
      </w:tr>
      <w:tr w:rsidR="0006652F" w14:paraId="56F9E150" w14:textId="77777777">
        <w:trPr>
          <w:trHeight w:val="326"/>
          <w:jc w:val="center"/>
        </w:trPr>
        <w:tc>
          <w:tcPr>
            <w:tcW w:w="929" w:type="pct"/>
            <w:tcBorders>
              <w:top w:val="nil"/>
              <w:bottom w:val="nil"/>
            </w:tcBorders>
            <w:vAlign w:val="center"/>
          </w:tcPr>
          <w:p w14:paraId="478D3D11" w14:textId="77777777" w:rsidR="0006652F" w:rsidRPr="005F7554" w:rsidRDefault="00C142DE" w:rsidP="00536DF3">
            <w:pPr>
              <w:jc w:val="center"/>
              <w:rPr>
                <w:rFonts w:eastAsia="仿宋_GB2312"/>
                <w:szCs w:val="21"/>
              </w:rPr>
            </w:pPr>
            <w:r w:rsidRPr="005F7554">
              <w:rPr>
                <w:rFonts w:eastAsia="仿宋_GB2312" w:hint="eastAsia"/>
                <w:szCs w:val="21"/>
              </w:rPr>
              <w:lastRenderedPageBreak/>
              <w:t>被毛、体况</w:t>
            </w:r>
          </w:p>
        </w:tc>
        <w:tc>
          <w:tcPr>
            <w:tcW w:w="739" w:type="pct"/>
            <w:tcBorders>
              <w:top w:val="nil"/>
              <w:bottom w:val="nil"/>
            </w:tcBorders>
            <w:vAlign w:val="center"/>
          </w:tcPr>
          <w:p w14:paraId="106C85F4" w14:textId="77777777" w:rsidR="0006652F" w:rsidRPr="005F7554" w:rsidRDefault="00C142DE" w:rsidP="00536DF3">
            <w:pPr>
              <w:jc w:val="center"/>
              <w:rPr>
                <w:rFonts w:eastAsia="仿宋_GB2312"/>
                <w:szCs w:val="21"/>
              </w:rPr>
            </w:pPr>
            <w:r w:rsidRPr="005F7554">
              <w:rPr>
                <w:rFonts w:eastAsia="仿宋_GB2312" w:hint="eastAsia"/>
                <w:szCs w:val="21"/>
              </w:rPr>
              <w:t>正常</w:t>
            </w:r>
          </w:p>
        </w:tc>
        <w:tc>
          <w:tcPr>
            <w:tcW w:w="863" w:type="pct"/>
            <w:tcBorders>
              <w:top w:val="nil"/>
              <w:bottom w:val="nil"/>
            </w:tcBorders>
            <w:vAlign w:val="center"/>
          </w:tcPr>
          <w:p w14:paraId="2E5B8DC6" w14:textId="77777777" w:rsidR="0006652F" w:rsidRPr="005F7554" w:rsidRDefault="00C142DE" w:rsidP="00536DF3">
            <w:pPr>
              <w:jc w:val="center"/>
              <w:rPr>
                <w:rFonts w:eastAsia="仿宋_GB2312"/>
                <w:szCs w:val="21"/>
              </w:rPr>
            </w:pPr>
            <w:r w:rsidRPr="005F7554">
              <w:rPr>
                <w:rFonts w:eastAsia="仿宋_GB2312" w:hint="eastAsia"/>
                <w:szCs w:val="21"/>
              </w:rPr>
              <w:t>被毛粗乱、稍瘦</w:t>
            </w:r>
          </w:p>
        </w:tc>
        <w:tc>
          <w:tcPr>
            <w:tcW w:w="1332" w:type="pct"/>
            <w:tcBorders>
              <w:top w:val="nil"/>
              <w:bottom w:val="nil"/>
            </w:tcBorders>
            <w:vAlign w:val="center"/>
          </w:tcPr>
          <w:p w14:paraId="095ABE3F" w14:textId="77777777" w:rsidR="0006652F" w:rsidRPr="005F7554" w:rsidRDefault="00C142DE" w:rsidP="00536DF3">
            <w:pPr>
              <w:jc w:val="center"/>
              <w:rPr>
                <w:rFonts w:eastAsia="仿宋_GB2312"/>
                <w:szCs w:val="21"/>
              </w:rPr>
            </w:pPr>
            <w:r w:rsidRPr="005F7554">
              <w:rPr>
                <w:rFonts w:eastAsia="仿宋_GB2312" w:hint="eastAsia"/>
                <w:szCs w:val="21"/>
              </w:rPr>
              <w:t>被毛粗乱，稍瘦明显</w:t>
            </w:r>
          </w:p>
        </w:tc>
        <w:tc>
          <w:tcPr>
            <w:tcW w:w="1138" w:type="pct"/>
            <w:tcBorders>
              <w:top w:val="nil"/>
              <w:bottom w:val="nil"/>
            </w:tcBorders>
            <w:vAlign w:val="center"/>
          </w:tcPr>
          <w:p w14:paraId="79413E24" w14:textId="77777777" w:rsidR="0006652F" w:rsidRPr="005F7554" w:rsidRDefault="00C142DE" w:rsidP="00536DF3">
            <w:pPr>
              <w:jc w:val="center"/>
              <w:rPr>
                <w:rFonts w:eastAsia="仿宋_GB2312"/>
                <w:szCs w:val="21"/>
              </w:rPr>
            </w:pPr>
            <w:r w:rsidRPr="005F7554">
              <w:rPr>
                <w:rFonts w:eastAsia="仿宋_GB2312" w:hint="eastAsia"/>
                <w:szCs w:val="21"/>
              </w:rPr>
              <w:t>消瘦迅速，毛焦肷吊</w:t>
            </w:r>
          </w:p>
        </w:tc>
      </w:tr>
      <w:tr w:rsidR="0006652F" w14:paraId="74D2338B" w14:textId="77777777">
        <w:trPr>
          <w:trHeight w:val="335"/>
          <w:jc w:val="center"/>
        </w:trPr>
        <w:tc>
          <w:tcPr>
            <w:tcW w:w="929" w:type="pct"/>
            <w:vAlign w:val="center"/>
          </w:tcPr>
          <w:p w14:paraId="4B45AC2E" w14:textId="77777777" w:rsidR="0006652F" w:rsidRPr="005F7554" w:rsidRDefault="00C142DE" w:rsidP="00536DF3">
            <w:pPr>
              <w:jc w:val="center"/>
              <w:rPr>
                <w:rFonts w:eastAsia="仿宋_GB2312"/>
                <w:szCs w:val="21"/>
              </w:rPr>
            </w:pPr>
            <w:r w:rsidRPr="005F7554">
              <w:rPr>
                <w:rFonts w:eastAsia="仿宋_GB2312" w:hint="eastAsia"/>
                <w:szCs w:val="21"/>
              </w:rPr>
              <w:t>粪便性状</w:t>
            </w:r>
          </w:p>
        </w:tc>
        <w:tc>
          <w:tcPr>
            <w:tcW w:w="739" w:type="pct"/>
            <w:vAlign w:val="center"/>
          </w:tcPr>
          <w:p w14:paraId="4AEB2CB0" w14:textId="77777777" w:rsidR="0006652F" w:rsidRPr="005F7554" w:rsidRDefault="00C142DE" w:rsidP="00536DF3">
            <w:pPr>
              <w:jc w:val="center"/>
              <w:rPr>
                <w:rFonts w:eastAsia="仿宋_GB2312"/>
                <w:szCs w:val="21"/>
              </w:rPr>
            </w:pPr>
            <w:r w:rsidRPr="005F7554">
              <w:rPr>
                <w:rFonts w:eastAsia="仿宋_GB2312" w:hint="eastAsia"/>
                <w:szCs w:val="21"/>
              </w:rPr>
              <w:t>正常</w:t>
            </w:r>
          </w:p>
        </w:tc>
        <w:tc>
          <w:tcPr>
            <w:tcW w:w="863" w:type="pct"/>
            <w:vAlign w:val="center"/>
          </w:tcPr>
          <w:p w14:paraId="3B1E3CD2" w14:textId="77777777" w:rsidR="0006652F" w:rsidRPr="005F7554" w:rsidRDefault="00C142DE" w:rsidP="00536DF3">
            <w:pPr>
              <w:jc w:val="center"/>
              <w:rPr>
                <w:rFonts w:eastAsia="仿宋_GB2312"/>
                <w:szCs w:val="21"/>
              </w:rPr>
            </w:pPr>
            <w:r w:rsidRPr="005F7554">
              <w:rPr>
                <w:rFonts w:eastAsia="仿宋_GB2312" w:hint="eastAsia"/>
                <w:szCs w:val="21"/>
              </w:rPr>
              <w:t>粪便略稀薄软，无明显料便</w:t>
            </w:r>
          </w:p>
        </w:tc>
        <w:tc>
          <w:tcPr>
            <w:tcW w:w="1332" w:type="pct"/>
            <w:vAlign w:val="center"/>
          </w:tcPr>
          <w:p w14:paraId="121018D0" w14:textId="77777777" w:rsidR="0006652F" w:rsidRPr="005F7554" w:rsidRDefault="00C142DE" w:rsidP="00536DF3">
            <w:pPr>
              <w:jc w:val="center"/>
              <w:rPr>
                <w:rFonts w:eastAsia="仿宋_GB2312"/>
                <w:szCs w:val="21"/>
              </w:rPr>
            </w:pPr>
            <w:r w:rsidRPr="005F7554">
              <w:rPr>
                <w:rFonts w:eastAsia="仿宋_GB2312" w:hint="eastAsia"/>
                <w:szCs w:val="21"/>
              </w:rPr>
              <w:t>稀薄软，粪渣稍粗，轻度料便</w:t>
            </w:r>
          </w:p>
        </w:tc>
        <w:tc>
          <w:tcPr>
            <w:tcW w:w="1138" w:type="pct"/>
            <w:vAlign w:val="center"/>
          </w:tcPr>
          <w:p w14:paraId="0E9492D8" w14:textId="77777777" w:rsidR="0006652F" w:rsidRPr="005F7554" w:rsidRDefault="00C142DE" w:rsidP="00536DF3">
            <w:pPr>
              <w:jc w:val="center"/>
              <w:rPr>
                <w:rFonts w:eastAsia="仿宋_GB2312"/>
                <w:szCs w:val="21"/>
              </w:rPr>
            </w:pPr>
            <w:r w:rsidRPr="005F7554">
              <w:rPr>
                <w:rFonts w:eastAsia="仿宋_GB2312" w:hint="eastAsia"/>
                <w:szCs w:val="21"/>
              </w:rPr>
              <w:t>稀溏，粪渣粗大，严重料便</w:t>
            </w:r>
          </w:p>
        </w:tc>
      </w:tr>
      <w:tr w:rsidR="0006652F" w14:paraId="20EFAAE7" w14:textId="77777777">
        <w:trPr>
          <w:trHeight w:val="335"/>
          <w:jc w:val="center"/>
        </w:trPr>
        <w:tc>
          <w:tcPr>
            <w:tcW w:w="929" w:type="pct"/>
            <w:vAlign w:val="center"/>
          </w:tcPr>
          <w:p w14:paraId="3F105BD9" w14:textId="77777777" w:rsidR="0006652F" w:rsidRPr="005F7554" w:rsidRDefault="00C142DE" w:rsidP="00536DF3">
            <w:pPr>
              <w:jc w:val="center"/>
              <w:rPr>
                <w:rFonts w:eastAsia="仿宋_GB2312"/>
                <w:szCs w:val="21"/>
              </w:rPr>
            </w:pPr>
            <w:r w:rsidRPr="005F7554">
              <w:rPr>
                <w:rFonts w:eastAsia="仿宋_GB2312" w:hint="eastAsia"/>
                <w:szCs w:val="21"/>
              </w:rPr>
              <w:t>反刍</w:t>
            </w:r>
          </w:p>
        </w:tc>
        <w:tc>
          <w:tcPr>
            <w:tcW w:w="739" w:type="pct"/>
            <w:vAlign w:val="center"/>
          </w:tcPr>
          <w:p w14:paraId="71A07383" w14:textId="77777777" w:rsidR="0006652F" w:rsidRPr="00045FF5" w:rsidRDefault="00C142DE" w:rsidP="00536DF3">
            <w:pPr>
              <w:jc w:val="center"/>
              <w:rPr>
                <w:rFonts w:eastAsia="仿宋_GB2312"/>
                <w:szCs w:val="21"/>
              </w:rPr>
            </w:pPr>
            <w:r w:rsidRPr="005F7554">
              <w:rPr>
                <w:rFonts w:eastAsia="仿宋_GB2312" w:hint="eastAsia"/>
                <w:szCs w:val="21"/>
              </w:rPr>
              <w:t>正常每天反刍</w:t>
            </w:r>
            <w:r w:rsidRPr="005F7554">
              <w:rPr>
                <w:rFonts w:eastAsia="仿宋_GB2312"/>
                <w:szCs w:val="21"/>
              </w:rPr>
              <w:t>6</w:t>
            </w:r>
            <w:r w:rsidRPr="005F7554">
              <w:rPr>
                <w:rFonts w:eastAsia="仿宋_GB2312" w:hint="eastAsia"/>
                <w:szCs w:val="21"/>
              </w:rPr>
              <w:t>～</w:t>
            </w:r>
            <w:r w:rsidRPr="005F7554">
              <w:rPr>
                <w:rFonts w:eastAsia="仿宋_GB2312"/>
                <w:szCs w:val="21"/>
              </w:rPr>
              <w:t>10</w:t>
            </w:r>
            <w:r w:rsidRPr="005F7554">
              <w:rPr>
                <w:rFonts w:eastAsia="仿宋_GB2312" w:hint="eastAsia"/>
                <w:szCs w:val="21"/>
              </w:rPr>
              <w:t>次，每次持续</w:t>
            </w:r>
            <w:r w:rsidRPr="005F7554">
              <w:rPr>
                <w:rFonts w:eastAsia="仿宋_GB2312"/>
                <w:szCs w:val="21"/>
              </w:rPr>
              <w:t>40</w:t>
            </w:r>
            <w:r w:rsidRPr="005F7554">
              <w:rPr>
                <w:rFonts w:eastAsia="仿宋_GB2312" w:hint="eastAsia"/>
                <w:szCs w:val="21"/>
              </w:rPr>
              <w:t>～</w:t>
            </w:r>
            <w:r w:rsidRPr="005F7554">
              <w:rPr>
                <w:rFonts w:eastAsia="仿宋_GB2312"/>
                <w:szCs w:val="21"/>
              </w:rPr>
              <w:t>50</w:t>
            </w:r>
            <w:r w:rsidRPr="005F7554">
              <w:rPr>
                <w:rFonts w:eastAsia="仿宋_GB2312" w:hint="eastAsia"/>
                <w:szCs w:val="21"/>
              </w:rPr>
              <w:t>分钟</w:t>
            </w:r>
          </w:p>
        </w:tc>
        <w:tc>
          <w:tcPr>
            <w:tcW w:w="863" w:type="pct"/>
            <w:tcBorders>
              <w:bottom w:val="nil"/>
            </w:tcBorders>
            <w:vAlign w:val="center"/>
          </w:tcPr>
          <w:p w14:paraId="337C6712" w14:textId="77777777" w:rsidR="0006652F" w:rsidRPr="005F7554" w:rsidRDefault="00C142DE" w:rsidP="00536DF3">
            <w:pPr>
              <w:jc w:val="center"/>
              <w:rPr>
                <w:rFonts w:eastAsia="仿宋_GB2312"/>
                <w:szCs w:val="21"/>
              </w:rPr>
            </w:pPr>
            <w:r w:rsidRPr="005F7554">
              <w:rPr>
                <w:rFonts w:eastAsia="仿宋_GB2312" w:hint="eastAsia"/>
                <w:szCs w:val="21"/>
              </w:rPr>
              <w:t>反刍略少</w:t>
            </w:r>
          </w:p>
        </w:tc>
        <w:tc>
          <w:tcPr>
            <w:tcW w:w="1332" w:type="pct"/>
            <w:tcBorders>
              <w:bottom w:val="nil"/>
            </w:tcBorders>
            <w:vAlign w:val="center"/>
          </w:tcPr>
          <w:p w14:paraId="468AE864" w14:textId="77777777" w:rsidR="0006652F" w:rsidRPr="005F7554" w:rsidRDefault="00C142DE" w:rsidP="00536DF3">
            <w:pPr>
              <w:jc w:val="center"/>
              <w:rPr>
                <w:rFonts w:eastAsia="仿宋_GB2312"/>
                <w:szCs w:val="21"/>
              </w:rPr>
            </w:pPr>
            <w:r w:rsidRPr="005F7554">
              <w:rPr>
                <w:rFonts w:eastAsia="仿宋_GB2312" w:hint="eastAsia"/>
                <w:szCs w:val="21"/>
              </w:rPr>
              <w:t>反刍明显减少</w:t>
            </w:r>
          </w:p>
        </w:tc>
        <w:tc>
          <w:tcPr>
            <w:tcW w:w="1138" w:type="pct"/>
            <w:tcBorders>
              <w:bottom w:val="nil"/>
            </w:tcBorders>
            <w:vAlign w:val="center"/>
          </w:tcPr>
          <w:p w14:paraId="5A022FC6" w14:textId="77777777" w:rsidR="0006652F" w:rsidRPr="005F7554" w:rsidRDefault="00C142DE" w:rsidP="00536DF3">
            <w:pPr>
              <w:jc w:val="center"/>
              <w:rPr>
                <w:rFonts w:eastAsia="仿宋_GB2312"/>
                <w:szCs w:val="21"/>
              </w:rPr>
            </w:pPr>
            <w:r w:rsidRPr="005F7554">
              <w:rPr>
                <w:rFonts w:eastAsia="仿宋_GB2312" w:hint="eastAsia"/>
                <w:szCs w:val="21"/>
              </w:rPr>
              <w:t>反刍几近停止</w:t>
            </w:r>
          </w:p>
        </w:tc>
      </w:tr>
      <w:tr w:rsidR="0006652F" w14:paraId="435288BC" w14:textId="77777777" w:rsidTr="00045FF5">
        <w:trPr>
          <w:trHeight w:val="335"/>
          <w:jc w:val="center"/>
        </w:trPr>
        <w:tc>
          <w:tcPr>
            <w:tcW w:w="929" w:type="pct"/>
            <w:tcBorders>
              <w:bottom w:val="single" w:sz="8" w:space="0" w:color="auto"/>
            </w:tcBorders>
            <w:vAlign w:val="center"/>
          </w:tcPr>
          <w:p w14:paraId="257C2FF1" w14:textId="77777777" w:rsidR="0006652F" w:rsidRPr="005F7554" w:rsidRDefault="00C142DE" w:rsidP="00536DF3">
            <w:pPr>
              <w:jc w:val="center"/>
              <w:rPr>
                <w:rFonts w:eastAsia="仿宋_GB2312"/>
                <w:szCs w:val="21"/>
              </w:rPr>
            </w:pPr>
            <w:r w:rsidRPr="005F7554">
              <w:rPr>
                <w:rFonts w:eastAsia="仿宋_GB2312" w:hint="eastAsia"/>
                <w:szCs w:val="21"/>
              </w:rPr>
              <w:t>鼻镜</w:t>
            </w:r>
          </w:p>
        </w:tc>
        <w:tc>
          <w:tcPr>
            <w:tcW w:w="739" w:type="pct"/>
            <w:tcBorders>
              <w:bottom w:val="single" w:sz="8" w:space="0" w:color="auto"/>
            </w:tcBorders>
            <w:vAlign w:val="center"/>
          </w:tcPr>
          <w:p w14:paraId="28480A18" w14:textId="77777777" w:rsidR="0006652F" w:rsidRPr="005F7554" w:rsidRDefault="00C142DE" w:rsidP="00536DF3">
            <w:pPr>
              <w:jc w:val="center"/>
              <w:rPr>
                <w:rFonts w:eastAsia="仿宋_GB2312"/>
                <w:szCs w:val="21"/>
              </w:rPr>
            </w:pPr>
            <w:r w:rsidRPr="005F7554">
              <w:rPr>
                <w:rFonts w:eastAsia="仿宋_GB2312" w:hint="eastAsia"/>
                <w:szCs w:val="21"/>
              </w:rPr>
              <w:t>正常</w:t>
            </w:r>
          </w:p>
        </w:tc>
        <w:tc>
          <w:tcPr>
            <w:tcW w:w="863" w:type="pct"/>
            <w:tcBorders>
              <w:top w:val="nil"/>
              <w:bottom w:val="single" w:sz="8" w:space="0" w:color="auto"/>
            </w:tcBorders>
            <w:vAlign w:val="center"/>
          </w:tcPr>
          <w:p w14:paraId="6EB7F084" w14:textId="77777777" w:rsidR="0006652F" w:rsidRPr="005F7554" w:rsidRDefault="00C142DE" w:rsidP="00536DF3">
            <w:pPr>
              <w:jc w:val="center"/>
              <w:rPr>
                <w:rFonts w:eastAsia="仿宋_GB2312"/>
                <w:szCs w:val="21"/>
              </w:rPr>
            </w:pPr>
            <w:r w:rsidRPr="005F7554">
              <w:rPr>
                <w:rFonts w:eastAsia="仿宋_GB2312" w:hint="eastAsia"/>
                <w:szCs w:val="21"/>
              </w:rPr>
              <w:t>稍干或鼻镜干湿不均</w:t>
            </w:r>
          </w:p>
        </w:tc>
        <w:tc>
          <w:tcPr>
            <w:tcW w:w="1332" w:type="pct"/>
            <w:tcBorders>
              <w:top w:val="nil"/>
              <w:bottom w:val="single" w:sz="8" w:space="0" w:color="auto"/>
            </w:tcBorders>
            <w:vAlign w:val="center"/>
          </w:tcPr>
          <w:p w14:paraId="2192E1D4" w14:textId="77777777" w:rsidR="0006652F" w:rsidRPr="005F7554" w:rsidRDefault="00C142DE" w:rsidP="00536DF3">
            <w:pPr>
              <w:jc w:val="center"/>
              <w:rPr>
                <w:rFonts w:eastAsia="仿宋_GB2312"/>
                <w:szCs w:val="21"/>
              </w:rPr>
            </w:pPr>
            <w:r w:rsidRPr="005F7554">
              <w:rPr>
                <w:rFonts w:eastAsia="仿宋_GB2312" w:hint="eastAsia"/>
                <w:szCs w:val="21"/>
              </w:rPr>
              <w:t>干</w:t>
            </w:r>
          </w:p>
        </w:tc>
        <w:tc>
          <w:tcPr>
            <w:tcW w:w="1138" w:type="pct"/>
            <w:tcBorders>
              <w:top w:val="nil"/>
              <w:bottom w:val="single" w:sz="8" w:space="0" w:color="auto"/>
            </w:tcBorders>
            <w:vAlign w:val="center"/>
          </w:tcPr>
          <w:p w14:paraId="1AEE4ED2" w14:textId="77777777" w:rsidR="0006652F" w:rsidRPr="005F7554" w:rsidRDefault="00C142DE" w:rsidP="00536DF3">
            <w:pPr>
              <w:jc w:val="center"/>
              <w:rPr>
                <w:rFonts w:eastAsia="仿宋_GB2312"/>
                <w:szCs w:val="21"/>
              </w:rPr>
            </w:pPr>
            <w:r w:rsidRPr="005F7554">
              <w:rPr>
                <w:rFonts w:eastAsia="仿宋_GB2312" w:hint="eastAsia"/>
                <w:szCs w:val="21"/>
              </w:rPr>
              <w:t>干裂</w:t>
            </w:r>
          </w:p>
        </w:tc>
      </w:tr>
    </w:tbl>
    <w:p w14:paraId="505461D9" w14:textId="2F8A00A7" w:rsidR="0006652F" w:rsidRDefault="00C142DE" w:rsidP="00045FF5">
      <w:pPr>
        <w:spacing w:line="560" w:lineRule="exact"/>
        <w:jc w:val="center"/>
        <w:rPr>
          <w:rFonts w:eastAsia="仿宋_GB2312"/>
          <w:sz w:val="32"/>
          <w:szCs w:val="32"/>
        </w:rPr>
      </w:pPr>
      <w:r>
        <w:rPr>
          <w:rFonts w:eastAsia="仿宋_GB2312" w:hint="eastAsia"/>
          <w:sz w:val="32"/>
          <w:szCs w:val="32"/>
        </w:rPr>
        <w:t>表</w:t>
      </w:r>
      <w:r>
        <w:rPr>
          <w:rFonts w:eastAsia="仿宋_GB2312" w:hint="eastAsia"/>
          <w:sz w:val="32"/>
          <w:szCs w:val="32"/>
        </w:rPr>
        <w:t xml:space="preserve">2 </w:t>
      </w:r>
      <w:r>
        <w:rPr>
          <w:rFonts w:eastAsia="仿宋_GB2312" w:hint="eastAsia"/>
          <w:sz w:val="32"/>
          <w:szCs w:val="32"/>
        </w:rPr>
        <w:t>牛脾胃虚弱证次症评分标准</w:t>
      </w:r>
    </w:p>
    <w:tbl>
      <w:tblPr>
        <w:tblW w:w="5000" w:type="pct"/>
        <w:jc w:val="center"/>
        <w:tblLook w:val="04A0" w:firstRow="1" w:lastRow="0" w:firstColumn="1" w:lastColumn="0" w:noHBand="0" w:noVBand="1"/>
      </w:tblPr>
      <w:tblGrid>
        <w:gridCol w:w="1300"/>
        <w:gridCol w:w="1580"/>
        <w:gridCol w:w="1658"/>
        <w:gridCol w:w="2015"/>
        <w:gridCol w:w="1753"/>
      </w:tblGrid>
      <w:tr w:rsidR="0006652F" w:rsidRPr="005F7554" w14:paraId="60722055" w14:textId="77777777" w:rsidTr="00045FF5">
        <w:trPr>
          <w:trHeight w:val="219"/>
          <w:jc w:val="center"/>
        </w:trPr>
        <w:tc>
          <w:tcPr>
            <w:tcW w:w="778" w:type="pct"/>
            <w:tcBorders>
              <w:top w:val="single" w:sz="8" w:space="0" w:color="auto"/>
              <w:bottom w:val="single" w:sz="4" w:space="0" w:color="auto"/>
            </w:tcBorders>
            <w:vAlign w:val="center"/>
          </w:tcPr>
          <w:p w14:paraId="503A9B98" w14:textId="77777777" w:rsidR="0006652F" w:rsidRPr="00C51F05" w:rsidRDefault="003B0558" w:rsidP="00045FF5">
            <w:pPr>
              <w:jc w:val="center"/>
              <w:rPr>
                <w:rFonts w:eastAsia="仿宋_GB2312"/>
                <w:b/>
                <w:szCs w:val="21"/>
              </w:rPr>
            </w:pPr>
            <w:r w:rsidRPr="00C51F05">
              <w:rPr>
                <w:rFonts w:eastAsia="仿宋_GB2312" w:hint="eastAsia"/>
                <w:b/>
                <w:szCs w:val="21"/>
              </w:rPr>
              <w:t>指标</w:t>
            </w:r>
          </w:p>
        </w:tc>
        <w:tc>
          <w:tcPr>
            <w:tcW w:w="951" w:type="pct"/>
            <w:tcBorders>
              <w:top w:val="single" w:sz="8" w:space="0" w:color="auto"/>
              <w:bottom w:val="single" w:sz="4" w:space="0" w:color="auto"/>
            </w:tcBorders>
            <w:vAlign w:val="center"/>
          </w:tcPr>
          <w:p w14:paraId="73700748" w14:textId="77777777" w:rsidR="0006652F" w:rsidRPr="00C51F05" w:rsidRDefault="00C142DE" w:rsidP="00045FF5">
            <w:pPr>
              <w:jc w:val="center"/>
              <w:rPr>
                <w:rFonts w:eastAsia="仿宋_GB2312"/>
                <w:b/>
                <w:szCs w:val="21"/>
              </w:rPr>
            </w:pPr>
            <w:r w:rsidRPr="00C51F05">
              <w:rPr>
                <w:rFonts w:eastAsia="仿宋_GB2312" w:hint="eastAsia"/>
                <w:b/>
                <w:szCs w:val="21"/>
              </w:rPr>
              <w:t>正常（</w:t>
            </w:r>
            <w:r w:rsidRPr="00C51F05">
              <w:rPr>
                <w:rFonts w:eastAsia="仿宋_GB2312"/>
                <w:b/>
                <w:szCs w:val="21"/>
              </w:rPr>
              <w:t>0</w:t>
            </w:r>
            <w:r w:rsidRPr="00C51F05">
              <w:rPr>
                <w:rFonts w:eastAsia="仿宋_GB2312" w:hint="eastAsia"/>
                <w:b/>
                <w:szCs w:val="21"/>
              </w:rPr>
              <w:t>分）</w:t>
            </w:r>
          </w:p>
        </w:tc>
        <w:tc>
          <w:tcPr>
            <w:tcW w:w="998" w:type="pct"/>
            <w:tcBorders>
              <w:top w:val="single" w:sz="8" w:space="0" w:color="auto"/>
              <w:bottom w:val="single" w:sz="4" w:space="0" w:color="auto"/>
            </w:tcBorders>
            <w:vAlign w:val="center"/>
          </w:tcPr>
          <w:p w14:paraId="2BD45908" w14:textId="77777777" w:rsidR="0006652F" w:rsidRPr="00C51F05" w:rsidRDefault="00C142DE" w:rsidP="00045FF5">
            <w:pPr>
              <w:jc w:val="center"/>
              <w:rPr>
                <w:rFonts w:eastAsia="仿宋_GB2312"/>
                <w:b/>
                <w:szCs w:val="21"/>
              </w:rPr>
            </w:pPr>
            <w:r w:rsidRPr="00C51F05">
              <w:rPr>
                <w:rFonts w:eastAsia="仿宋_GB2312" w:hint="eastAsia"/>
                <w:b/>
                <w:szCs w:val="21"/>
              </w:rPr>
              <w:t>轻度（</w:t>
            </w:r>
            <w:r w:rsidRPr="00C51F05">
              <w:rPr>
                <w:rFonts w:eastAsia="仿宋_GB2312"/>
                <w:b/>
                <w:szCs w:val="21"/>
              </w:rPr>
              <w:t>1</w:t>
            </w:r>
            <w:r w:rsidRPr="00C51F05">
              <w:rPr>
                <w:rFonts w:eastAsia="仿宋_GB2312" w:hint="eastAsia"/>
                <w:b/>
                <w:szCs w:val="21"/>
              </w:rPr>
              <w:t>分）</w:t>
            </w:r>
          </w:p>
        </w:tc>
        <w:tc>
          <w:tcPr>
            <w:tcW w:w="1213" w:type="pct"/>
            <w:tcBorders>
              <w:top w:val="single" w:sz="8" w:space="0" w:color="auto"/>
              <w:bottom w:val="single" w:sz="4" w:space="0" w:color="auto"/>
            </w:tcBorders>
            <w:vAlign w:val="center"/>
          </w:tcPr>
          <w:p w14:paraId="0C6855C3" w14:textId="77777777" w:rsidR="0006652F" w:rsidRPr="00C51F05" w:rsidRDefault="00C142DE" w:rsidP="00045FF5">
            <w:pPr>
              <w:jc w:val="center"/>
              <w:rPr>
                <w:rFonts w:eastAsia="仿宋_GB2312"/>
                <w:b/>
                <w:szCs w:val="21"/>
              </w:rPr>
            </w:pPr>
            <w:r w:rsidRPr="00C51F05">
              <w:rPr>
                <w:rFonts w:eastAsia="仿宋_GB2312" w:hint="eastAsia"/>
                <w:b/>
                <w:szCs w:val="21"/>
              </w:rPr>
              <w:t>中度（</w:t>
            </w:r>
            <w:r w:rsidRPr="00C51F05">
              <w:rPr>
                <w:rFonts w:eastAsia="仿宋_GB2312"/>
                <w:b/>
                <w:szCs w:val="21"/>
              </w:rPr>
              <w:t>2</w:t>
            </w:r>
            <w:r w:rsidRPr="00C51F05">
              <w:rPr>
                <w:rFonts w:eastAsia="仿宋_GB2312" w:hint="eastAsia"/>
                <w:b/>
                <w:szCs w:val="21"/>
              </w:rPr>
              <w:t>分）</w:t>
            </w:r>
          </w:p>
        </w:tc>
        <w:tc>
          <w:tcPr>
            <w:tcW w:w="1055" w:type="pct"/>
            <w:tcBorders>
              <w:top w:val="single" w:sz="8" w:space="0" w:color="auto"/>
              <w:bottom w:val="single" w:sz="4" w:space="0" w:color="auto"/>
            </w:tcBorders>
            <w:vAlign w:val="center"/>
          </w:tcPr>
          <w:p w14:paraId="19AEC2C1" w14:textId="77777777" w:rsidR="0006652F" w:rsidRPr="00C51F05" w:rsidRDefault="00C142DE" w:rsidP="00045FF5">
            <w:pPr>
              <w:jc w:val="center"/>
              <w:rPr>
                <w:rFonts w:eastAsia="仿宋_GB2312"/>
                <w:b/>
                <w:szCs w:val="21"/>
              </w:rPr>
            </w:pPr>
            <w:r w:rsidRPr="00C51F05">
              <w:rPr>
                <w:rFonts w:eastAsia="仿宋_GB2312" w:hint="eastAsia"/>
                <w:b/>
                <w:szCs w:val="21"/>
              </w:rPr>
              <w:t>重度（</w:t>
            </w:r>
            <w:r w:rsidRPr="00C51F05">
              <w:rPr>
                <w:rFonts w:eastAsia="仿宋_GB2312"/>
                <w:b/>
                <w:szCs w:val="21"/>
              </w:rPr>
              <w:t>3</w:t>
            </w:r>
            <w:r w:rsidRPr="00C51F05">
              <w:rPr>
                <w:rFonts w:eastAsia="仿宋_GB2312" w:hint="eastAsia"/>
                <w:b/>
                <w:szCs w:val="21"/>
              </w:rPr>
              <w:t>分）</w:t>
            </w:r>
          </w:p>
        </w:tc>
      </w:tr>
      <w:tr w:rsidR="0006652F" w14:paraId="3080C5E5" w14:textId="77777777">
        <w:trPr>
          <w:trHeight w:val="349"/>
          <w:jc w:val="center"/>
        </w:trPr>
        <w:tc>
          <w:tcPr>
            <w:tcW w:w="783" w:type="pct"/>
            <w:vAlign w:val="center"/>
          </w:tcPr>
          <w:p w14:paraId="154F3BE4" w14:textId="77777777" w:rsidR="0006652F" w:rsidRDefault="00C142DE">
            <w:pPr>
              <w:jc w:val="center"/>
              <w:rPr>
                <w:rFonts w:eastAsia="仿宋_GB2312"/>
                <w:szCs w:val="21"/>
              </w:rPr>
            </w:pPr>
            <w:r>
              <w:rPr>
                <w:rFonts w:eastAsia="仿宋_GB2312" w:hint="eastAsia"/>
                <w:szCs w:val="21"/>
              </w:rPr>
              <w:t>精神状态</w:t>
            </w:r>
          </w:p>
        </w:tc>
        <w:tc>
          <w:tcPr>
            <w:tcW w:w="951" w:type="pct"/>
            <w:vAlign w:val="center"/>
          </w:tcPr>
          <w:p w14:paraId="1BB95998" w14:textId="77777777" w:rsidR="0006652F" w:rsidRDefault="00C142DE">
            <w:pPr>
              <w:jc w:val="center"/>
              <w:rPr>
                <w:rFonts w:eastAsia="仿宋_GB2312"/>
                <w:szCs w:val="21"/>
              </w:rPr>
            </w:pPr>
            <w:r>
              <w:rPr>
                <w:rFonts w:eastAsia="仿宋_GB2312" w:hint="eastAsia"/>
                <w:szCs w:val="21"/>
              </w:rPr>
              <w:t>正常</w:t>
            </w:r>
          </w:p>
        </w:tc>
        <w:tc>
          <w:tcPr>
            <w:tcW w:w="998" w:type="pct"/>
            <w:vAlign w:val="center"/>
          </w:tcPr>
          <w:p w14:paraId="30AEE5CD" w14:textId="77777777" w:rsidR="0006652F" w:rsidRDefault="00C142DE">
            <w:pPr>
              <w:jc w:val="center"/>
              <w:rPr>
                <w:rFonts w:eastAsia="仿宋_GB2312"/>
                <w:szCs w:val="21"/>
              </w:rPr>
            </w:pPr>
            <w:r>
              <w:rPr>
                <w:rFonts w:eastAsia="仿宋_GB2312" w:hint="eastAsia"/>
                <w:szCs w:val="21"/>
              </w:rPr>
              <w:t>精神略差</w:t>
            </w:r>
          </w:p>
        </w:tc>
        <w:tc>
          <w:tcPr>
            <w:tcW w:w="1213" w:type="pct"/>
            <w:vAlign w:val="center"/>
          </w:tcPr>
          <w:p w14:paraId="40B2AB2F" w14:textId="77777777" w:rsidR="0006652F" w:rsidRDefault="00C142DE">
            <w:pPr>
              <w:jc w:val="center"/>
              <w:rPr>
                <w:rFonts w:eastAsia="仿宋_GB2312"/>
                <w:szCs w:val="21"/>
              </w:rPr>
            </w:pPr>
            <w:r>
              <w:rPr>
                <w:rFonts w:eastAsia="仿宋_GB2312" w:hint="eastAsia"/>
                <w:szCs w:val="21"/>
              </w:rPr>
              <w:t>精神不振、反应迟钝</w:t>
            </w:r>
          </w:p>
        </w:tc>
        <w:tc>
          <w:tcPr>
            <w:tcW w:w="1055" w:type="pct"/>
            <w:vAlign w:val="center"/>
          </w:tcPr>
          <w:p w14:paraId="215E0F61" w14:textId="77777777" w:rsidR="0006652F" w:rsidRDefault="00C142DE">
            <w:pPr>
              <w:jc w:val="center"/>
              <w:rPr>
                <w:rFonts w:eastAsia="仿宋_GB2312"/>
                <w:szCs w:val="21"/>
              </w:rPr>
            </w:pPr>
            <w:r>
              <w:rPr>
                <w:rFonts w:eastAsia="仿宋_GB2312" w:hint="eastAsia"/>
                <w:szCs w:val="21"/>
              </w:rPr>
              <w:t>反应迟钝，神情呆滞</w:t>
            </w:r>
          </w:p>
        </w:tc>
      </w:tr>
      <w:tr w:rsidR="0006652F" w14:paraId="653A0ED6" w14:textId="77777777">
        <w:trPr>
          <w:trHeight w:val="349"/>
          <w:jc w:val="center"/>
        </w:trPr>
        <w:tc>
          <w:tcPr>
            <w:tcW w:w="783" w:type="pct"/>
            <w:tcBorders>
              <w:top w:val="nil"/>
              <w:bottom w:val="nil"/>
            </w:tcBorders>
            <w:vAlign w:val="center"/>
          </w:tcPr>
          <w:p w14:paraId="5734AADF" w14:textId="77777777" w:rsidR="0006652F" w:rsidRDefault="00C142DE">
            <w:pPr>
              <w:jc w:val="center"/>
              <w:rPr>
                <w:rFonts w:eastAsia="仿宋_GB2312"/>
                <w:szCs w:val="21"/>
              </w:rPr>
            </w:pPr>
            <w:r>
              <w:rPr>
                <w:rFonts w:eastAsia="仿宋_GB2312" w:hint="eastAsia"/>
                <w:szCs w:val="21"/>
              </w:rPr>
              <w:t>口色</w:t>
            </w:r>
          </w:p>
        </w:tc>
        <w:tc>
          <w:tcPr>
            <w:tcW w:w="951" w:type="pct"/>
            <w:tcBorders>
              <w:top w:val="nil"/>
              <w:bottom w:val="nil"/>
            </w:tcBorders>
            <w:vAlign w:val="center"/>
          </w:tcPr>
          <w:p w14:paraId="1A8C0E32" w14:textId="77777777" w:rsidR="0006652F" w:rsidRDefault="00C142DE">
            <w:pPr>
              <w:jc w:val="center"/>
              <w:rPr>
                <w:rFonts w:eastAsia="仿宋_GB2312"/>
                <w:szCs w:val="21"/>
              </w:rPr>
            </w:pPr>
            <w:r>
              <w:rPr>
                <w:rFonts w:eastAsia="仿宋_GB2312" w:hint="eastAsia"/>
                <w:szCs w:val="21"/>
              </w:rPr>
              <w:t>正常</w:t>
            </w:r>
          </w:p>
        </w:tc>
        <w:tc>
          <w:tcPr>
            <w:tcW w:w="998" w:type="pct"/>
            <w:tcBorders>
              <w:top w:val="nil"/>
              <w:bottom w:val="nil"/>
            </w:tcBorders>
            <w:vAlign w:val="center"/>
          </w:tcPr>
          <w:p w14:paraId="0A095E32" w14:textId="77777777" w:rsidR="0006652F" w:rsidRDefault="00C142DE">
            <w:pPr>
              <w:jc w:val="center"/>
              <w:rPr>
                <w:rFonts w:eastAsia="仿宋_GB2312"/>
                <w:szCs w:val="21"/>
              </w:rPr>
            </w:pPr>
            <w:r>
              <w:rPr>
                <w:rFonts w:eastAsia="仿宋_GB2312" w:hint="eastAsia"/>
                <w:szCs w:val="21"/>
              </w:rPr>
              <w:t>口色略泛白、舌苔薄白</w:t>
            </w:r>
          </w:p>
        </w:tc>
        <w:tc>
          <w:tcPr>
            <w:tcW w:w="1213" w:type="pct"/>
            <w:tcBorders>
              <w:top w:val="nil"/>
              <w:bottom w:val="nil"/>
            </w:tcBorders>
            <w:vAlign w:val="center"/>
          </w:tcPr>
          <w:p w14:paraId="246F6953" w14:textId="77777777" w:rsidR="0006652F" w:rsidRDefault="00C142DE">
            <w:pPr>
              <w:jc w:val="center"/>
              <w:rPr>
                <w:rFonts w:eastAsia="仿宋_GB2312"/>
                <w:szCs w:val="21"/>
              </w:rPr>
            </w:pPr>
            <w:r>
              <w:rPr>
                <w:rFonts w:eastAsia="仿宋_GB2312" w:hint="eastAsia"/>
                <w:szCs w:val="21"/>
              </w:rPr>
              <w:t>口色淡白，苔腻，</w:t>
            </w:r>
          </w:p>
        </w:tc>
        <w:tc>
          <w:tcPr>
            <w:tcW w:w="1055" w:type="pct"/>
            <w:tcBorders>
              <w:top w:val="nil"/>
              <w:bottom w:val="nil"/>
            </w:tcBorders>
            <w:vAlign w:val="center"/>
          </w:tcPr>
          <w:p w14:paraId="612861BA" w14:textId="77777777" w:rsidR="0006652F" w:rsidRDefault="00C142DE">
            <w:pPr>
              <w:jc w:val="center"/>
              <w:rPr>
                <w:rFonts w:eastAsia="仿宋_GB2312"/>
                <w:szCs w:val="21"/>
              </w:rPr>
            </w:pPr>
            <w:r>
              <w:rPr>
                <w:rFonts w:eastAsia="仿宋_GB2312" w:hint="eastAsia"/>
                <w:szCs w:val="21"/>
              </w:rPr>
              <w:t>口色苍白</w:t>
            </w:r>
            <w:r>
              <w:rPr>
                <w:rFonts w:eastAsia="仿宋_GB2312"/>
                <w:szCs w:val="21"/>
              </w:rPr>
              <w:t>，</w:t>
            </w:r>
            <w:r>
              <w:rPr>
                <w:rFonts w:eastAsia="仿宋_GB2312" w:hint="eastAsia"/>
                <w:szCs w:val="21"/>
              </w:rPr>
              <w:t>苔厚腻，舌体胖嫩</w:t>
            </w:r>
          </w:p>
        </w:tc>
      </w:tr>
      <w:tr w:rsidR="0006652F" w14:paraId="053DD4F3" w14:textId="77777777">
        <w:trPr>
          <w:trHeight w:val="349"/>
          <w:jc w:val="center"/>
        </w:trPr>
        <w:tc>
          <w:tcPr>
            <w:tcW w:w="783" w:type="pct"/>
            <w:vAlign w:val="center"/>
          </w:tcPr>
          <w:p w14:paraId="7F5801A7" w14:textId="77777777" w:rsidR="0006652F" w:rsidRDefault="00C142DE">
            <w:pPr>
              <w:jc w:val="center"/>
              <w:rPr>
                <w:rFonts w:eastAsia="仿宋_GB2312"/>
                <w:szCs w:val="21"/>
              </w:rPr>
            </w:pPr>
            <w:r>
              <w:rPr>
                <w:rFonts w:eastAsia="仿宋_GB2312" w:hint="eastAsia"/>
                <w:szCs w:val="21"/>
              </w:rPr>
              <w:t>四肢温度与运动</w:t>
            </w:r>
          </w:p>
        </w:tc>
        <w:tc>
          <w:tcPr>
            <w:tcW w:w="951" w:type="pct"/>
            <w:vAlign w:val="center"/>
          </w:tcPr>
          <w:p w14:paraId="6E4462AB" w14:textId="77777777" w:rsidR="0006652F" w:rsidRDefault="00C142DE">
            <w:pPr>
              <w:jc w:val="center"/>
              <w:rPr>
                <w:rFonts w:eastAsia="仿宋_GB2312"/>
                <w:szCs w:val="21"/>
              </w:rPr>
            </w:pPr>
            <w:r>
              <w:rPr>
                <w:rFonts w:eastAsia="仿宋_GB2312" w:hint="eastAsia"/>
                <w:szCs w:val="21"/>
              </w:rPr>
              <w:t>正常</w:t>
            </w:r>
          </w:p>
        </w:tc>
        <w:tc>
          <w:tcPr>
            <w:tcW w:w="998" w:type="pct"/>
            <w:vAlign w:val="center"/>
          </w:tcPr>
          <w:p w14:paraId="508A35D4" w14:textId="77777777" w:rsidR="0006652F" w:rsidRDefault="00C142DE">
            <w:pPr>
              <w:jc w:val="center"/>
              <w:rPr>
                <w:rFonts w:eastAsia="仿宋_GB2312"/>
                <w:szCs w:val="21"/>
              </w:rPr>
            </w:pPr>
            <w:r>
              <w:rPr>
                <w:rFonts w:eastAsia="仿宋_GB2312" w:hint="eastAsia"/>
                <w:szCs w:val="21"/>
              </w:rPr>
              <w:t>四肢不温，运步稍慢</w:t>
            </w:r>
          </w:p>
        </w:tc>
        <w:tc>
          <w:tcPr>
            <w:tcW w:w="1213" w:type="pct"/>
            <w:vAlign w:val="center"/>
          </w:tcPr>
          <w:p w14:paraId="613FDBA8" w14:textId="77777777" w:rsidR="0006652F" w:rsidRDefault="00C142DE">
            <w:pPr>
              <w:jc w:val="center"/>
              <w:rPr>
                <w:rFonts w:eastAsia="仿宋_GB2312"/>
                <w:szCs w:val="21"/>
              </w:rPr>
            </w:pPr>
            <w:r>
              <w:rPr>
                <w:rFonts w:eastAsia="仿宋_GB2312" w:hint="eastAsia"/>
                <w:szCs w:val="21"/>
              </w:rPr>
              <w:t>肢末稍凉，运步缓慢无力</w:t>
            </w:r>
          </w:p>
        </w:tc>
        <w:tc>
          <w:tcPr>
            <w:tcW w:w="1055" w:type="pct"/>
            <w:vAlign w:val="center"/>
          </w:tcPr>
          <w:p w14:paraId="69DAAD78" w14:textId="77777777" w:rsidR="0006652F" w:rsidRDefault="00C142DE">
            <w:pPr>
              <w:jc w:val="center"/>
              <w:rPr>
                <w:rFonts w:eastAsia="仿宋_GB2312"/>
                <w:szCs w:val="21"/>
              </w:rPr>
            </w:pPr>
            <w:r>
              <w:rPr>
                <w:rFonts w:eastAsia="仿宋_GB2312" w:hint="eastAsia"/>
                <w:szCs w:val="21"/>
              </w:rPr>
              <w:t>四肢凉，运步吃力，甚或浮肿</w:t>
            </w:r>
          </w:p>
        </w:tc>
      </w:tr>
      <w:tr w:rsidR="0006652F" w14:paraId="7FE81079" w14:textId="77777777" w:rsidTr="00045FF5">
        <w:trPr>
          <w:trHeight w:val="349"/>
          <w:jc w:val="center"/>
        </w:trPr>
        <w:tc>
          <w:tcPr>
            <w:tcW w:w="783" w:type="pct"/>
            <w:tcBorders>
              <w:bottom w:val="single" w:sz="8" w:space="0" w:color="auto"/>
            </w:tcBorders>
            <w:vAlign w:val="center"/>
          </w:tcPr>
          <w:p w14:paraId="301F2786" w14:textId="77777777" w:rsidR="0006652F" w:rsidRDefault="00C142DE">
            <w:pPr>
              <w:jc w:val="center"/>
              <w:rPr>
                <w:rFonts w:eastAsia="仿宋_GB2312"/>
                <w:szCs w:val="21"/>
              </w:rPr>
            </w:pPr>
            <w:r>
              <w:rPr>
                <w:rFonts w:eastAsia="仿宋_GB2312" w:hint="eastAsia"/>
                <w:szCs w:val="21"/>
              </w:rPr>
              <w:t>脉象</w:t>
            </w:r>
          </w:p>
        </w:tc>
        <w:tc>
          <w:tcPr>
            <w:tcW w:w="951" w:type="pct"/>
            <w:tcBorders>
              <w:bottom w:val="single" w:sz="8" w:space="0" w:color="auto"/>
            </w:tcBorders>
            <w:vAlign w:val="center"/>
          </w:tcPr>
          <w:p w14:paraId="363C10D4" w14:textId="77777777" w:rsidR="0006652F" w:rsidRDefault="00C142DE">
            <w:pPr>
              <w:jc w:val="center"/>
              <w:rPr>
                <w:rFonts w:eastAsia="仿宋_GB2312"/>
                <w:szCs w:val="21"/>
              </w:rPr>
            </w:pPr>
            <w:r>
              <w:rPr>
                <w:rFonts w:eastAsia="仿宋_GB2312" w:hint="eastAsia"/>
                <w:szCs w:val="21"/>
              </w:rPr>
              <w:t>正常</w:t>
            </w:r>
          </w:p>
        </w:tc>
        <w:tc>
          <w:tcPr>
            <w:tcW w:w="998" w:type="pct"/>
            <w:tcBorders>
              <w:bottom w:val="single" w:sz="8" w:space="0" w:color="auto"/>
            </w:tcBorders>
            <w:vAlign w:val="center"/>
          </w:tcPr>
          <w:p w14:paraId="395E63FE" w14:textId="77777777" w:rsidR="0006652F" w:rsidRDefault="00C142DE">
            <w:pPr>
              <w:jc w:val="center"/>
              <w:rPr>
                <w:rFonts w:eastAsia="仿宋_GB2312"/>
                <w:szCs w:val="21"/>
              </w:rPr>
            </w:pPr>
            <w:r>
              <w:rPr>
                <w:rFonts w:eastAsia="仿宋_GB2312" w:hint="eastAsia"/>
                <w:szCs w:val="21"/>
              </w:rPr>
              <w:t>脉略无力</w:t>
            </w:r>
          </w:p>
        </w:tc>
        <w:tc>
          <w:tcPr>
            <w:tcW w:w="1213" w:type="pct"/>
            <w:tcBorders>
              <w:bottom w:val="single" w:sz="8" w:space="0" w:color="auto"/>
            </w:tcBorders>
            <w:vAlign w:val="center"/>
          </w:tcPr>
          <w:p w14:paraId="752ECBFB" w14:textId="77777777" w:rsidR="0006652F" w:rsidRDefault="00C142DE">
            <w:pPr>
              <w:jc w:val="center"/>
              <w:rPr>
                <w:rFonts w:eastAsia="仿宋_GB2312"/>
                <w:szCs w:val="21"/>
              </w:rPr>
            </w:pPr>
            <w:r>
              <w:rPr>
                <w:rFonts w:eastAsia="仿宋_GB2312" w:hint="eastAsia"/>
                <w:szCs w:val="21"/>
              </w:rPr>
              <w:t>无力脉</w:t>
            </w:r>
          </w:p>
        </w:tc>
        <w:tc>
          <w:tcPr>
            <w:tcW w:w="1055" w:type="pct"/>
            <w:tcBorders>
              <w:bottom w:val="single" w:sz="8" w:space="0" w:color="auto"/>
            </w:tcBorders>
            <w:vAlign w:val="center"/>
          </w:tcPr>
          <w:p w14:paraId="1F544BAE" w14:textId="77777777" w:rsidR="0006652F" w:rsidRDefault="00C142DE">
            <w:pPr>
              <w:jc w:val="center"/>
              <w:rPr>
                <w:rFonts w:eastAsia="仿宋_GB2312"/>
                <w:szCs w:val="21"/>
              </w:rPr>
            </w:pPr>
            <w:r>
              <w:rPr>
                <w:rFonts w:eastAsia="仿宋_GB2312" w:hint="eastAsia"/>
                <w:szCs w:val="21"/>
              </w:rPr>
              <w:t>脉细小无力</w:t>
            </w:r>
          </w:p>
        </w:tc>
      </w:tr>
    </w:tbl>
    <w:p w14:paraId="04CCEFFE" w14:textId="77777777" w:rsidR="0006652F" w:rsidRDefault="00C142DE" w:rsidP="00045FF5">
      <w:pPr>
        <w:adjustRightInd w:val="0"/>
        <w:snapToGrid w:val="0"/>
        <w:spacing w:line="560" w:lineRule="exact"/>
        <w:ind w:firstLineChars="200" w:firstLine="643"/>
        <w:rPr>
          <w:rFonts w:eastAsia="楷体_GB2312"/>
          <w:b/>
          <w:sz w:val="32"/>
          <w:szCs w:val="32"/>
        </w:rPr>
      </w:pPr>
      <w:r>
        <w:rPr>
          <w:rFonts w:eastAsia="楷体_GB2312" w:hint="eastAsia"/>
          <w:b/>
          <w:sz w:val="32"/>
          <w:szCs w:val="32"/>
        </w:rPr>
        <w:t>（四）受试动物选择</w:t>
      </w:r>
    </w:p>
    <w:p w14:paraId="451F8477" w14:textId="5C47E214" w:rsidR="0006652F" w:rsidRPr="005F7554" w:rsidRDefault="00C142DE" w:rsidP="005F7554">
      <w:pPr>
        <w:adjustRightInd w:val="0"/>
        <w:snapToGrid w:val="0"/>
        <w:spacing w:line="560" w:lineRule="exact"/>
        <w:ind w:firstLineChars="200" w:firstLine="643"/>
        <w:rPr>
          <w:rFonts w:eastAsia="仿宋_GB2312"/>
          <w:b/>
          <w:sz w:val="32"/>
          <w:szCs w:val="32"/>
        </w:rPr>
      </w:pPr>
      <w:r w:rsidRPr="005F7554">
        <w:rPr>
          <w:rFonts w:eastAsia="仿宋_GB2312"/>
          <w:b/>
          <w:sz w:val="32"/>
          <w:szCs w:val="32"/>
        </w:rPr>
        <w:t>1.</w:t>
      </w:r>
      <w:r w:rsidR="00C51F05">
        <w:rPr>
          <w:rFonts w:eastAsia="仿宋_GB2312"/>
          <w:b/>
          <w:sz w:val="32"/>
          <w:szCs w:val="32"/>
        </w:rPr>
        <w:t xml:space="preserve"> </w:t>
      </w:r>
      <w:r w:rsidRPr="005F7554">
        <w:rPr>
          <w:rFonts w:eastAsia="仿宋_GB2312"/>
          <w:b/>
          <w:sz w:val="32"/>
          <w:szCs w:val="32"/>
        </w:rPr>
        <w:t>纳入标准</w:t>
      </w:r>
    </w:p>
    <w:p w14:paraId="6529B4FA"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）牛来源明确，牛场具有检疫合格证；</w:t>
      </w:r>
    </w:p>
    <w:p w14:paraId="0C10BC4E"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）试验场地负责人知情且同意；</w:t>
      </w:r>
    </w:p>
    <w:p w14:paraId="7914BBDF"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）试验前</w:t>
      </w:r>
      <w:r>
        <w:rPr>
          <w:rFonts w:eastAsia="仿宋_GB2312"/>
          <w:sz w:val="32"/>
          <w:szCs w:val="32"/>
        </w:rPr>
        <w:t>2</w:t>
      </w:r>
      <w:r>
        <w:rPr>
          <w:rFonts w:eastAsia="仿宋_GB2312" w:hint="eastAsia"/>
          <w:sz w:val="32"/>
          <w:szCs w:val="32"/>
        </w:rPr>
        <w:t>周，未接受过除疫苗和消毒剂以外其他药物的预防或治疗；</w:t>
      </w:r>
    </w:p>
    <w:p w14:paraId="4357BFA8" w14:textId="7D8DB485" w:rsidR="0006652F" w:rsidRDefault="00C142DE" w:rsidP="009C3BAF">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）患病牛符合脾胃虚弱</w:t>
      </w:r>
      <w:r w:rsidR="00406C41">
        <w:rPr>
          <w:rFonts w:eastAsia="仿宋_GB2312" w:hint="eastAsia"/>
          <w:sz w:val="32"/>
          <w:szCs w:val="32"/>
        </w:rPr>
        <w:t>证</w:t>
      </w:r>
      <w:r>
        <w:rPr>
          <w:rFonts w:eastAsia="仿宋_GB2312" w:hint="eastAsia"/>
          <w:sz w:val="32"/>
          <w:szCs w:val="32"/>
        </w:rPr>
        <w:t>的临床证候</w:t>
      </w:r>
      <w:r w:rsidR="00C51F05">
        <w:rPr>
          <w:rFonts w:eastAsia="仿宋_GB2312" w:hint="eastAsia"/>
          <w:sz w:val="32"/>
          <w:szCs w:val="32"/>
        </w:rPr>
        <w:t>诊断标准。</w:t>
      </w:r>
    </w:p>
    <w:p w14:paraId="18607B2E" w14:textId="1CBDBCB7" w:rsidR="0006652F" w:rsidRDefault="00C142DE" w:rsidP="005F7554">
      <w:pPr>
        <w:adjustRightInd w:val="0"/>
        <w:snapToGrid w:val="0"/>
        <w:spacing w:line="560" w:lineRule="exact"/>
        <w:ind w:firstLineChars="200" w:firstLine="643"/>
        <w:rPr>
          <w:rFonts w:eastAsia="仿宋_GB2312"/>
          <w:b/>
          <w:sz w:val="32"/>
          <w:szCs w:val="32"/>
        </w:rPr>
      </w:pPr>
      <w:r>
        <w:rPr>
          <w:rFonts w:eastAsia="仿宋_GB2312"/>
          <w:b/>
          <w:sz w:val="32"/>
          <w:szCs w:val="32"/>
        </w:rPr>
        <w:t>2.</w:t>
      </w:r>
      <w:r w:rsidR="00C51F05">
        <w:rPr>
          <w:rFonts w:eastAsia="仿宋_GB2312"/>
          <w:b/>
          <w:sz w:val="32"/>
          <w:szCs w:val="32"/>
        </w:rPr>
        <w:t xml:space="preserve"> </w:t>
      </w:r>
      <w:r>
        <w:rPr>
          <w:rFonts w:eastAsia="仿宋_GB2312"/>
          <w:b/>
          <w:sz w:val="32"/>
          <w:szCs w:val="32"/>
        </w:rPr>
        <w:t>排除标准</w:t>
      </w:r>
    </w:p>
    <w:p w14:paraId="486263CF"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）有脾胃虚弱证以外的证候或疾病的病牛；</w:t>
      </w:r>
    </w:p>
    <w:p w14:paraId="019BDCB6"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）发病后濒临死亡，预后不良，预期难以救治的病牛；</w:t>
      </w:r>
    </w:p>
    <w:p w14:paraId="536EE3CB"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3</w:t>
      </w:r>
      <w:r>
        <w:rPr>
          <w:rFonts w:eastAsia="仿宋_GB2312" w:hint="eastAsia"/>
          <w:sz w:val="32"/>
          <w:szCs w:val="32"/>
        </w:rPr>
        <w:t>）试验前接受过可影响本试验的药物治疗的病牛；</w:t>
      </w:r>
    </w:p>
    <w:p w14:paraId="6025CCFE"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）药物治疗后不能持续跟踪观察，数据丢失严重的病牛。</w:t>
      </w:r>
    </w:p>
    <w:p w14:paraId="2536274F" w14:textId="77777777" w:rsidR="0006652F" w:rsidRDefault="00C142DE" w:rsidP="00045FF5">
      <w:pPr>
        <w:adjustRightInd w:val="0"/>
        <w:snapToGrid w:val="0"/>
        <w:spacing w:line="560" w:lineRule="exact"/>
        <w:ind w:firstLineChars="200" w:firstLine="643"/>
        <w:rPr>
          <w:rFonts w:eastAsia="楷体_GB2312"/>
          <w:b/>
          <w:sz w:val="32"/>
          <w:szCs w:val="32"/>
        </w:rPr>
      </w:pPr>
      <w:r>
        <w:rPr>
          <w:rFonts w:eastAsia="楷体_GB2312" w:hint="eastAsia"/>
          <w:b/>
          <w:sz w:val="32"/>
          <w:szCs w:val="32"/>
        </w:rPr>
        <w:t>（五）退出标准</w:t>
      </w:r>
    </w:p>
    <w:p w14:paraId="298EBEEB"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）试验期间出现因外因导致受伤、有生命危险等情况；</w:t>
      </w:r>
    </w:p>
    <w:p w14:paraId="643F0035"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）试验期间使用了影响本试验的其他药物；</w:t>
      </w:r>
    </w:p>
    <w:p w14:paraId="5FF7CBFE"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）试验过程中发生重大偏离。</w:t>
      </w:r>
    </w:p>
    <w:p w14:paraId="4059A7D7" w14:textId="77777777" w:rsidR="0006652F" w:rsidRDefault="00C142DE" w:rsidP="00045FF5">
      <w:pPr>
        <w:adjustRightInd w:val="0"/>
        <w:snapToGrid w:val="0"/>
        <w:spacing w:line="560" w:lineRule="exact"/>
        <w:ind w:firstLineChars="200" w:firstLine="643"/>
        <w:rPr>
          <w:rFonts w:eastAsia="楷体_GB2312"/>
          <w:b/>
          <w:sz w:val="32"/>
          <w:szCs w:val="32"/>
        </w:rPr>
      </w:pPr>
      <w:r>
        <w:rPr>
          <w:rFonts w:eastAsia="楷体_GB2312" w:hint="eastAsia"/>
          <w:b/>
          <w:sz w:val="32"/>
          <w:szCs w:val="32"/>
        </w:rPr>
        <w:t>（六）</w:t>
      </w:r>
      <w:r>
        <w:rPr>
          <w:rFonts w:eastAsia="楷体_GB2312"/>
          <w:b/>
          <w:sz w:val="32"/>
          <w:szCs w:val="32"/>
        </w:rPr>
        <w:t>试验中止</w:t>
      </w:r>
    </w:p>
    <w:p w14:paraId="4A88B168"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若</w:t>
      </w:r>
      <w:r>
        <w:rPr>
          <w:rFonts w:eastAsia="仿宋_GB2312"/>
          <w:sz w:val="32"/>
          <w:szCs w:val="32"/>
        </w:rPr>
        <w:t>研究者认为受试</w:t>
      </w:r>
      <w:r>
        <w:rPr>
          <w:rFonts w:eastAsia="仿宋_GB2312" w:hint="eastAsia"/>
          <w:sz w:val="32"/>
          <w:szCs w:val="32"/>
        </w:rPr>
        <w:t>动物</w:t>
      </w:r>
      <w:r>
        <w:rPr>
          <w:rFonts w:eastAsia="仿宋_GB2312"/>
          <w:sz w:val="32"/>
          <w:szCs w:val="32"/>
        </w:rPr>
        <w:t>安全性受到</w:t>
      </w:r>
      <w:r>
        <w:rPr>
          <w:rFonts w:eastAsia="仿宋_GB2312" w:hint="eastAsia"/>
          <w:sz w:val="32"/>
          <w:szCs w:val="32"/>
        </w:rPr>
        <w:t>较大</w:t>
      </w:r>
      <w:r>
        <w:rPr>
          <w:rFonts w:eastAsia="仿宋_GB2312"/>
          <w:sz w:val="32"/>
          <w:szCs w:val="32"/>
        </w:rPr>
        <w:t>损害</w:t>
      </w:r>
      <w:r>
        <w:rPr>
          <w:rFonts w:eastAsia="仿宋_GB2312" w:hint="eastAsia"/>
          <w:sz w:val="32"/>
          <w:szCs w:val="32"/>
        </w:rPr>
        <w:t>或者</w:t>
      </w:r>
      <w:r>
        <w:rPr>
          <w:rFonts w:eastAsia="仿宋_GB2312"/>
          <w:sz w:val="32"/>
          <w:szCs w:val="32"/>
        </w:rPr>
        <w:t>在试验中发现临床试验方案有重大失误，难以评价药物效应</w:t>
      </w:r>
      <w:r>
        <w:rPr>
          <w:rFonts w:eastAsia="仿宋_GB2312" w:hint="eastAsia"/>
          <w:sz w:val="32"/>
          <w:szCs w:val="32"/>
        </w:rPr>
        <w:t>等，</w:t>
      </w:r>
      <w:r>
        <w:rPr>
          <w:rFonts w:eastAsia="仿宋_GB2312"/>
          <w:sz w:val="32"/>
          <w:szCs w:val="32"/>
        </w:rPr>
        <w:t>应及时中止临床试验。</w:t>
      </w:r>
    </w:p>
    <w:p w14:paraId="790AB580" w14:textId="77777777" w:rsidR="0006652F" w:rsidRDefault="00C142DE" w:rsidP="00045FF5">
      <w:pPr>
        <w:adjustRightInd w:val="0"/>
        <w:snapToGrid w:val="0"/>
        <w:spacing w:line="560" w:lineRule="exact"/>
        <w:ind w:firstLineChars="200" w:firstLine="643"/>
        <w:rPr>
          <w:rFonts w:eastAsia="楷体_GB2312"/>
          <w:b/>
          <w:sz w:val="32"/>
          <w:szCs w:val="32"/>
        </w:rPr>
      </w:pPr>
      <w:bookmarkStart w:id="5" w:name="_Toc499033911"/>
      <w:r>
        <w:rPr>
          <w:rFonts w:eastAsia="楷体_GB2312" w:hint="eastAsia"/>
          <w:b/>
          <w:sz w:val="32"/>
          <w:szCs w:val="32"/>
        </w:rPr>
        <w:t>（七）试验设计</w:t>
      </w:r>
      <w:bookmarkEnd w:id="5"/>
    </w:p>
    <w:p w14:paraId="2AE1DDB9"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）设盲</w:t>
      </w:r>
    </w:p>
    <w:p w14:paraId="3603BD2D"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试验采用给药者</w:t>
      </w:r>
      <w:r>
        <w:rPr>
          <w:rFonts w:eastAsia="仿宋_GB2312" w:hint="eastAsia"/>
          <w:sz w:val="32"/>
          <w:szCs w:val="32"/>
        </w:rPr>
        <w:t>-</w:t>
      </w:r>
      <w:r>
        <w:rPr>
          <w:rFonts w:eastAsia="仿宋_GB2312" w:hint="eastAsia"/>
          <w:sz w:val="32"/>
          <w:szCs w:val="32"/>
        </w:rPr>
        <w:t>评估者设计。分组和给药人员不参与疗效评估；疗效评估者不了解试验牛的分组、给药与药物信息；锁定数据后揭盲，对数据进行分析并撰写试验报告。试验期间，除非出现严重不良事件，不对相关人员揭盲。</w:t>
      </w:r>
    </w:p>
    <w:p w14:paraId="487D3F50"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）分组</w:t>
      </w:r>
    </w:p>
    <w:p w14:paraId="07F2C359"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分组遵循随机、对照和重复的原则，药效评价试验设置三个剂量组（即高、中、低剂量组，中剂量为推荐剂量）和药物对照组。药效评价田间试验设置推荐剂量组和药物对照组。</w:t>
      </w:r>
    </w:p>
    <w:p w14:paraId="073CD44C"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）给药方案</w:t>
      </w:r>
    </w:p>
    <w:p w14:paraId="43A92C78"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给药方案包括规范明确的给药途径、给药方法、使用剂</w:t>
      </w:r>
      <w:r>
        <w:rPr>
          <w:rFonts w:eastAsia="仿宋_GB2312" w:hint="eastAsia"/>
          <w:sz w:val="32"/>
          <w:szCs w:val="32"/>
        </w:rPr>
        <w:lastRenderedPageBreak/>
        <w:t>量、投药频次，次数、时机及给药疗程。</w:t>
      </w:r>
    </w:p>
    <w:p w14:paraId="4C1BCEA9" w14:textId="77777777" w:rsidR="0006652F" w:rsidRDefault="00C142DE" w:rsidP="00045FF5">
      <w:pPr>
        <w:adjustRightInd w:val="0"/>
        <w:snapToGrid w:val="0"/>
        <w:spacing w:line="560" w:lineRule="exact"/>
        <w:ind w:firstLineChars="200" w:firstLine="643"/>
        <w:rPr>
          <w:rFonts w:eastAsia="楷体_GB2312"/>
          <w:b/>
          <w:sz w:val="32"/>
          <w:szCs w:val="32"/>
        </w:rPr>
      </w:pPr>
      <w:r>
        <w:rPr>
          <w:rFonts w:eastAsia="楷体_GB2312" w:hint="eastAsia"/>
          <w:b/>
          <w:sz w:val="32"/>
          <w:szCs w:val="32"/>
        </w:rPr>
        <w:t>（八）对照药物选择</w:t>
      </w:r>
    </w:p>
    <w:p w14:paraId="61D405C8"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对照药物应采用合法产品，选择时应遵循同类可比、公认有效的原则。在试验方案及报告中应阐明对照药物选择的依据，对二者在功能以及适应证上的可比性进行分析，并明确其通用名称、含量、规格批号、生产企业、有效期及质量标准推荐的用法用量等。对照药物使用的途径、用法、用量应与质量标准规定的内容一致</w:t>
      </w:r>
      <w:r>
        <w:rPr>
          <w:rFonts w:eastAsia="仿宋_GB2312"/>
          <w:sz w:val="32"/>
          <w:szCs w:val="32"/>
        </w:rPr>
        <w:t>。</w:t>
      </w:r>
    </w:p>
    <w:p w14:paraId="1DEEA213"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如没有可选的已获得批准文号的合法对照药物，则对照药物可选安慰剂，安慰剂应在剂型、外观、气味、口感、质感等性状特征上与试验药物尽量接近，确保临床研究者在盲态下开展研究。</w:t>
      </w:r>
    </w:p>
    <w:p w14:paraId="66CC7344" w14:textId="77777777" w:rsidR="0006652F" w:rsidRDefault="00C142DE" w:rsidP="00045FF5">
      <w:pPr>
        <w:adjustRightInd w:val="0"/>
        <w:snapToGrid w:val="0"/>
        <w:spacing w:line="560" w:lineRule="exact"/>
        <w:ind w:firstLineChars="200" w:firstLine="643"/>
        <w:rPr>
          <w:rFonts w:eastAsia="楷体_GB2312"/>
          <w:b/>
          <w:sz w:val="32"/>
          <w:szCs w:val="32"/>
        </w:rPr>
      </w:pPr>
      <w:r>
        <w:rPr>
          <w:rFonts w:eastAsia="楷体_GB2312" w:hint="eastAsia"/>
          <w:b/>
          <w:sz w:val="32"/>
          <w:szCs w:val="32"/>
        </w:rPr>
        <w:t>（九）疗程及观测时点</w:t>
      </w:r>
    </w:p>
    <w:p w14:paraId="4C6ED2AA"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根据药物特点和前期研究信息合理设置观测时点及疗程，并根据研究目的的不同，科学设计观测的方法、观测时点、观测内容等。</w:t>
      </w:r>
    </w:p>
    <w:p w14:paraId="5294B13A" w14:textId="77777777" w:rsidR="0006652F" w:rsidRDefault="00C142DE" w:rsidP="00045FF5">
      <w:pPr>
        <w:adjustRightInd w:val="0"/>
        <w:snapToGrid w:val="0"/>
        <w:spacing w:line="560" w:lineRule="exact"/>
        <w:ind w:firstLineChars="200" w:firstLine="643"/>
        <w:rPr>
          <w:rFonts w:eastAsia="楷体_GB2312"/>
          <w:b/>
          <w:sz w:val="32"/>
          <w:szCs w:val="32"/>
        </w:rPr>
      </w:pPr>
      <w:r>
        <w:rPr>
          <w:rFonts w:eastAsia="楷体_GB2312" w:hint="eastAsia"/>
          <w:b/>
          <w:sz w:val="32"/>
          <w:szCs w:val="32"/>
        </w:rPr>
        <w:t>（十）有效性评价</w:t>
      </w:r>
    </w:p>
    <w:p w14:paraId="2D5FE65F"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以证候疗效评定标准进行有效性的评价。中兽医证候疗效为复合性指标，包括主症和次症的消除、改善或控制，并可以共同积分的改变进行评价。应重视各指标的权重赋值的合理，新兽药治疗牛脾胃虚弱证的具体临床评价指标如下：</w:t>
      </w:r>
    </w:p>
    <w:p w14:paraId="53159E5B"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）治愈：临床证候消除，症状积分减少≥</w:t>
      </w:r>
      <w:r>
        <w:rPr>
          <w:rFonts w:eastAsia="仿宋_GB2312" w:hint="eastAsia"/>
          <w:sz w:val="32"/>
          <w:szCs w:val="32"/>
        </w:rPr>
        <w:t>10</w:t>
      </w:r>
      <w:r>
        <w:rPr>
          <w:rFonts w:eastAsia="仿宋_GB2312"/>
          <w:sz w:val="32"/>
          <w:szCs w:val="32"/>
        </w:rPr>
        <w:t>0</w:t>
      </w:r>
      <w:r>
        <w:rPr>
          <w:rFonts w:eastAsia="仿宋_GB2312" w:hint="eastAsia"/>
          <w:sz w:val="32"/>
          <w:szCs w:val="32"/>
        </w:rPr>
        <w:t>%</w:t>
      </w:r>
      <w:r>
        <w:rPr>
          <w:rFonts w:eastAsia="仿宋_GB2312" w:hint="eastAsia"/>
          <w:sz w:val="32"/>
          <w:szCs w:val="32"/>
        </w:rPr>
        <w:t>。治疗后病牛腹泻症状完全消除，</w:t>
      </w:r>
      <w:bookmarkStart w:id="6" w:name="_Hlk142298186"/>
      <w:r>
        <w:rPr>
          <w:rFonts w:eastAsia="仿宋_GB2312" w:hint="eastAsia"/>
          <w:sz w:val="32"/>
          <w:szCs w:val="32"/>
        </w:rPr>
        <w:t>口色、脉象</w:t>
      </w:r>
      <w:bookmarkEnd w:id="6"/>
      <w:r>
        <w:rPr>
          <w:rFonts w:eastAsia="仿宋_GB2312" w:hint="eastAsia"/>
          <w:sz w:val="32"/>
          <w:szCs w:val="32"/>
        </w:rPr>
        <w:t>、体重增长、精神、食欲、饮欲、体温等均恢复正常，观察期不复发，判为治愈。</w:t>
      </w:r>
      <w:r>
        <w:rPr>
          <w:rFonts w:eastAsia="仿宋_GB2312" w:hint="eastAsia"/>
          <w:sz w:val="32"/>
          <w:szCs w:val="32"/>
        </w:rPr>
        <w:lastRenderedPageBreak/>
        <w:t>计算治愈率。</w:t>
      </w:r>
    </w:p>
    <w:p w14:paraId="7F68ECB6"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）显效：临床证候明显改善，症状积分减少≥</w:t>
      </w:r>
      <w:r>
        <w:rPr>
          <w:rFonts w:eastAsia="仿宋_GB2312" w:hint="eastAsia"/>
          <w:sz w:val="32"/>
          <w:szCs w:val="32"/>
        </w:rPr>
        <w:t>7</w:t>
      </w:r>
      <w:r>
        <w:rPr>
          <w:rFonts w:eastAsia="仿宋_GB2312"/>
          <w:sz w:val="32"/>
          <w:szCs w:val="32"/>
        </w:rPr>
        <w:t>0</w:t>
      </w:r>
      <w:r>
        <w:rPr>
          <w:rFonts w:eastAsia="仿宋_GB2312" w:hint="eastAsia"/>
          <w:sz w:val="32"/>
          <w:szCs w:val="32"/>
        </w:rPr>
        <w:t>%</w:t>
      </w:r>
      <w:r>
        <w:rPr>
          <w:rFonts w:eastAsia="仿宋_GB2312" w:hint="eastAsia"/>
          <w:sz w:val="32"/>
          <w:szCs w:val="32"/>
        </w:rPr>
        <w:t>。治疗后病牛腹泻症状明显减轻，口色、脉象、消瘦状态得以改善，精神好转，食欲、饮欲、体温等基本恢复正常；观察期内症状不再加重，判断为显效。计算显效率。</w:t>
      </w:r>
    </w:p>
    <w:p w14:paraId="774DF248"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）有效：临床证候部分改善，</w:t>
      </w:r>
      <w:r>
        <w:rPr>
          <w:rFonts w:eastAsia="仿宋_GB2312" w:hint="eastAsia"/>
          <w:sz w:val="32"/>
          <w:szCs w:val="32"/>
        </w:rPr>
        <w:t>3</w:t>
      </w:r>
      <w:r>
        <w:rPr>
          <w:rFonts w:eastAsia="仿宋_GB2312"/>
          <w:sz w:val="32"/>
          <w:szCs w:val="32"/>
        </w:rPr>
        <w:t>0%</w:t>
      </w:r>
      <w:r>
        <w:rPr>
          <w:rFonts w:eastAsia="仿宋_GB2312" w:hint="eastAsia"/>
          <w:sz w:val="32"/>
          <w:szCs w:val="32"/>
        </w:rPr>
        <w:t>≤症状积分减少＜</w:t>
      </w:r>
      <w:r>
        <w:rPr>
          <w:rFonts w:eastAsia="仿宋_GB2312"/>
          <w:sz w:val="32"/>
          <w:szCs w:val="32"/>
        </w:rPr>
        <w:t>70%</w:t>
      </w:r>
      <w:r>
        <w:rPr>
          <w:rFonts w:eastAsia="仿宋_GB2312" w:hint="eastAsia"/>
          <w:sz w:val="32"/>
          <w:szCs w:val="32"/>
        </w:rPr>
        <w:t>。治疗后病牛腹泻症状略有好转，口色、脉象、消瘦状态略有改善，精神、食欲、饮欲、发热等症状略有好转；观察期内症状不再加重，判断为有效，计算有效率。</w:t>
      </w:r>
    </w:p>
    <w:p w14:paraId="0454B137"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）无效：临床证候无明显改善，甚至加重或死亡，症状积分减少＜</w:t>
      </w:r>
      <w:r>
        <w:rPr>
          <w:rFonts w:eastAsia="仿宋_GB2312" w:hint="eastAsia"/>
          <w:sz w:val="32"/>
          <w:szCs w:val="32"/>
        </w:rPr>
        <w:t>3</w:t>
      </w:r>
      <w:r>
        <w:rPr>
          <w:rFonts w:eastAsia="仿宋_GB2312"/>
          <w:sz w:val="32"/>
          <w:szCs w:val="32"/>
        </w:rPr>
        <w:t>0%</w:t>
      </w:r>
      <w:r>
        <w:rPr>
          <w:rFonts w:eastAsia="仿宋_GB2312" w:hint="eastAsia"/>
          <w:sz w:val="32"/>
          <w:szCs w:val="32"/>
        </w:rPr>
        <w:t>。治疗后病牛腹泻症状没有减轻，口色、脉象、精神、食欲、饮欲、发热等症状未改善甚至加重或死亡。判为无效。计算无效率</w:t>
      </w:r>
      <w:r>
        <w:rPr>
          <w:rFonts w:eastAsia="仿宋_GB2312"/>
          <w:sz w:val="32"/>
          <w:szCs w:val="32"/>
        </w:rPr>
        <w:t>。</w:t>
      </w:r>
    </w:p>
    <w:p w14:paraId="401F449A"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hint="eastAsia"/>
          <w:sz w:val="32"/>
          <w:szCs w:val="32"/>
        </w:rPr>
        <w:t>最后统计总有效率，总有效率为治愈率、显效率、有效率之和。以治愈率、显效率和总有效率为主要指标</w:t>
      </w:r>
      <w:r w:rsidRPr="00045FF5">
        <w:rPr>
          <w:rFonts w:eastAsia="仿宋_GB2312" w:hint="eastAsia"/>
          <w:sz w:val="32"/>
          <w:szCs w:val="32"/>
        </w:rPr>
        <w:t>，综合评价受试药物对牛脾胃虚弱证的治疗效果。</w:t>
      </w:r>
    </w:p>
    <w:p w14:paraId="0A979593" w14:textId="77777777" w:rsidR="0006652F" w:rsidRPr="005F7554" w:rsidRDefault="00C142DE" w:rsidP="005F7554">
      <w:pPr>
        <w:adjustRightInd w:val="0"/>
        <w:snapToGrid w:val="0"/>
        <w:spacing w:line="560" w:lineRule="exact"/>
        <w:ind w:firstLineChars="200" w:firstLine="643"/>
        <w:rPr>
          <w:rFonts w:eastAsia="楷体_GB2312"/>
          <w:b/>
          <w:sz w:val="32"/>
          <w:szCs w:val="32"/>
        </w:rPr>
      </w:pPr>
      <w:bookmarkStart w:id="7" w:name="_Toc499033918"/>
      <w:r w:rsidRPr="005F7554">
        <w:rPr>
          <w:rFonts w:eastAsia="楷体_GB2312" w:hint="eastAsia"/>
          <w:b/>
          <w:sz w:val="32"/>
          <w:szCs w:val="32"/>
        </w:rPr>
        <w:t>（十一）试验的质量控制</w:t>
      </w:r>
    </w:p>
    <w:p w14:paraId="7451E2C5"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sz w:val="32"/>
          <w:szCs w:val="32"/>
        </w:rPr>
        <w:t>申办方应当选择一种</w:t>
      </w:r>
      <w:r>
        <w:rPr>
          <w:rFonts w:eastAsia="仿宋_GB2312" w:hint="eastAsia"/>
          <w:sz w:val="32"/>
          <w:szCs w:val="32"/>
        </w:rPr>
        <w:t>适当的</w:t>
      </w:r>
      <w:r>
        <w:rPr>
          <w:rFonts w:eastAsia="仿宋_GB2312"/>
          <w:sz w:val="32"/>
          <w:szCs w:val="32"/>
        </w:rPr>
        <w:t>方式，便于评价</w:t>
      </w:r>
      <w:r>
        <w:rPr>
          <w:rFonts w:eastAsia="仿宋_GB2312" w:hint="eastAsia"/>
          <w:sz w:val="32"/>
          <w:szCs w:val="32"/>
        </w:rPr>
        <w:t>患病动物</w:t>
      </w:r>
      <w:r>
        <w:rPr>
          <w:rFonts w:eastAsia="仿宋_GB2312"/>
          <w:sz w:val="32"/>
          <w:szCs w:val="32"/>
        </w:rPr>
        <w:t>在试验过程中每天的症状和体征。</w:t>
      </w:r>
    </w:p>
    <w:p w14:paraId="04758C84" w14:textId="77777777" w:rsidR="0006652F" w:rsidRDefault="00C142DE" w:rsidP="005F7554">
      <w:pPr>
        <w:adjustRightInd w:val="0"/>
        <w:snapToGrid w:val="0"/>
        <w:spacing w:line="560" w:lineRule="exact"/>
        <w:ind w:firstLineChars="200" w:firstLine="640"/>
        <w:rPr>
          <w:rFonts w:ascii="等线" w:eastAsia="仿宋_GB2312" w:hAnsi="等线"/>
          <w:sz w:val="32"/>
          <w:szCs w:val="32"/>
        </w:rPr>
      </w:pPr>
      <w:r>
        <w:rPr>
          <w:rFonts w:ascii="等线" w:eastAsia="仿宋_GB2312" w:hAnsi="等线"/>
          <w:sz w:val="32"/>
          <w:szCs w:val="32"/>
        </w:rPr>
        <w:t>对于主观评价指标，质量控制至关重要。若在试验的某个阶段（如探索性试验阶段）未采取盲法设计，应着重注意保证评价者与数据分析者均处于盲态，降低偏倚性。</w:t>
      </w:r>
    </w:p>
    <w:p w14:paraId="2C9C5BA0" w14:textId="77777777" w:rsidR="0006652F" w:rsidRDefault="00C142DE" w:rsidP="00045FF5">
      <w:pPr>
        <w:adjustRightInd w:val="0"/>
        <w:snapToGrid w:val="0"/>
        <w:spacing w:line="560" w:lineRule="exact"/>
        <w:ind w:firstLineChars="200" w:firstLine="643"/>
        <w:rPr>
          <w:rFonts w:eastAsia="楷体_GB2312"/>
          <w:b/>
          <w:sz w:val="32"/>
          <w:szCs w:val="32"/>
        </w:rPr>
      </w:pPr>
      <w:r>
        <w:rPr>
          <w:rFonts w:eastAsia="楷体_GB2312" w:hint="eastAsia"/>
          <w:b/>
          <w:sz w:val="32"/>
          <w:szCs w:val="32"/>
        </w:rPr>
        <w:t>（十二）统计方法</w:t>
      </w:r>
      <w:bookmarkEnd w:id="7"/>
    </w:p>
    <w:p w14:paraId="0573E165" w14:textId="77777777" w:rsidR="0006652F" w:rsidRDefault="00C142DE" w:rsidP="005F7554">
      <w:pPr>
        <w:adjustRightInd w:val="0"/>
        <w:snapToGrid w:val="0"/>
        <w:spacing w:line="560" w:lineRule="exact"/>
        <w:ind w:firstLineChars="200" w:firstLine="640"/>
        <w:rPr>
          <w:rFonts w:eastAsia="仿宋_GB2312"/>
          <w:sz w:val="32"/>
          <w:szCs w:val="32"/>
        </w:rPr>
      </w:pPr>
      <w:r>
        <w:rPr>
          <w:rFonts w:eastAsia="仿宋_GB2312"/>
          <w:sz w:val="32"/>
          <w:szCs w:val="32"/>
        </w:rPr>
        <w:t>应符合统计学的一般要求。病例数的设计应根据统计学、</w:t>
      </w:r>
      <w:r>
        <w:rPr>
          <w:rFonts w:eastAsia="仿宋_GB2312" w:hint="eastAsia"/>
          <w:sz w:val="32"/>
          <w:szCs w:val="32"/>
        </w:rPr>
        <w:lastRenderedPageBreak/>
        <w:t>相关法规或技术规程的要求进行计算统计。</w:t>
      </w:r>
    </w:p>
    <w:sectPr w:rsidR="00066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D654D" w14:textId="77777777" w:rsidR="00177932" w:rsidRDefault="00177932" w:rsidP="003B0558">
      <w:r>
        <w:separator/>
      </w:r>
    </w:p>
  </w:endnote>
  <w:endnote w:type="continuationSeparator" w:id="0">
    <w:p w14:paraId="636DCC19" w14:textId="77777777" w:rsidR="00177932" w:rsidRDefault="00177932" w:rsidP="003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534FE" w14:textId="77777777" w:rsidR="00177932" w:rsidRDefault="00177932" w:rsidP="003B0558">
      <w:r>
        <w:separator/>
      </w:r>
    </w:p>
  </w:footnote>
  <w:footnote w:type="continuationSeparator" w:id="0">
    <w:p w14:paraId="3AA10350" w14:textId="77777777" w:rsidR="00177932" w:rsidRDefault="00177932" w:rsidP="003B0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NTRlODhkM2E2NDVmMTlhZDc3ZWQwMGY2MWJhMDgifQ=="/>
  </w:docVars>
  <w:rsids>
    <w:rsidRoot w:val="00AE46FA"/>
    <w:rsid w:val="00000495"/>
    <w:rsid w:val="0000632E"/>
    <w:rsid w:val="00035F8F"/>
    <w:rsid w:val="00045FF5"/>
    <w:rsid w:val="00050103"/>
    <w:rsid w:val="000602A0"/>
    <w:rsid w:val="0006652F"/>
    <w:rsid w:val="000B128E"/>
    <w:rsid w:val="0011200D"/>
    <w:rsid w:val="0015008C"/>
    <w:rsid w:val="00177932"/>
    <w:rsid w:val="001872B7"/>
    <w:rsid w:val="001B0F90"/>
    <w:rsid w:val="001B345C"/>
    <w:rsid w:val="001C4C76"/>
    <w:rsid w:val="001D714F"/>
    <w:rsid w:val="001F7351"/>
    <w:rsid w:val="002001FC"/>
    <w:rsid w:val="0021284E"/>
    <w:rsid w:val="00230527"/>
    <w:rsid w:val="00231792"/>
    <w:rsid w:val="00242FE8"/>
    <w:rsid w:val="00274DE3"/>
    <w:rsid w:val="002A2B74"/>
    <w:rsid w:val="002B4A23"/>
    <w:rsid w:val="002C086B"/>
    <w:rsid w:val="002E168B"/>
    <w:rsid w:val="002E667C"/>
    <w:rsid w:val="00321243"/>
    <w:rsid w:val="0033531D"/>
    <w:rsid w:val="00352ED9"/>
    <w:rsid w:val="00355B03"/>
    <w:rsid w:val="0036011F"/>
    <w:rsid w:val="00394557"/>
    <w:rsid w:val="003A4276"/>
    <w:rsid w:val="003B0558"/>
    <w:rsid w:val="003B5A7E"/>
    <w:rsid w:val="003B7F9D"/>
    <w:rsid w:val="003C1193"/>
    <w:rsid w:val="003C1F32"/>
    <w:rsid w:val="003C79E1"/>
    <w:rsid w:val="003D066C"/>
    <w:rsid w:val="00406C41"/>
    <w:rsid w:val="00474F42"/>
    <w:rsid w:val="004B7FAC"/>
    <w:rsid w:val="004C4E0B"/>
    <w:rsid w:val="004F7F75"/>
    <w:rsid w:val="0050647B"/>
    <w:rsid w:val="005133EE"/>
    <w:rsid w:val="00536DF3"/>
    <w:rsid w:val="00582680"/>
    <w:rsid w:val="005A5430"/>
    <w:rsid w:val="005B521C"/>
    <w:rsid w:val="005B7DC0"/>
    <w:rsid w:val="005C07E0"/>
    <w:rsid w:val="005D1A03"/>
    <w:rsid w:val="005F2034"/>
    <w:rsid w:val="005F7554"/>
    <w:rsid w:val="005F770D"/>
    <w:rsid w:val="005F7DDF"/>
    <w:rsid w:val="00606CCC"/>
    <w:rsid w:val="00613703"/>
    <w:rsid w:val="006236AB"/>
    <w:rsid w:val="0066365D"/>
    <w:rsid w:val="006A0212"/>
    <w:rsid w:val="006A4AB1"/>
    <w:rsid w:val="006C4215"/>
    <w:rsid w:val="006D39DE"/>
    <w:rsid w:val="006F22EA"/>
    <w:rsid w:val="00707D04"/>
    <w:rsid w:val="00711B8B"/>
    <w:rsid w:val="00717B77"/>
    <w:rsid w:val="007338D3"/>
    <w:rsid w:val="0075402D"/>
    <w:rsid w:val="00782AC8"/>
    <w:rsid w:val="007A6D30"/>
    <w:rsid w:val="007B2032"/>
    <w:rsid w:val="007B3576"/>
    <w:rsid w:val="007E5A24"/>
    <w:rsid w:val="007E6902"/>
    <w:rsid w:val="007F7B5A"/>
    <w:rsid w:val="00837455"/>
    <w:rsid w:val="0088577C"/>
    <w:rsid w:val="008878C0"/>
    <w:rsid w:val="008A3AA1"/>
    <w:rsid w:val="008A671E"/>
    <w:rsid w:val="008C5E8B"/>
    <w:rsid w:val="008D2643"/>
    <w:rsid w:val="008F5B58"/>
    <w:rsid w:val="009015C4"/>
    <w:rsid w:val="00903FCB"/>
    <w:rsid w:val="0090495D"/>
    <w:rsid w:val="00906EEF"/>
    <w:rsid w:val="009378C2"/>
    <w:rsid w:val="00976C96"/>
    <w:rsid w:val="00982086"/>
    <w:rsid w:val="0098701E"/>
    <w:rsid w:val="009909E5"/>
    <w:rsid w:val="00996E14"/>
    <w:rsid w:val="009C3BAF"/>
    <w:rsid w:val="009D07A0"/>
    <w:rsid w:val="009E46C8"/>
    <w:rsid w:val="009E4882"/>
    <w:rsid w:val="00A7559D"/>
    <w:rsid w:val="00A8162B"/>
    <w:rsid w:val="00A84707"/>
    <w:rsid w:val="00A84E5F"/>
    <w:rsid w:val="00A959DF"/>
    <w:rsid w:val="00AC116A"/>
    <w:rsid w:val="00AE46FA"/>
    <w:rsid w:val="00AF1217"/>
    <w:rsid w:val="00B72CF1"/>
    <w:rsid w:val="00BB0921"/>
    <w:rsid w:val="00BB26FC"/>
    <w:rsid w:val="00BB56BE"/>
    <w:rsid w:val="00BD67F8"/>
    <w:rsid w:val="00BE0EBC"/>
    <w:rsid w:val="00BF628E"/>
    <w:rsid w:val="00C00A4B"/>
    <w:rsid w:val="00C142DE"/>
    <w:rsid w:val="00C4587D"/>
    <w:rsid w:val="00C51F05"/>
    <w:rsid w:val="00C5548A"/>
    <w:rsid w:val="00C5571B"/>
    <w:rsid w:val="00C711E5"/>
    <w:rsid w:val="00C86A20"/>
    <w:rsid w:val="00C951EE"/>
    <w:rsid w:val="00C96043"/>
    <w:rsid w:val="00CB0552"/>
    <w:rsid w:val="00CB05C1"/>
    <w:rsid w:val="00CC3531"/>
    <w:rsid w:val="00CE1DEF"/>
    <w:rsid w:val="00CF5000"/>
    <w:rsid w:val="00CF7445"/>
    <w:rsid w:val="00D060B1"/>
    <w:rsid w:val="00D15CA2"/>
    <w:rsid w:val="00D6194E"/>
    <w:rsid w:val="00D65625"/>
    <w:rsid w:val="00DB5D3A"/>
    <w:rsid w:val="00DC1396"/>
    <w:rsid w:val="00DC25ED"/>
    <w:rsid w:val="00DD5D68"/>
    <w:rsid w:val="00DE4ABE"/>
    <w:rsid w:val="00DF1BF9"/>
    <w:rsid w:val="00E220F2"/>
    <w:rsid w:val="00E305F5"/>
    <w:rsid w:val="00E6600D"/>
    <w:rsid w:val="00E77A3A"/>
    <w:rsid w:val="00EB5607"/>
    <w:rsid w:val="00ED5CAA"/>
    <w:rsid w:val="00F01FDC"/>
    <w:rsid w:val="00F32DB6"/>
    <w:rsid w:val="00F54FA8"/>
    <w:rsid w:val="00F60245"/>
    <w:rsid w:val="00F70E5E"/>
    <w:rsid w:val="00FB42A3"/>
    <w:rsid w:val="52164A18"/>
    <w:rsid w:val="543C1CEF"/>
    <w:rsid w:val="6A892A53"/>
    <w:rsid w:val="6EBF70BA"/>
    <w:rsid w:val="7485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EE094"/>
  <w15:docId w15:val="{460FC83C-7225-4F3B-A6AF-22A855A8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楷体_GB2312" w:hAnsi="Cambria"/>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Pr>
      <w:b/>
      <w:bCs/>
    </w:rPr>
  </w:style>
  <w:style w:type="paragraph" w:styleId="20">
    <w:name w:val="Body Text First Indent 2"/>
    <w:basedOn w:val="a4"/>
    <w:link w:val="2Char0"/>
    <w:unhideWhenUsed/>
    <w:qFormat/>
    <w:pPr>
      <w:spacing w:line="360" w:lineRule="auto"/>
      <w:ind w:firstLineChars="200" w:firstLine="420"/>
    </w:pPr>
    <w:rPr>
      <w:szCs w:val="21"/>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Cambria" w:eastAsia="楷体_GB2312" w:hAnsi="Cambria" w:cs="Times New Roman"/>
      <w:bCs/>
      <w:sz w:val="32"/>
      <w:szCs w:val="32"/>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2Char0">
    <w:name w:val="正文首行缩进 2 Char"/>
    <w:basedOn w:val="Char0"/>
    <w:link w:val="20"/>
    <w:qFormat/>
    <w:rPr>
      <w:rFonts w:ascii="Times New Roman" w:eastAsia="宋体" w:hAnsi="Times New Roman" w:cs="Times New Roman"/>
      <w:szCs w:val="21"/>
    </w:rPr>
  </w:style>
  <w:style w:type="character" w:customStyle="1" w:styleId="Char5">
    <w:name w:val="正文仿宋三号 Char"/>
    <w:link w:val="aa"/>
    <w:qFormat/>
    <w:rPr>
      <w:rFonts w:eastAsia="仿宋_GB2312"/>
      <w:sz w:val="32"/>
      <w:szCs w:val="32"/>
    </w:rPr>
  </w:style>
  <w:style w:type="paragraph" w:customStyle="1" w:styleId="aa">
    <w:name w:val="正文仿宋三号"/>
    <w:basedOn w:val="a"/>
    <w:link w:val="Char5"/>
    <w:qFormat/>
    <w:pPr>
      <w:widowControl/>
      <w:spacing w:line="360" w:lineRule="auto"/>
      <w:ind w:firstLineChars="200" w:firstLine="640"/>
    </w:pPr>
    <w:rPr>
      <w:rFonts w:asciiTheme="minorHAnsi" w:eastAsia="仿宋_GB2312" w:hAnsiTheme="minorHAnsi" w:cstheme="minorBidi"/>
      <w:sz w:val="32"/>
      <w:szCs w:val="32"/>
    </w:rPr>
  </w:style>
  <w:style w:type="character" w:customStyle="1" w:styleId="Char1">
    <w:name w:val="批注框文本 Char"/>
    <w:basedOn w:val="a0"/>
    <w:link w:val="a5"/>
    <w:uiPriority w:val="99"/>
    <w:semiHidden/>
    <w:qFormat/>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Pr>
      <w:rFonts w:ascii="Times New Roman" w:eastAsia="宋体" w:hAnsi="Times New Roman" w:cs="Times New Roman"/>
      <w:kern w:val="2"/>
      <w:sz w:val="21"/>
      <w:szCs w:val="24"/>
    </w:rPr>
  </w:style>
  <w:style w:type="character" w:customStyle="1" w:styleId="Char4">
    <w:name w:val="批注主题 Char"/>
    <w:basedOn w:val="Char"/>
    <w:link w:val="a8"/>
    <w:uiPriority w:val="99"/>
    <w:semiHidden/>
    <w:qFormat/>
    <w:rPr>
      <w:rFonts w:ascii="Times New Roman" w:eastAsia="宋体" w:hAnsi="Times New Roman" w:cs="Times New Roman"/>
      <w:b/>
      <w:bCs/>
      <w:kern w:val="2"/>
      <w:sz w:val="21"/>
      <w:szCs w:val="24"/>
    </w:rPr>
  </w:style>
  <w:style w:type="paragraph" w:styleId="ab">
    <w:name w:val="Revision"/>
    <w:hidden/>
    <w:uiPriority w:val="99"/>
    <w:semiHidden/>
    <w:rsid w:val="002C086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17605-B7C7-4093-8A4D-EC6A57CE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48623</dc:creator>
  <cp:lastModifiedBy>刘自扬</cp:lastModifiedBy>
  <cp:revision>3</cp:revision>
  <dcterms:created xsi:type="dcterms:W3CDTF">2024-01-25T08:07:00Z</dcterms:created>
  <dcterms:modified xsi:type="dcterms:W3CDTF">2024-01-25T09:24:00Z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65DFC3EF7FCE493898BEE1A4F15C51EC_13</vt:lpwstr>
  </property>
</Properties>
</file>