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1DE04" w14:textId="77777777" w:rsidR="009F2FEC" w:rsidRDefault="009F2FEC">
      <w:pPr>
        <w:adjustRightInd w:val="0"/>
        <w:snapToGrid w:val="0"/>
        <w:spacing w:line="560" w:lineRule="exact"/>
        <w:ind w:firstLineChars="200" w:firstLine="640"/>
        <w:rPr>
          <w:rFonts w:eastAsia="仿宋_GB2312"/>
          <w:sz w:val="32"/>
          <w:szCs w:val="32"/>
        </w:rPr>
      </w:pPr>
    </w:p>
    <w:p w14:paraId="4B5EF1E1" w14:textId="77777777" w:rsidR="009F2FEC" w:rsidRDefault="009F2FEC">
      <w:pPr>
        <w:adjustRightInd w:val="0"/>
        <w:snapToGrid w:val="0"/>
        <w:spacing w:line="560" w:lineRule="exact"/>
        <w:ind w:firstLineChars="200" w:firstLine="640"/>
        <w:rPr>
          <w:rFonts w:eastAsia="仿宋_GB2312"/>
          <w:sz w:val="32"/>
          <w:szCs w:val="32"/>
        </w:rPr>
      </w:pPr>
    </w:p>
    <w:p w14:paraId="147227F2" w14:textId="77777777" w:rsidR="009F2FEC" w:rsidRDefault="009F2FEC">
      <w:pPr>
        <w:adjustRightInd w:val="0"/>
        <w:snapToGrid w:val="0"/>
        <w:spacing w:line="560" w:lineRule="exact"/>
        <w:ind w:firstLineChars="200" w:firstLine="640"/>
        <w:rPr>
          <w:rFonts w:eastAsia="仿宋_GB2312"/>
          <w:sz w:val="32"/>
          <w:szCs w:val="32"/>
        </w:rPr>
      </w:pPr>
    </w:p>
    <w:p w14:paraId="7A733545" w14:textId="77777777" w:rsidR="009F2FEC" w:rsidRDefault="009F2FEC">
      <w:pPr>
        <w:adjustRightInd w:val="0"/>
        <w:snapToGrid w:val="0"/>
        <w:spacing w:line="560" w:lineRule="exact"/>
        <w:ind w:firstLineChars="200" w:firstLine="640"/>
        <w:rPr>
          <w:rFonts w:eastAsia="仿宋_GB2312"/>
          <w:sz w:val="32"/>
          <w:szCs w:val="32"/>
        </w:rPr>
      </w:pPr>
    </w:p>
    <w:p w14:paraId="30CF8769" w14:textId="77777777" w:rsidR="009F2FEC" w:rsidRDefault="009F2FEC">
      <w:pPr>
        <w:adjustRightInd w:val="0"/>
        <w:snapToGrid w:val="0"/>
        <w:spacing w:line="560" w:lineRule="exact"/>
        <w:ind w:firstLineChars="200" w:firstLine="640"/>
        <w:rPr>
          <w:rFonts w:eastAsia="仿宋_GB2312"/>
          <w:sz w:val="32"/>
          <w:szCs w:val="32"/>
        </w:rPr>
      </w:pPr>
    </w:p>
    <w:p w14:paraId="248A9DFD" w14:textId="77777777" w:rsidR="009F2FEC" w:rsidRDefault="009F2FEC">
      <w:pPr>
        <w:adjustRightInd w:val="0"/>
        <w:snapToGrid w:val="0"/>
        <w:spacing w:line="560" w:lineRule="exact"/>
        <w:ind w:firstLineChars="200" w:firstLine="640"/>
        <w:rPr>
          <w:rFonts w:eastAsia="仿宋_GB2312"/>
          <w:sz w:val="32"/>
          <w:szCs w:val="32"/>
        </w:rPr>
      </w:pPr>
    </w:p>
    <w:p w14:paraId="74DBBA64" w14:textId="4C265179" w:rsidR="009F2FEC" w:rsidRPr="00631742" w:rsidRDefault="005E3B10">
      <w:pPr>
        <w:adjustRightInd w:val="0"/>
        <w:snapToGrid w:val="0"/>
        <w:spacing w:beforeLines="100" w:before="312" w:afterLines="100" w:after="312" w:line="560" w:lineRule="exact"/>
        <w:jc w:val="center"/>
        <w:rPr>
          <w:rFonts w:ascii="黑体" w:eastAsia="黑体" w:hAnsi="黑体"/>
          <w:b/>
          <w:sz w:val="32"/>
          <w:szCs w:val="32"/>
        </w:rPr>
      </w:pPr>
      <w:r>
        <w:rPr>
          <w:rFonts w:ascii="黑体" w:eastAsia="黑体" w:hAnsi="黑体" w:hint="eastAsia"/>
          <w:b/>
          <w:sz w:val="32"/>
          <w:szCs w:val="32"/>
        </w:rPr>
        <w:t>用于鸡脾胃虚弱证</w:t>
      </w:r>
      <w:r w:rsidR="00930310" w:rsidRPr="00631742">
        <w:rPr>
          <w:rFonts w:ascii="黑体" w:eastAsia="黑体" w:hAnsi="黑体" w:hint="eastAsia"/>
          <w:b/>
          <w:sz w:val="32"/>
          <w:szCs w:val="32"/>
        </w:rPr>
        <w:t>的</w:t>
      </w:r>
      <w:r w:rsidR="00930310" w:rsidRPr="00631742">
        <w:rPr>
          <w:rFonts w:ascii="黑体" w:eastAsia="黑体" w:hAnsi="黑体"/>
          <w:b/>
          <w:sz w:val="32"/>
          <w:szCs w:val="32"/>
        </w:rPr>
        <w:t>兽用</w:t>
      </w:r>
      <w:r w:rsidRPr="00631742">
        <w:rPr>
          <w:rFonts w:ascii="黑体" w:eastAsia="黑体" w:hAnsi="黑体" w:hint="eastAsia"/>
          <w:b/>
          <w:sz w:val="32"/>
          <w:szCs w:val="32"/>
        </w:rPr>
        <w:t>中药临床研究技术指导原则</w:t>
      </w:r>
    </w:p>
    <w:p w14:paraId="75105B75" w14:textId="7A104484" w:rsidR="00930310" w:rsidRPr="00631742" w:rsidRDefault="00930310">
      <w:pPr>
        <w:adjustRightInd w:val="0"/>
        <w:snapToGrid w:val="0"/>
        <w:spacing w:beforeLines="100" w:before="312" w:afterLines="100" w:after="312" w:line="560" w:lineRule="exact"/>
        <w:jc w:val="center"/>
        <w:rPr>
          <w:rFonts w:ascii="黑体" w:eastAsia="黑体" w:hAnsi="黑体"/>
          <w:b/>
          <w:sz w:val="32"/>
          <w:szCs w:val="32"/>
        </w:rPr>
      </w:pPr>
      <w:r w:rsidRPr="00631742">
        <w:rPr>
          <w:rFonts w:ascii="黑体" w:eastAsia="黑体" w:hAnsi="黑体" w:hint="eastAsia"/>
          <w:b/>
          <w:sz w:val="32"/>
          <w:szCs w:val="32"/>
        </w:rPr>
        <w:t>（</w:t>
      </w:r>
      <w:r w:rsidRPr="00631742">
        <w:rPr>
          <w:rFonts w:ascii="黑体" w:eastAsia="黑体" w:hAnsi="黑体"/>
          <w:b/>
          <w:sz w:val="32"/>
          <w:szCs w:val="32"/>
        </w:rPr>
        <w:t>征求意见稿）</w:t>
      </w:r>
    </w:p>
    <w:p w14:paraId="2C8A731C" w14:textId="77777777" w:rsidR="009F2FEC" w:rsidRDefault="009F2FEC">
      <w:pPr>
        <w:adjustRightInd w:val="0"/>
        <w:snapToGrid w:val="0"/>
        <w:spacing w:beforeLines="100" w:before="312" w:afterLines="100" w:after="312" w:line="560" w:lineRule="exact"/>
        <w:jc w:val="center"/>
        <w:rPr>
          <w:rFonts w:eastAsia="仿宋_GB2312"/>
          <w:sz w:val="32"/>
          <w:szCs w:val="32"/>
        </w:rPr>
      </w:pPr>
    </w:p>
    <w:p w14:paraId="566EB87C" w14:textId="77777777" w:rsidR="009F2FEC" w:rsidRDefault="009F2FEC">
      <w:pPr>
        <w:adjustRightInd w:val="0"/>
        <w:snapToGrid w:val="0"/>
        <w:spacing w:line="560" w:lineRule="exact"/>
        <w:ind w:firstLineChars="200" w:firstLine="640"/>
        <w:rPr>
          <w:rFonts w:eastAsia="仿宋_GB2312"/>
          <w:sz w:val="32"/>
          <w:szCs w:val="32"/>
        </w:rPr>
      </w:pPr>
    </w:p>
    <w:p w14:paraId="70A8598A" w14:textId="77777777" w:rsidR="009F2FEC" w:rsidRDefault="009F2FEC">
      <w:pPr>
        <w:adjustRightInd w:val="0"/>
        <w:snapToGrid w:val="0"/>
        <w:spacing w:line="560" w:lineRule="exact"/>
        <w:ind w:firstLineChars="200" w:firstLine="640"/>
        <w:rPr>
          <w:rFonts w:eastAsia="仿宋_GB2312"/>
          <w:sz w:val="32"/>
          <w:szCs w:val="32"/>
        </w:rPr>
      </w:pPr>
    </w:p>
    <w:p w14:paraId="058003F0" w14:textId="77777777" w:rsidR="009F2FEC" w:rsidRDefault="009F2FEC">
      <w:pPr>
        <w:adjustRightInd w:val="0"/>
        <w:snapToGrid w:val="0"/>
        <w:spacing w:line="560" w:lineRule="exact"/>
        <w:ind w:firstLineChars="200" w:firstLine="640"/>
        <w:rPr>
          <w:rFonts w:eastAsia="仿宋_GB2312"/>
          <w:sz w:val="32"/>
          <w:szCs w:val="32"/>
        </w:rPr>
      </w:pPr>
    </w:p>
    <w:p w14:paraId="1B23CAF5" w14:textId="77777777" w:rsidR="009F2FEC" w:rsidRDefault="009F2FEC">
      <w:pPr>
        <w:adjustRightInd w:val="0"/>
        <w:snapToGrid w:val="0"/>
        <w:spacing w:line="560" w:lineRule="exact"/>
        <w:ind w:firstLineChars="200" w:firstLine="640"/>
        <w:rPr>
          <w:rFonts w:eastAsia="仿宋_GB2312"/>
          <w:sz w:val="32"/>
          <w:szCs w:val="32"/>
        </w:rPr>
      </w:pPr>
    </w:p>
    <w:p w14:paraId="472DD865" w14:textId="77777777" w:rsidR="009F2FEC" w:rsidRDefault="009F2FEC">
      <w:pPr>
        <w:adjustRightInd w:val="0"/>
        <w:snapToGrid w:val="0"/>
        <w:spacing w:line="560" w:lineRule="exact"/>
        <w:ind w:firstLineChars="200" w:firstLine="640"/>
        <w:rPr>
          <w:rFonts w:eastAsia="仿宋_GB2312"/>
          <w:sz w:val="32"/>
          <w:szCs w:val="32"/>
        </w:rPr>
      </w:pPr>
    </w:p>
    <w:p w14:paraId="44D367CB" w14:textId="77777777" w:rsidR="009F2FEC" w:rsidRDefault="009F2FEC">
      <w:pPr>
        <w:adjustRightInd w:val="0"/>
        <w:snapToGrid w:val="0"/>
        <w:spacing w:line="560" w:lineRule="exact"/>
        <w:ind w:firstLineChars="200" w:firstLine="640"/>
        <w:rPr>
          <w:rFonts w:eastAsia="仿宋_GB2312"/>
          <w:sz w:val="32"/>
          <w:szCs w:val="32"/>
        </w:rPr>
      </w:pPr>
    </w:p>
    <w:p w14:paraId="7D41AD0F" w14:textId="77777777" w:rsidR="009F2FEC" w:rsidRDefault="009F2FEC">
      <w:pPr>
        <w:adjustRightInd w:val="0"/>
        <w:snapToGrid w:val="0"/>
        <w:spacing w:line="560" w:lineRule="exact"/>
        <w:ind w:firstLineChars="200" w:firstLine="640"/>
        <w:rPr>
          <w:rFonts w:eastAsia="仿宋_GB2312"/>
          <w:sz w:val="32"/>
          <w:szCs w:val="32"/>
        </w:rPr>
      </w:pPr>
    </w:p>
    <w:p w14:paraId="5B99223E" w14:textId="77777777" w:rsidR="009F2FEC" w:rsidRDefault="009F2FEC">
      <w:pPr>
        <w:adjustRightInd w:val="0"/>
        <w:snapToGrid w:val="0"/>
        <w:spacing w:line="560" w:lineRule="exact"/>
        <w:ind w:firstLineChars="200" w:firstLine="640"/>
        <w:rPr>
          <w:rFonts w:eastAsia="仿宋_GB2312"/>
          <w:sz w:val="32"/>
          <w:szCs w:val="32"/>
        </w:rPr>
      </w:pPr>
    </w:p>
    <w:p w14:paraId="1CC37FDD" w14:textId="77777777" w:rsidR="009F2FEC" w:rsidRDefault="009F2FEC">
      <w:pPr>
        <w:adjustRightInd w:val="0"/>
        <w:snapToGrid w:val="0"/>
        <w:spacing w:line="560" w:lineRule="exact"/>
        <w:ind w:firstLineChars="200" w:firstLine="640"/>
        <w:rPr>
          <w:rFonts w:eastAsia="仿宋_GB2312"/>
          <w:sz w:val="32"/>
          <w:szCs w:val="32"/>
        </w:rPr>
      </w:pPr>
    </w:p>
    <w:p w14:paraId="130D04E0" w14:textId="77777777" w:rsidR="009F2FEC" w:rsidRDefault="009F2FEC">
      <w:pPr>
        <w:adjustRightInd w:val="0"/>
        <w:snapToGrid w:val="0"/>
        <w:spacing w:line="560" w:lineRule="exact"/>
        <w:ind w:firstLineChars="200" w:firstLine="640"/>
        <w:rPr>
          <w:rFonts w:eastAsia="仿宋_GB2312"/>
          <w:sz w:val="32"/>
          <w:szCs w:val="32"/>
        </w:rPr>
      </w:pPr>
    </w:p>
    <w:p w14:paraId="7580B2B4" w14:textId="77777777" w:rsidR="009F2FEC" w:rsidRDefault="009F2FEC">
      <w:pPr>
        <w:adjustRightInd w:val="0"/>
        <w:snapToGrid w:val="0"/>
        <w:spacing w:line="560" w:lineRule="exact"/>
        <w:ind w:firstLineChars="200" w:firstLine="640"/>
        <w:rPr>
          <w:rFonts w:eastAsia="仿宋_GB2312"/>
          <w:sz w:val="32"/>
          <w:szCs w:val="32"/>
        </w:rPr>
      </w:pPr>
    </w:p>
    <w:p w14:paraId="65549F78" w14:textId="77777777" w:rsidR="009F2FEC" w:rsidRDefault="009F2FEC">
      <w:pPr>
        <w:adjustRightInd w:val="0"/>
        <w:snapToGrid w:val="0"/>
        <w:spacing w:line="560" w:lineRule="exact"/>
        <w:ind w:firstLineChars="200" w:firstLine="640"/>
        <w:rPr>
          <w:rFonts w:eastAsia="仿宋_GB2312"/>
          <w:sz w:val="32"/>
          <w:szCs w:val="32"/>
        </w:rPr>
      </w:pPr>
    </w:p>
    <w:p w14:paraId="7A76B700" w14:textId="77777777" w:rsidR="009F2FEC" w:rsidRDefault="009F2FEC">
      <w:pPr>
        <w:adjustRightInd w:val="0"/>
        <w:snapToGrid w:val="0"/>
        <w:spacing w:line="560" w:lineRule="exact"/>
        <w:ind w:firstLineChars="200" w:firstLine="640"/>
        <w:rPr>
          <w:rFonts w:eastAsia="仿宋_GB2312"/>
          <w:sz w:val="32"/>
          <w:szCs w:val="32"/>
        </w:rPr>
      </w:pPr>
    </w:p>
    <w:p w14:paraId="7AB7803C" w14:textId="77777777" w:rsidR="009F2FEC" w:rsidRPr="003C08B1" w:rsidRDefault="005E3B10">
      <w:pPr>
        <w:adjustRightInd w:val="0"/>
        <w:snapToGrid w:val="0"/>
        <w:spacing w:line="560" w:lineRule="exact"/>
        <w:ind w:firstLineChars="200" w:firstLine="640"/>
        <w:rPr>
          <w:rFonts w:ascii="黑体" w:eastAsia="黑体" w:hAnsi="黑体" w:cs="黑体"/>
          <w:bCs/>
          <w:sz w:val="32"/>
          <w:szCs w:val="32"/>
        </w:rPr>
      </w:pPr>
      <w:r w:rsidRPr="003C08B1">
        <w:rPr>
          <w:rFonts w:ascii="黑体" w:eastAsia="黑体" w:hAnsi="黑体" w:cs="黑体" w:hint="eastAsia"/>
          <w:bCs/>
          <w:sz w:val="32"/>
          <w:szCs w:val="32"/>
        </w:rPr>
        <w:lastRenderedPageBreak/>
        <w:t>一、概述</w:t>
      </w:r>
    </w:p>
    <w:p w14:paraId="6CBF7CA6" w14:textId="77777777" w:rsidR="009F2FEC" w:rsidRDefault="005E3B10">
      <w:pPr>
        <w:adjustRightInd w:val="0"/>
        <w:snapToGrid w:val="0"/>
        <w:spacing w:line="560" w:lineRule="exact"/>
        <w:ind w:firstLineChars="200" w:firstLine="640"/>
        <w:rPr>
          <w:rFonts w:eastAsia="仿宋_GB2312"/>
          <w:sz w:val="32"/>
          <w:szCs w:val="32"/>
        </w:rPr>
      </w:pPr>
      <w:r>
        <w:rPr>
          <w:rFonts w:eastAsia="仿宋_GB2312" w:hint="eastAsia"/>
          <w:sz w:val="32"/>
          <w:szCs w:val="32"/>
        </w:rPr>
        <w:t>充分可靠的临床研究数据是评价所申报产品临床安全性、有效性的重要依据。为保证兽用中药临床试验结论的确实可靠，本指导原则旨在通过科学、系统地分辨鸡脾胃虚弱证候特点及其演变规律，对诊断标准、纳入标准和疗效评价进行统一，同时，解决鸡脾胃虚弱证的中兽医诊断条目的权重缺乏等问题，促进其在临床与科研中的应用，为中兽医临床精准辨治鸡脾胃虚弱证，开展有效性评价提供指导。研究者应根据本指导原则要求，结合鸡的地域、日龄和品种等因素的影响，在具体实施过程中，可依照实际情况灵活调整。研究应以安全性和有效性为纲，贯穿整个目标适应症研究的始终，增强临床辨治研究的科学性，可靠性和一致性。</w:t>
      </w:r>
    </w:p>
    <w:p w14:paraId="091DDA14" w14:textId="77777777" w:rsidR="009F2FEC" w:rsidRDefault="005E3B10">
      <w:pPr>
        <w:adjustRightInd w:val="0"/>
        <w:snapToGrid w:val="0"/>
        <w:spacing w:line="560" w:lineRule="exact"/>
        <w:ind w:firstLineChars="200" w:firstLine="640"/>
        <w:rPr>
          <w:rFonts w:eastAsia="仿宋_GB2312"/>
          <w:sz w:val="32"/>
          <w:szCs w:val="32"/>
        </w:rPr>
      </w:pPr>
      <w:r>
        <w:rPr>
          <w:rFonts w:eastAsia="仿宋_GB2312" w:hint="eastAsia"/>
          <w:sz w:val="32"/>
          <w:szCs w:val="32"/>
        </w:rPr>
        <w:t>鸡患脾胃虚弱证，常由于先天发育不足，或饲喂失调、管理不善等，使鸡脾胃受损所致。中兽医学认为胃主受纳，脾主运化。脾胃虚弱后，胃的受纳功能减弱，患鸡表现为食欲不振，采食量下降；脾的运化功能减弱，饲料得不到充分运化，患鸡表现为过料。水湿运化不充分，患鸡表现为腹泻。脾胃为后天之本，脾胃虚弱气血生化无源，患鸡表现为精神不振，眼闭呆立，冠髯色淡苍白，生产性能明显低于同期正常鸡。现代兽医学中有关营养不良症、虫积以及许多消化系统疾病等的病理过程中常可见到脾胃虚弱的证候。临床中可以按此证进行辨证施治。</w:t>
      </w:r>
    </w:p>
    <w:p w14:paraId="5943E8C9" w14:textId="543CDD5D" w:rsidR="009F2FEC" w:rsidRPr="003C08B1" w:rsidRDefault="005E3B10" w:rsidP="003C08B1">
      <w:pPr>
        <w:adjustRightInd w:val="0"/>
        <w:snapToGrid w:val="0"/>
        <w:spacing w:line="560" w:lineRule="exact"/>
        <w:ind w:firstLineChars="200" w:firstLine="640"/>
        <w:rPr>
          <w:rFonts w:ascii="仿宋_GB2312" w:eastAsia="仿宋_GB2312" w:hAnsi="黑体" w:cs="黑体"/>
          <w:bCs/>
          <w:sz w:val="32"/>
          <w:szCs w:val="32"/>
        </w:rPr>
      </w:pPr>
      <w:r w:rsidRPr="003C08B1">
        <w:rPr>
          <w:rFonts w:ascii="黑体" w:eastAsia="黑体" w:hAnsi="黑体" w:cs="黑体" w:hint="eastAsia"/>
          <w:bCs/>
          <w:sz w:val="32"/>
          <w:szCs w:val="32"/>
        </w:rPr>
        <w:t>二、临床研究要点</w:t>
      </w:r>
    </w:p>
    <w:p w14:paraId="1D4657B7" w14:textId="104C8A27" w:rsidR="009F2FEC" w:rsidRDefault="005E3B10">
      <w:pPr>
        <w:adjustRightInd w:val="0"/>
        <w:snapToGrid w:val="0"/>
        <w:spacing w:line="560" w:lineRule="exact"/>
        <w:ind w:firstLineChars="200" w:firstLine="640"/>
        <w:rPr>
          <w:rFonts w:eastAsia="仿宋_GB2312"/>
          <w:sz w:val="28"/>
          <w:szCs w:val="28"/>
        </w:rPr>
      </w:pPr>
      <w:r>
        <w:rPr>
          <w:rFonts w:eastAsia="仿宋_GB2312"/>
          <w:sz w:val="32"/>
          <w:szCs w:val="32"/>
        </w:rPr>
        <w:t>新</w:t>
      </w:r>
      <w:r>
        <w:rPr>
          <w:rFonts w:eastAsia="仿宋_GB2312" w:hint="eastAsia"/>
          <w:sz w:val="32"/>
          <w:szCs w:val="32"/>
        </w:rPr>
        <w:t>兽</w:t>
      </w:r>
      <w:r>
        <w:rPr>
          <w:rFonts w:eastAsia="仿宋_GB2312"/>
          <w:sz w:val="32"/>
          <w:szCs w:val="32"/>
        </w:rPr>
        <w:t>药临床试验的主要目的是通过临床试验探索或确</w:t>
      </w:r>
      <w:r>
        <w:rPr>
          <w:rFonts w:eastAsia="仿宋_GB2312" w:hint="eastAsia"/>
          <w:sz w:val="32"/>
          <w:szCs w:val="32"/>
        </w:rPr>
        <w:lastRenderedPageBreak/>
        <w:t>证</w:t>
      </w:r>
      <w:r>
        <w:rPr>
          <w:rFonts w:eastAsia="仿宋_GB2312"/>
          <w:sz w:val="32"/>
          <w:szCs w:val="32"/>
        </w:rPr>
        <w:t>新</w:t>
      </w:r>
      <w:r>
        <w:rPr>
          <w:rFonts w:eastAsia="仿宋_GB2312" w:hint="eastAsia"/>
          <w:sz w:val="32"/>
          <w:szCs w:val="32"/>
        </w:rPr>
        <w:t>兽</w:t>
      </w:r>
      <w:r>
        <w:rPr>
          <w:rFonts w:eastAsia="仿宋_GB2312"/>
          <w:sz w:val="32"/>
          <w:szCs w:val="32"/>
        </w:rPr>
        <w:t>药对</w:t>
      </w:r>
      <w:r>
        <w:rPr>
          <w:rFonts w:eastAsia="仿宋_GB2312" w:hint="eastAsia"/>
          <w:sz w:val="32"/>
          <w:szCs w:val="32"/>
        </w:rPr>
        <w:t>动物的安全性及</w:t>
      </w:r>
      <w:r>
        <w:rPr>
          <w:rFonts w:eastAsia="仿宋_GB2312"/>
          <w:sz w:val="32"/>
          <w:szCs w:val="32"/>
        </w:rPr>
        <w:t>目标适应症</w:t>
      </w:r>
      <w:r>
        <w:rPr>
          <w:rFonts w:eastAsia="仿宋_GB2312" w:hint="eastAsia"/>
          <w:sz w:val="32"/>
          <w:szCs w:val="32"/>
        </w:rPr>
        <w:t>的</w:t>
      </w:r>
      <w:r>
        <w:rPr>
          <w:rFonts w:eastAsia="仿宋_GB2312"/>
          <w:sz w:val="32"/>
          <w:szCs w:val="32"/>
        </w:rPr>
        <w:t>有效性。在开展</w:t>
      </w:r>
      <w:r w:rsidR="00631742" w:rsidRPr="00631742">
        <w:rPr>
          <w:rFonts w:eastAsia="仿宋_GB2312" w:hint="eastAsia"/>
          <w:sz w:val="32"/>
          <w:szCs w:val="32"/>
        </w:rPr>
        <w:t>兽用中药新药</w:t>
      </w:r>
      <w:r>
        <w:rPr>
          <w:rFonts w:eastAsia="仿宋_GB2312"/>
          <w:sz w:val="32"/>
          <w:szCs w:val="32"/>
        </w:rPr>
        <w:t>的临床试验时，应关注药物临床试验的目的与定位、疾病诊断标准、纳入</w:t>
      </w:r>
      <w:r>
        <w:rPr>
          <w:rFonts w:eastAsia="仿宋_GB2312" w:hint="eastAsia"/>
          <w:sz w:val="32"/>
          <w:szCs w:val="32"/>
        </w:rPr>
        <w:t>动物情况</w:t>
      </w:r>
      <w:r>
        <w:rPr>
          <w:rFonts w:eastAsia="仿宋_GB2312"/>
          <w:sz w:val="32"/>
          <w:szCs w:val="32"/>
        </w:rPr>
        <w:t>、试验设计与研究方法、给药方案、疗程及疗效观察时点、疗效观察指标、安全性研究与评价以及统计学要求等问题。</w:t>
      </w:r>
    </w:p>
    <w:p w14:paraId="2E9FC227" w14:textId="77777777" w:rsidR="009F2FEC" w:rsidRDefault="005E3B10" w:rsidP="003C08B1">
      <w:pPr>
        <w:adjustRightInd w:val="0"/>
        <w:snapToGrid w:val="0"/>
        <w:spacing w:line="560" w:lineRule="exact"/>
        <w:ind w:firstLineChars="200" w:firstLine="643"/>
        <w:rPr>
          <w:rFonts w:eastAsia="楷体_GB2312"/>
          <w:b/>
          <w:sz w:val="32"/>
          <w:szCs w:val="32"/>
        </w:rPr>
      </w:pPr>
      <w:bookmarkStart w:id="0" w:name="_Toc30966"/>
      <w:r>
        <w:rPr>
          <w:rFonts w:eastAsia="楷体_GB2312" w:hint="eastAsia"/>
          <w:b/>
          <w:sz w:val="32"/>
          <w:szCs w:val="32"/>
        </w:rPr>
        <w:t>（一）临床试验目的和定位</w:t>
      </w:r>
      <w:bookmarkEnd w:id="0"/>
    </w:p>
    <w:p w14:paraId="41E80E43" w14:textId="0D7103F6" w:rsidR="009F2FEC" w:rsidRDefault="00930310">
      <w:pPr>
        <w:adjustRightInd w:val="0"/>
        <w:snapToGrid w:val="0"/>
        <w:spacing w:line="560" w:lineRule="exact"/>
        <w:ind w:firstLineChars="200" w:firstLine="640"/>
        <w:rPr>
          <w:rFonts w:eastAsia="仿宋_GB2312"/>
          <w:sz w:val="32"/>
          <w:szCs w:val="32"/>
        </w:rPr>
      </w:pPr>
      <w:r w:rsidRPr="00631742">
        <w:rPr>
          <w:rFonts w:eastAsia="仿宋_GB2312" w:hint="eastAsia"/>
          <w:sz w:val="32"/>
          <w:szCs w:val="32"/>
        </w:rPr>
        <w:t>兽用中药新药</w:t>
      </w:r>
      <w:r w:rsidR="005E3B10" w:rsidRPr="00631742">
        <w:rPr>
          <w:rFonts w:eastAsia="仿宋_GB2312"/>
          <w:sz w:val="32"/>
          <w:szCs w:val="32"/>
        </w:rPr>
        <w:t>用于</w:t>
      </w:r>
      <w:r w:rsidR="005E3B10" w:rsidRPr="00631742">
        <w:rPr>
          <w:rFonts w:eastAsia="仿宋_GB2312" w:hint="eastAsia"/>
          <w:sz w:val="32"/>
          <w:szCs w:val="32"/>
        </w:rPr>
        <w:t>治疗鸡脾胃虚弱证的</w:t>
      </w:r>
      <w:r w:rsidR="005E3B10" w:rsidRPr="00631742">
        <w:rPr>
          <w:rFonts w:eastAsia="仿宋_GB2312"/>
          <w:sz w:val="32"/>
          <w:szCs w:val="32"/>
        </w:rPr>
        <w:t>临床试验应是目标明确、设计科学、质量可控和实施规范的一系列研究过程。开展临床试验的首要问题是根据临床</w:t>
      </w:r>
      <w:r w:rsidR="005E3B10" w:rsidRPr="00631742">
        <w:rPr>
          <w:rFonts w:eastAsia="仿宋_GB2312" w:hint="eastAsia"/>
          <w:sz w:val="32"/>
          <w:szCs w:val="32"/>
        </w:rPr>
        <w:t>前</w:t>
      </w:r>
      <w:r w:rsidR="005E3B10" w:rsidRPr="00631742">
        <w:rPr>
          <w:rFonts w:eastAsia="仿宋_GB2312"/>
          <w:sz w:val="32"/>
          <w:szCs w:val="32"/>
        </w:rPr>
        <w:t>研究结果，拟定研究的目的，明确</w:t>
      </w:r>
      <w:r w:rsidRPr="00631742">
        <w:rPr>
          <w:rFonts w:eastAsia="仿宋_GB2312" w:hint="eastAsia"/>
          <w:sz w:val="32"/>
          <w:szCs w:val="32"/>
        </w:rPr>
        <w:t>兽用中药新药的</w:t>
      </w:r>
      <w:r w:rsidR="005E3B10">
        <w:rPr>
          <w:rFonts w:eastAsia="仿宋_GB2312" w:hint="eastAsia"/>
          <w:sz w:val="32"/>
          <w:szCs w:val="32"/>
        </w:rPr>
        <w:t>适应症</w:t>
      </w:r>
      <w:r w:rsidR="005E3B10">
        <w:rPr>
          <w:rFonts w:eastAsia="仿宋_GB2312"/>
          <w:sz w:val="32"/>
          <w:szCs w:val="32"/>
        </w:rPr>
        <w:t>，确定</w:t>
      </w:r>
      <w:r>
        <w:rPr>
          <w:rFonts w:eastAsia="仿宋_GB2312" w:hint="eastAsia"/>
          <w:sz w:val="32"/>
          <w:szCs w:val="32"/>
        </w:rPr>
        <w:t>其</w:t>
      </w:r>
      <w:r w:rsidR="005E3B10">
        <w:rPr>
          <w:rFonts w:eastAsia="仿宋_GB2312" w:hint="eastAsia"/>
          <w:sz w:val="32"/>
          <w:szCs w:val="32"/>
        </w:rPr>
        <w:t>临床应用的功能主治</w:t>
      </w:r>
      <w:r w:rsidR="005E3B10">
        <w:rPr>
          <w:rFonts w:eastAsia="仿宋_GB2312"/>
          <w:sz w:val="32"/>
          <w:szCs w:val="32"/>
        </w:rPr>
        <w:t>定位。</w:t>
      </w:r>
    </w:p>
    <w:p w14:paraId="7E77EDBD" w14:textId="5C78BB19" w:rsidR="009F2FEC" w:rsidRDefault="00930310">
      <w:pPr>
        <w:adjustRightInd w:val="0"/>
        <w:snapToGrid w:val="0"/>
        <w:spacing w:line="560" w:lineRule="exact"/>
        <w:ind w:firstLineChars="200" w:firstLine="640"/>
        <w:rPr>
          <w:rFonts w:eastAsia="仿宋_GB2312"/>
          <w:sz w:val="32"/>
          <w:szCs w:val="32"/>
        </w:rPr>
      </w:pPr>
      <w:r w:rsidRPr="00930310">
        <w:rPr>
          <w:rFonts w:eastAsia="仿宋_GB2312" w:hint="eastAsia"/>
          <w:bCs/>
          <w:sz w:val="32"/>
          <w:szCs w:val="32"/>
        </w:rPr>
        <w:t>兽用中药新药</w:t>
      </w:r>
      <w:r w:rsidR="005E3B10">
        <w:rPr>
          <w:rFonts w:eastAsia="仿宋_GB2312" w:hint="eastAsia"/>
          <w:bCs/>
          <w:sz w:val="32"/>
          <w:szCs w:val="32"/>
        </w:rPr>
        <w:t>用于鸡脾胃虚弱证的临床定位一般可从以下方面考虑：</w:t>
      </w:r>
    </w:p>
    <w:p w14:paraId="59E85DDA" w14:textId="3C4AD0B6" w:rsidR="009F2FEC" w:rsidRDefault="005E3B10">
      <w:pPr>
        <w:tabs>
          <w:tab w:val="left" w:pos="312"/>
        </w:tabs>
        <w:adjustRightInd w:val="0"/>
        <w:snapToGrid w:val="0"/>
        <w:spacing w:line="560" w:lineRule="exact"/>
        <w:ind w:firstLineChars="200" w:firstLine="643"/>
        <w:rPr>
          <w:rFonts w:eastAsia="仿宋_GB2312"/>
          <w:sz w:val="32"/>
          <w:szCs w:val="32"/>
        </w:rPr>
      </w:pPr>
      <w:r>
        <w:rPr>
          <w:rFonts w:eastAsia="仿宋_GB2312" w:hint="eastAsia"/>
          <w:b/>
          <w:bCs/>
          <w:sz w:val="32"/>
          <w:szCs w:val="32"/>
        </w:rPr>
        <w:t>1</w:t>
      </w:r>
      <w:r>
        <w:rPr>
          <w:rFonts w:eastAsia="仿宋_GB2312"/>
          <w:b/>
          <w:bCs/>
          <w:sz w:val="32"/>
          <w:szCs w:val="32"/>
        </w:rPr>
        <w:t>.</w:t>
      </w:r>
      <w:r w:rsidR="00AA1372">
        <w:rPr>
          <w:rFonts w:eastAsia="仿宋_GB2312"/>
          <w:b/>
          <w:bCs/>
          <w:sz w:val="32"/>
          <w:szCs w:val="32"/>
        </w:rPr>
        <w:t xml:space="preserve"> </w:t>
      </w:r>
      <w:r>
        <w:rPr>
          <w:rFonts w:eastAsia="仿宋_GB2312" w:hint="eastAsia"/>
          <w:b/>
          <w:bCs/>
          <w:sz w:val="32"/>
          <w:szCs w:val="32"/>
        </w:rPr>
        <w:t>消除或改善患鸡主要临床症状</w:t>
      </w:r>
      <w:r>
        <w:rPr>
          <w:rFonts w:eastAsia="仿宋_GB2312" w:hint="eastAsia"/>
          <w:b/>
          <w:bCs/>
          <w:sz w:val="32"/>
          <w:szCs w:val="32"/>
        </w:rPr>
        <w:t xml:space="preserve"> </w:t>
      </w:r>
      <w:r>
        <w:rPr>
          <w:rFonts w:eastAsia="仿宋_GB2312" w:hint="eastAsia"/>
          <w:sz w:val="32"/>
          <w:szCs w:val="32"/>
        </w:rPr>
        <w:t>病鸡采食、拉稀、过料的症状得以</w:t>
      </w:r>
      <w:r>
        <w:rPr>
          <w:rFonts w:eastAsia="仿宋_GB2312"/>
          <w:sz w:val="32"/>
          <w:szCs w:val="32"/>
        </w:rPr>
        <w:t>恢复</w:t>
      </w:r>
      <w:r>
        <w:rPr>
          <w:rFonts w:eastAsia="仿宋_GB2312" w:hint="eastAsia"/>
          <w:sz w:val="32"/>
          <w:szCs w:val="32"/>
        </w:rPr>
        <w:t>。</w:t>
      </w:r>
    </w:p>
    <w:p w14:paraId="42654724" w14:textId="739FE65D" w:rsidR="009F2FEC" w:rsidRDefault="005E3B10">
      <w:pPr>
        <w:adjustRightInd w:val="0"/>
        <w:snapToGrid w:val="0"/>
        <w:spacing w:line="560" w:lineRule="exact"/>
        <w:ind w:firstLineChars="200" w:firstLine="643"/>
        <w:rPr>
          <w:rFonts w:eastAsia="仿宋_GB2312"/>
          <w:sz w:val="32"/>
          <w:szCs w:val="32"/>
        </w:rPr>
      </w:pPr>
      <w:r>
        <w:rPr>
          <w:rFonts w:eastAsia="仿宋_GB2312"/>
          <w:b/>
          <w:bCs/>
          <w:sz w:val="32"/>
          <w:szCs w:val="32"/>
        </w:rPr>
        <w:t>2.</w:t>
      </w:r>
      <w:r w:rsidR="00AA1372">
        <w:rPr>
          <w:rFonts w:eastAsia="仿宋_GB2312"/>
          <w:b/>
          <w:bCs/>
          <w:sz w:val="32"/>
          <w:szCs w:val="32"/>
        </w:rPr>
        <w:t xml:space="preserve"> </w:t>
      </w:r>
      <w:r>
        <w:rPr>
          <w:rFonts w:eastAsia="仿宋_GB2312" w:hint="eastAsia"/>
          <w:b/>
          <w:bCs/>
          <w:sz w:val="32"/>
          <w:szCs w:val="32"/>
        </w:rPr>
        <w:t>改善鸡脾胃虚弱证的整体状况</w:t>
      </w:r>
      <w:r>
        <w:rPr>
          <w:rFonts w:eastAsia="仿宋_GB2312"/>
          <w:sz w:val="32"/>
          <w:szCs w:val="32"/>
        </w:rPr>
        <w:t xml:space="preserve"> </w:t>
      </w:r>
      <w:r>
        <w:rPr>
          <w:rFonts w:eastAsia="仿宋_GB2312"/>
          <w:sz w:val="32"/>
          <w:szCs w:val="32"/>
        </w:rPr>
        <w:t>通过治疗</w:t>
      </w:r>
      <w:r>
        <w:rPr>
          <w:rFonts w:eastAsia="仿宋_GB2312" w:hint="eastAsia"/>
          <w:sz w:val="32"/>
          <w:szCs w:val="32"/>
        </w:rPr>
        <w:t>脾胃功能恢复，水谷精微充足，气血生化有源；病鸡精神不振，眼闭呆立，冠髯色淡苍白的精神状态明显</w:t>
      </w:r>
      <w:r>
        <w:rPr>
          <w:rFonts w:eastAsia="仿宋_GB2312"/>
          <w:sz w:val="32"/>
          <w:szCs w:val="32"/>
        </w:rPr>
        <w:t>改善，使病情得</w:t>
      </w:r>
      <w:r>
        <w:rPr>
          <w:rFonts w:eastAsia="仿宋_GB2312" w:hint="eastAsia"/>
          <w:sz w:val="32"/>
          <w:szCs w:val="32"/>
        </w:rPr>
        <w:t>到</w:t>
      </w:r>
      <w:r>
        <w:rPr>
          <w:rFonts w:eastAsia="仿宋_GB2312"/>
          <w:sz w:val="32"/>
          <w:szCs w:val="32"/>
        </w:rPr>
        <w:t>一定或完全控制</w:t>
      </w:r>
      <w:r>
        <w:rPr>
          <w:rFonts w:eastAsia="仿宋_GB2312" w:hint="eastAsia"/>
          <w:sz w:val="32"/>
          <w:szCs w:val="32"/>
        </w:rPr>
        <w:t>，生产性能恢复</w:t>
      </w:r>
      <w:r>
        <w:rPr>
          <w:rFonts w:eastAsia="仿宋_GB2312"/>
          <w:sz w:val="32"/>
          <w:szCs w:val="32"/>
        </w:rPr>
        <w:t>。</w:t>
      </w:r>
    </w:p>
    <w:p w14:paraId="42670CD7" w14:textId="4A4FD4B4" w:rsidR="009F2FEC" w:rsidRDefault="005E3B10">
      <w:pPr>
        <w:adjustRightInd w:val="0"/>
        <w:snapToGrid w:val="0"/>
        <w:spacing w:line="560" w:lineRule="exact"/>
        <w:ind w:firstLineChars="200" w:firstLine="643"/>
        <w:rPr>
          <w:rFonts w:eastAsia="仿宋_GB2312"/>
          <w:sz w:val="32"/>
          <w:szCs w:val="32"/>
        </w:rPr>
      </w:pPr>
      <w:r>
        <w:rPr>
          <w:rFonts w:eastAsia="仿宋_GB2312"/>
          <w:b/>
          <w:bCs/>
          <w:sz w:val="32"/>
          <w:szCs w:val="32"/>
        </w:rPr>
        <w:t>3.</w:t>
      </w:r>
      <w:r w:rsidR="00AA1372">
        <w:rPr>
          <w:rFonts w:eastAsia="仿宋_GB2312"/>
          <w:b/>
          <w:bCs/>
          <w:sz w:val="32"/>
          <w:szCs w:val="32"/>
        </w:rPr>
        <w:t xml:space="preserve"> </w:t>
      </w:r>
      <w:r>
        <w:rPr>
          <w:rFonts w:eastAsia="仿宋_GB2312" w:hint="eastAsia"/>
          <w:b/>
          <w:bCs/>
          <w:sz w:val="32"/>
          <w:szCs w:val="32"/>
        </w:rPr>
        <w:t>控制疾病的进一步发展</w:t>
      </w:r>
      <w:r>
        <w:rPr>
          <w:rFonts w:eastAsia="仿宋_GB2312"/>
          <w:sz w:val="32"/>
          <w:szCs w:val="32"/>
        </w:rPr>
        <w:t xml:space="preserve"> </w:t>
      </w:r>
      <w:r>
        <w:rPr>
          <w:rFonts w:eastAsia="仿宋_GB2312" w:hint="eastAsia"/>
          <w:sz w:val="32"/>
          <w:szCs w:val="32"/>
        </w:rPr>
        <w:t>鸡脾胃虚弱证</w:t>
      </w:r>
      <w:r>
        <w:rPr>
          <w:rFonts w:eastAsia="仿宋_GB2312"/>
          <w:sz w:val="32"/>
          <w:szCs w:val="32"/>
        </w:rPr>
        <w:t>长期、反复发作，</w:t>
      </w:r>
      <w:r>
        <w:rPr>
          <w:rFonts w:eastAsia="仿宋_GB2312" w:hint="eastAsia"/>
          <w:sz w:val="32"/>
          <w:szCs w:val="32"/>
        </w:rPr>
        <w:t>病鸡</w:t>
      </w:r>
      <w:r>
        <w:rPr>
          <w:rFonts w:eastAsia="仿宋_GB2312"/>
          <w:sz w:val="32"/>
          <w:szCs w:val="32"/>
        </w:rPr>
        <w:t>可能</w:t>
      </w:r>
      <w:r>
        <w:rPr>
          <w:rFonts w:eastAsia="仿宋_GB2312" w:hint="eastAsia"/>
          <w:sz w:val="32"/>
          <w:szCs w:val="32"/>
        </w:rPr>
        <w:t>会进一步恶化，出现脱肛等脾气下陷，甚至皮下出血等脾不统血证候，用药以后可以明显控制鸡脾胃虚弱证的恶化</w:t>
      </w:r>
      <w:r>
        <w:rPr>
          <w:rFonts w:eastAsia="仿宋_GB2312"/>
          <w:sz w:val="32"/>
          <w:szCs w:val="32"/>
        </w:rPr>
        <w:t>。</w:t>
      </w:r>
    </w:p>
    <w:p w14:paraId="06646901" w14:textId="77777777" w:rsidR="009F2FEC" w:rsidRDefault="005E3B10" w:rsidP="003C08B1">
      <w:pPr>
        <w:adjustRightInd w:val="0"/>
        <w:snapToGrid w:val="0"/>
        <w:spacing w:line="560" w:lineRule="exact"/>
        <w:ind w:firstLineChars="200" w:firstLine="643"/>
        <w:rPr>
          <w:rFonts w:eastAsia="楷体_GB2312"/>
          <w:b/>
          <w:sz w:val="32"/>
          <w:szCs w:val="32"/>
        </w:rPr>
      </w:pPr>
      <w:r>
        <w:rPr>
          <w:rFonts w:eastAsia="楷体_GB2312" w:hint="eastAsia"/>
          <w:b/>
          <w:sz w:val="32"/>
          <w:szCs w:val="32"/>
        </w:rPr>
        <w:t>（二）临床证候诊断</w:t>
      </w:r>
    </w:p>
    <w:p w14:paraId="551CF71F" w14:textId="77777777" w:rsidR="009F2FEC" w:rsidRDefault="005E3B10">
      <w:pPr>
        <w:adjustRightInd w:val="0"/>
        <w:snapToGrid w:val="0"/>
        <w:spacing w:line="560" w:lineRule="exact"/>
        <w:ind w:firstLineChars="200" w:firstLine="640"/>
        <w:rPr>
          <w:rFonts w:eastAsia="仿宋_GB2312"/>
          <w:sz w:val="32"/>
          <w:szCs w:val="32"/>
        </w:rPr>
      </w:pPr>
      <w:r>
        <w:rPr>
          <w:rFonts w:eastAsia="仿宋_GB2312" w:hint="eastAsia"/>
          <w:sz w:val="32"/>
          <w:szCs w:val="32"/>
        </w:rPr>
        <w:lastRenderedPageBreak/>
        <w:t>中兽医临床证候诊断标准可以参照有关国家标准、行业标准或团体标准等进行制定，如无适用的诊断标准，可自行制定并经专家论证达成共识。证候诊断构成要素可采用定性或半定量方式，或主次症的方法，可制定具有中兽医特色的证候诊断量表，满足科学性、合理性，并具有临床实际可操作性。鸡脾胃虚弱证中兽医证候诊断标准如下：</w:t>
      </w:r>
    </w:p>
    <w:p w14:paraId="53413D19" w14:textId="77777777" w:rsidR="009F2FEC" w:rsidRDefault="005E3B10">
      <w:pPr>
        <w:ind w:firstLineChars="200" w:firstLine="640"/>
        <w:rPr>
          <w:rFonts w:eastAsia="仿宋_GB2312"/>
          <w:bCs/>
          <w:sz w:val="32"/>
          <w:szCs w:val="32"/>
        </w:rPr>
      </w:pPr>
      <w:r>
        <w:rPr>
          <w:rFonts w:eastAsia="仿宋_GB2312"/>
          <w:bCs/>
          <w:sz w:val="32"/>
          <w:szCs w:val="32"/>
        </w:rPr>
        <w:t>主症：</w:t>
      </w:r>
      <w:r>
        <w:rPr>
          <w:rFonts w:eastAsia="仿宋_GB2312" w:hint="eastAsia"/>
          <w:bCs/>
          <w:sz w:val="32"/>
          <w:szCs w:val="32"/>
        </w:rPr>
        <w:t>采食明显下降、粪便</w:t>
      </w:r>
      <w:r>
        <w:rPr>
          <w:rFonts w:eastAsia="仿宋_GB2312"/>
          <w:bCs/>
          <w:sz w:val="32"/>
          <w:szCs w:val="32"/>
        </w:rPr>
        <w:t>稀</w:t>
      </w:r>
      <w:r>
        <w:rPr>
          <w:rFonts w:eastAsia="仿宋_GB2312" w:hint="eastAsia"/>
          <w:bCs/>
          <w:sz w:val="32"/>
          <w:szCs w:val="32"/>
        </w:rPr>
        <w:t>软呈水样或糊状、过料、无腥臭，无色泽变化</w:t>
      </w:r>
      <w:r>
        <w:rPr>
          <w:rFonts w:eastAsia="仿宋_GB2312" w:hint="eastAsia"/>
          <w:sz w:val="32"/>
          <w:szCs w:val="32"/>
        </w:rPr>
        <w:t>，生产性能（体重或产蛋）明显低于同期正常鸡群。</w:t>
      </w:r>
    </w:p>
    <w:p w14:paraId="08D1C3F3" w14:textId="77777777" w:rsidR="009F2FEC" w:rsidRDefault="005E3B10">
      <w:pPr>
        <w:adjustRightInd w:val="0"/>
        <w:snapToGrid w:val="0"/>
        <w:spacing w:line="560" w:lineRule="exact"/>
        <w:ind w:firstLineChars="200" w:firstLine="640"/>
        <w:rPr>
          <w:rFonts w:eastAsia="仿宋_GB2312"/>
          <w:bCs/>
          <w:sz w:val="32"/>
          <w:szCs w:val="32"/>
        </w:rPr>
      </w:pPr>
      <w:r>
        <w:rPr>
          <w:rFonts w:eastAsia="仿宋_GB2312"/>
          <w:bCs/>
          <w:sz w:val="32"/>
          <w:szCs w:val="32"/>
        </w:rPr>
        <w:t>次症：</w:t>
      </w:r>
      <w:r>
        <w:rPr>
          <w:rFonts w:eastAsia="仿宋_GB2312" w:hint="eastAsia"/>
          <w:sz w:val="32"/>
          <w:szCs w:val="32"/>
        </w:rPr>
        <w:t>精神不振，眼闭呆立，冠髯色淡苍白</w:t>
      </w:r>
      <w:r>
        <w:rPr>
          <w:rFonts w:eastAsia="仿宋_GB2312" w:hint="eastAsia"/>
          <w:bCs/>
          <w:sz w:val="32"/>
          <w:szCs w:val="32"/>
        </w:rPr>
        <w:t>。</w:t>
      </w:r>
    </w:p>
    <w:p w14:paraId="7256E8E9" w14:textId="77777777" w:rsidR="009F2FEC" w:rsidRDefault="005E3B10">
      <w:pPr>
        <w:ind w:firstLineChars="200" w:firstLine="640"/>
        <w:rPr>
          <w:rFonts w:eastAsia="仿宋_GB2312"/>
          <w:bCs/>
          <w:sz w:val="32"/>
          <w:szCs w:val="32"/>
        </w:rPr>
      </w:pPr>
      <w:r>
        <w:rPr>
          <w:rFonts w:eastAsia="仿宋_GB2312" w:hint="eastAsia"/>
          <w:bCs/>
          <w:sz w:val="32"/>
          <w:szCs w:val="32"/>
        </w:rPr>
        <w:t>诊断标准：具备全部主症</w:t>
      </w:r>
      <w:r>
        <w:rPr>
          <w:rFonts w:eastAsia="仿宋_GB2312" w:hint="eastAsia"/>
          <w:sz w:val="32"/>
          <w:szCs w:val="32"/>
        </w:rPr>
        <w:t>和至少</w:t>
      </w:r>
      <w:r>
        <w:rPr>
          <w:rFonts w:eastAsia="仿宋_GB2312" w:hint="eastAsia"/>
          <w:sz w:val="32"/>
          <w:szCs w:val="32"/>
        </w:rPr>
        <w:t>1</w:t>
      </w:r>
      <w:r>
        <w:rPr>
          <w:rFonts w:eastAsia="仿宋_GB2312" w:hint="eastAsia"/>
          <w:sz w:val="32"/>
          <w:szCs w:val="32"/>
        </w:rPr>
        <w:t>项次症者</w:t>
      </w:r>
      <w:r>
        <w:rPr>
          <w:rFonts w:eastAsia="仿宋_GB2312" w:hint="eastAsia"/>
          <w:bCs/>
          <w:sz w:val="32"/>
          <w:szCs w:val="32"/>
        </w:rPr>
        <w:t>，即可判为鸡的脾胃虚弱证。</w:t>
      </w:r>
    </w:p>
    <w:p w14:paraId="0B323639" w14:textId="77777777" w:rsidR="009F2FEC" w:rsidRDefault="005E3B10" w:rsidP="003C08B1">
      <w:pPr>
        <w:adjustRightInd w:val="0"/>
        <w:snapToGrid w:val="0"/>
        <w:spacing w:line="560" w:lineRule="exact"/>
        <w:ind w:firstLineChars="200" w:firstLine="643"/>
        <w:rPr>
          <w:rFonts w:eastAsia="楷体_GB2312"/>
          <w:b/>
          <w:sz w:val="32"/>
          <w:szCs w:val="32"/>
        </w:rPr>
      </w:pPr>
      <w:r>
        <w:rPr>
          <w:rFonts w:eastAsia="楷体_GB2312" w:hint="eastAsia"/>
          <w:b/>
          <w:sz w:val="32"/>
          <w:szCs w:val="32"/>
        </w:rPr>
        <w:t>（三）不同</w:t>
      </w:r>
      <w:bookmarkStart w:id="1" w:name="_Hlk140918227"/>
      <w:r>
        <w:rPr>
          <w:rFonts w:eastAsia="楷体_GB2312" w:hint="eastAsia"/>
          <w:b/>
          <w:sz w:val="32"/>
          <w:szCs w:val="32"/>
        </w:rPr>
        <w:t>症状评分</w:t>
      </w:r>
      <w:bookmarkEnd w:id="1"/>
      <w:r>
        <w:rPr>
          <w:rFonts w:eastAsia="楷体_GB2312" w:hint="eastAsia"/>
          <w:b/>
          <w:sz w:val="32"/>
          <w:szCs w:val="32"/>
        </w:rPr>
        <w:t>赋值</w:t>
      </w:r>
    </w:p>
    <w:p w14:paraId="2056DAB0" w14:textId="77777777" w:rsidR="009F2FEC" w:rsidRDefault="005E3B10">
      <w:pPr>
        <w:adjustRightInd w:val="0"/>
        <w:snapToGrid w:val="0"/>
        <w:spacing w:line="560" w:lineRule="exact"/>
        <w:ind w:firstLineChars="200" w:firstLine="640"/>
        <w:rPr>
          <w:rFonts w:eastAsia="仿宋_GB2312"/>
          <w:bCs/>
          <w:sz w:val="32"/>
          <w:szCs w:val="32"/>
        </w:rPr>
      </w:pPr>
      <w:r>
        <w:rPr>
          <w:rFonts w:eastAsia="仿宋_GB2312" w:hint="eastAsia"/>
          <w:bCs/>
          <w:sz w:val="32"/>
          <w:szCs w:val="32"/>
        </w:rPr>
        <w:t>根据鸡脾胃虚弱证的症状的严重程度制定症状评分如下，见表</w:t>
      </w:r>
      <w:r>
        <w:rPr>
          <w:rFonts w:eastAsia="仿宋_GB2312" w:hint="eastAsia"/>
          <w:bCs/>
          <w:sz w:val="32"/>
          <w:szCs w:val="32"/>
        </w:rPr>
        <w:t>1</w:t>
      </w:r>
      <w:r>
        <w:rPr>
          <w:rFonts w:eastAsia="仿宋_GB2312" w:hint="eastAsia"/>
          <w:bCs/>
          <w:sz w:val="32"/>
          <w:szCs w:val="32"/>
        </w:rPr>
        <w:t>、表</w:t>
      </w:r>
      <w:r>
        <w:rPr>
          <w:rFonts w:eastAsia="仿宋_GB2312" w:hint="eastAsia"/>
          <w:bCs/>
          <w:sz w:val="32"/>
          <w:szCs w:val="32"/>
        </w:rPr>
        <w:t>2</w:t>
      </w:r>
      <w:r>
        <w:rPr>
          <w:rFonts w:eastAsia="仿宋_GB2312" w:hint="eastAsia"/>
          <w:bCs/>
          <w:sz w:val="32"/>
          <w:szCs w:val="32"/>
        </w:rPr>
        <w:t>。</w:t>
      </w:r>
    </w:p>
    <w:p w14:paraId="3F104B55" w14:textId="7E5EC97A" w:rsidR="009F2FEC" w:rsidRDefault="005E3B10" w:rsidP="003C08B1">
      <w:pPr>
        <w:adjustRightInd w:val="0"/>
        <w:snapToGrid w:val="0"/>
        <w:spacing w:line="560" w:lineRule="exact"/>
        <w:jc w:val="center"/>
        <w:rPr>
          <w:rFonts w:eastAsia="仿宋_GB2312"/>
          <w:b/>
          <w:bCs/>
          <w:szCs w:val="32"/>
        </w:rPr>
      </w:pPr>
      <w:r>
        <w:rPr>
          <w:rFonts w:eastAsia="仿宋_GB2312" w:hint="eastAsia"/>
          <w:bCs/>
          <w:sz w:val="32"/>
          <w:szCs w:val="32"/>
        </w:rPr>
        <w:t>表</w:t>
      </w:r>
      <w:r>
        <w:rPr>
          <w:rFonts w:eastAsia="仿宋_GB2312" w:hint="eastAsia"/>
          <w:bCs/>
          <w:sz w:val="32"/>
          <w:szCs w:val="32"/>
        </w:rPr>
        <w:t>1</w:t>
      </w:r>
      <w:r>
        <w:rPr>
          <w:rFonts w:eastAsia="仿宋_GB2312"/>
          <w:bCs/>
          <w:sz w:val="32"/>
          <w:szCs w:val="32"/>
        </w:rPr>
        <w:t xml:space="preserve"> </w:t>
      </w:r>
      <w:r>
        <w:rPr>
          <w:rFonts w:eastAsia="仿宋_GB2312" w:hint="eastAsia"/>
          <w:bCs/>
          <w:sz w:val="32"/>
          <w:szCs w:val="32"/>
        </w:rPr>
        <w:t>鸡脾胃虚弱证主症评分标准</w:t>
      </w:r>
    </w:p>
    <w:tbl>
      <w:tblPr>
        <w:tblW w:w="9916" w:type="dxa"/>
        <w:jc w:val="center"/>
        <w:tblBorders>
          <w:top w:val="single" w:sz="4" w:space="0" w:color="auto"/>
          <w:bottom w:val="single" w:sz="4" w:space="0" w:color="auto"/>
        </w:tblBorders>
        <w:tblLook w:val="04A0" w:firstRow="1" w:lastRow="0" w:firstColumn="1" w:lastColumn="0" w:noHBand="0" w:noVBand="1"/>
      </w:tblPr>
      <w:tblGrid>
        <w:gridCol w:w="1178"/>
        <w:gridCol w:w="1650"/>
        <w:gridCol w:w="1620"/>
        <w:gridCol w:w="2420"/>
        <w:gridCol w:w="3048"/>
      </w:tblGrid>
      <w:tr w:rsidR="009F2FEC" w:rsidRPr="002E04C2" w14:paraId="104EFB8B" w14:textId="77777777" w:rsidTr="003C08B1">
        <w:trPr>
          <w:trHeight w:val="390"/>
          <w:jc w:val="center"/>
        </w:trPr>
        <w:tc>
          <w:tcPr>
            <w:tcW w:w="1178" w:type="dxa"/>
            <w:tcBorders>
              <w:top w:val="single" w:sz="8" w:space="0" w:color="auto"/>
              <w:bottom w:val="single" w:sz="4" w:space="0" w:color="auto"/>
            </w:tcBorders>
            <w:vAlign w:val="center"/>
          </w:tcPr>
          <w:p w14:paraId="6F26DAF6" w14:textId="77777777" w:rsidR="009F2FEC" w:rsidRPr="000F1BA0" w:rsidRDefault="005E3B10" w:rsidP="003C08B1">
            <w:pPr>
              <w:adjustRightInd w:val="0"/>
              <w:snapToGrid w:val="0"/>
              <w:jc w:val="center"/>
              <w:rPr>
                <w:rFonts w:ascii="仿宋_GB2312" w:eastAsia="仿宋_GB2312"/>
                <w:b/>
                <w:szCs w:val="32"/>
              </w:rPr>
            </w:pPr>
            <w:r w:rsidRPr="000F1BA0">
              <w:rPr>
                <w:rFonts w:ascii="仿宋_GB2312" w:eastAsia="仿宋_GB2312" w:hint="eastAsia"/>
                <w:b/>
                <w:szCs w:val="32"/>
              </w:rPr>
              <w:t>指标</w:t>
            </w:r>
          </w:p>
        </w:tc>
        <w:tc>
          <w:tcPr>
            <w:tcW w:w="1650" w:type="dxa"/>
            <w:tcBorders>
              <w:top w:val="single" w:sz="8" w:space="0" w:color="auto"/>
              <w:bottom w:val="single" w:sz="4" w:space="0" w:color="auto"/>
            </w:tcBorders>
            <w:vAlign w:val="center"/>
          </w:tcPr>
          <w:p w14:paraId="40AAFC77" w14:textId="77777777" w:rsidR="009F2FEC" w:rsidRPr="000F1BA0" w:rsidRDefault="005E3B10" w:rsidP="003C08B1">
            <w:pPr>
              <w:adjustRightInd w:val="0"/>
              <w:snapToGrid w:val="0"/>
              <w:jc w:val="center"/>
              <w:rPr>
                <w:rFonts w:ascii="仿宋_GB2312" w:eastAsia="仿宋_GB2312"/>
                <w:b/>
                <w:szCs w:val="32"/>
              </w:rPr>
            </w:pPr>
            <w:r w:rsidRPr="000F1BA0">
              <w:rPr>
                <w:rFonts w:ascii="仿宋_GB2312" w:eastAsia="仿宋_GB2312" w:hint="eastAsia"/>
                <w:b/>
                <w:szCs w:val="32"/>
              </w:rPr>
              <w:t>正常（</w:t>
            </w:r>
            <w:r w:rsidRPr="000F1BA0">
              <w:rPr>
                <w:rFonts w:ascii="仿宋_GB2312" w:eastAsia="仿宋_GB2312"/>
                <w:b/>
                <w:szCs w:val="32"/>
              </w:rPr>
              <w:t>0</w:t>
            </w:r>
            <w:r w:rsidRPr="000F1BA0">
              <w:rPr>
                <w:rFonts w:ascii="仿宋_GB2312" w:eastAsia="仿宋_GB2312" w:hint="eastAsia"/>
                <w:b/>
                <w:szCs w:val="32"/>
              </w:rPr>
              <w:t>分）</w:t>
            </w:r>
          </w:p>
        </w:tc>
        <w:tc>
          <w:tcPr>
            <w:tcW w:w="1620" w:type="dxa"/>
            <w:tcBorders>
              <w:top w:val="single" w:sz="8" w:space="0" w:color="auto"/>
              <w:bottom w:val="single" w:sz="4" w:space="0" w:color="auto"/>
            </w:tcBorders>
            <w:vAlign w:val="center"/>
          </w:tcPr>
          <w:p w14:paraId="7AA426B0" w14:textId="77777777" w:rsidR="009F2FEC" w:rsidRPr="000F1BA0" w:rsidRDefault="005E3B10" w:rsidP="003C08B1">
            <w:pPr>
              <w:adjustRightInd w:val="0"/>
              <w:snapToGrid w:val="0"/>
              <w:jc w:val="center"/>
              <w:rPr>
                <w:rFonts w:ascii="仿宋_GB2312" w:eastAsia="仿宋_GB2312"/>
                <w:b/>
                <w:szCs w:val="32"/>
              </w:rPr>
            </w:pPr>
            <w:r w:rsidRPr="000F1BA0">
              <w:rPr>
                <w:rFonts w:ascii="仿宋_GB2312" w:eastAsia="仿宋_GB2312" w:hint="eastAsia"/>
                <w:b/>
                <w:szCs w:val="32"/>
              </w:rPr>
              <w:t>轻度（</w:t>
            </w:r>
            <w:r w:rsidRPr="000F1BA0">
              <w:rPr>
                <w:rFonts w:ascii="仿宋_GB2312" w:eastAsia="仿宋_GB2312"/>
                <w:b/>
                <w:szCs w:val="32"/>
              </w:rPr>
              <w:t>2</w:t>
            </w:r>
            <w:r w:rsidRPr="000F1BA0">
              <w:rPr>
                <w:rFonts w:ascii="仿宋_GB2312" w:eastAsia="仿宋_GB2312" w:hint="eastAsia"/>
                <w:b/>
                <w:szCs w:val="32"/>
              </w:rPr>
              <w:t>分）</w:t>
            </w:r>
          </w:p>
        </w:tc>
        <w:tc>
          <w:tcPr>
            <w:tcW w:w="2420" w:type="dxa"/>
            <w:tcBorders>
              <w:top w:val="single" w:sz="8" w:space="0" w:color="auto"/>
              <w:bottom w:val="single" w:sz="4" w:space="0" w:color="auto"/>
            </w:tcBorders>
            <w:vAlign w:val="center"/>
          </w:tcPr>
          <w:p w14:paraId="066D1664" w14:textId="77777777" w:rsidR="009F2FEC" w:rsidRPr="000F1BA0" w:rsidRDefault="005E3B10" w:rsidP="003C08B1">
            <w:pPr>
              <w:adjustRightInd w:val="0"/>
              <w:snapToGrid w:val="0"/>
              <w:jc w:val="center"/>
              <w:rPr>
                <w:rFonts w:ascii="仿宋_GB2312" w:eastAsia="仿宋_GB2312"/>
                <w:b/>
                <w:szCs w:val="32"/>
              </w:rPr>
            </w:pPr>
            <w:r w:rsidRPr="000F1BA0">
              <w:rPr>
                <w:rFonts w:ascii="仿宋_GB2312" w:eastAsia="仿宋_GB2312" w:hint="eastAsia"/>
                <w:b/>
                <w:szCs w:val="32"/>
              </w:rPr>
              <w:t>中度（</w:t>
            </w:r>
            <w:r w:rsidRPr="000F1BA0">
              <w:rPr>
                <w:rFonts w:ascii="仿宋_GB2312" w:eastAsia="仿宋_GB2312"/>
                <w:b/>
                <w:szCs w:val="32"/>
              </w:rPr>
              <w:t>4</w:t>
            </w:r>
            <w:r w:rsidRPr="000F1BA0">
              <w:rPr>
                <w:rFonts w:ascii="仿宋_GB2312" w:eastAsia="仿宋_GB2312" w:hint="eastAsia"/>
                <w:b/>
                <w:szCs w:val="32"/>
              </w:rPr>
              <w:t>分）</w:t>
            </w:r>
          </w:p>
        </w:tc>
        <w:tc>
          <w:tcPr>
            <w:tcW w:w="3048" w:type="dxa"/>
            <w:tcBorders>
              <w:top w:val="single" w:sz="8" w:space="0" w:color="auto"/>
              <w:bottom w:val="single" w:sz="4" w:space="0" w:color="auto"/>
            </w:tcBorders>
            <w:vAlign w:val="center"/>
          </w:tcPr>
          <w:p w14:paraId="2200B5E6" w14:textId="77777777" w:rsidR="009F2FEC" w:rsidRPr="000F1BA0" w:rsidRDefault="005E3B10" w:rsidP="003C08B1">
            <w:pPr>
              <w:adjustRightInd w:val="0"/>
              <w:snapToGrid w:val="0"/>
              <w:jc w:val="center"/>
              <w:rPr>
                <w:rFonts w:ascii="仿宋_GB2312" w:eastAsia="仿宋_GB2312"/>
                <w:b/>
                <w:szCs w:val="32"/>
              </w:rPr>
            </w:pPr>
            <w:r w:rsidRPr="000F1BA0">
              <w:rPr>
                <w:rFonts w:ascii="仿宋_GB2312" w:eastAsia="仿宋_GB2312" w:hint="eastAsia"/>
                <w:b/>
                <w:szCs w:val="32"/>
              </w:rPr>
              <w:t>重度（</w:t>
            </w:r>
            <w:r w:rsidRPr="000F1BA0">
              <w:rPr>
                <w:rFonts w:ascii="仿宋_GB2312" w:eastAsia="仿宋_GB2312"/>
                <w:b/>
                <w:szCs w:val="32"/>
              </w:rPr>
              <w:t>6</w:t>
            </w:r>
            <w:r w:rsidRPr="000F1BA0">
              <w:rPr>
                <w:rFonts w:ascii="仿宋_GB2312" w:eastAsia="仿宋_GB2312" w:hint="eastAsia"/>
                <w:b/>
                <w:szCs w:val="32"/>
              </w:rPr>
              <w:t>分）</w:t>
            </w:r>
          </w:p>
        </w:tc>
      </w:tr>
      <w:tr w:rsidR="009F2FEC" w14:paraId="693DF4FF" w14:textId="77777777">
        <w:trPr>
          <w:trHeight w:val="749"/>
          <w:jc w:val="center"/>
        </w:trPr>
        <w:tc>
          <w:tcPr>
            <w:tcW w:w="1178" w:type="dxa"/>
            <w:vAlign w:val="center"/>
          </w:tcPr>
          <w:p w14:paraId="4114C5CF" w14:textId="77777777" w:rsidR="009F2FEC" w:rsidRDefault="005E3B10">
            <w:pPr>
              <w:adjustRightInd w:val="0"/>
              <w:snapToGrid w:val="0"/>
              <w:jc w:val="center"/>
              <w:rPr>
                <w:rFonts w:eastAsia="仿宋_GB2312"/>
                <w:bCs/>
                <w:szCs w:val="32"/>
              </w:rPr>
            </w:pPr>
            <w:bookmarkStart w:id="2" w:name="_Hlk142482917"/>
            <w:r>
              <w:rPr>
                <w:rFonts w:eastAsia="仿宋_GB2312" w:hint="eastAsia"/>
                <w:bCs/>
                <w:szCs w:val="32"/>
              </w:rPr>
              <w:t>粪便</w:t>
            </w:r>
            <w:bookmarkEnd w:id="2"/>
          </w:p>
        </w:tc>
        <w:tc>
          <w:tcPr>
            <w:tcW w:w="1650" w:type="dxa"/>
            <w:vAlign w:val="center"/>
          </w:tcPr>
          <w:p w14:paraId="54F56685" w14:textId="77777777" w:rsidR="009F2FEC" w:rsidRDefault="005E3B10">
            <w:pPr>
              <w:adjustRightInd w:val="0"/>
              <w:snapToGrid w:val="0"/>
              <w:jc w:val="center"/>
              <w:rPr>
                <w:rFonts w:eastAsia="仿宋_GB2312"/>
                <w:bCs/>
                <w:szCs w:val="32"/>
              </w:rPr>
            </w:pPr>
            <w:r>
              <w:rPr>
                <w:rFonts w:eastAsia="仿宋_GB2312" w:hint="eastAsia"/>
                <w:bCs/>
                <w:szCs w:val="32"/>
              </w:rPr>
              <w:t>无异常</w:t>
            </w:r>
          </w:p>
        </w:tc>
        <w:tc>
          <w:tcPr>
            <w:tcW w:w="1620" w:type="dxa"/>
            <w:vAlign w:val="center"/>
          </w:tcPr>
          <w:p w14:paraId="656AF1BA" w14:textId="77777777" w:rsidR="009F2FEC" w:rsidRDefault="005E3B10">
            <w:pPr>
              <w:adjustRightInd w:val="0"/>
              <w:snapToGrid w:val="0"/>
              <w:jc w:val="center"/>
              <w:rPr>
                <w:rFonts w:eastAsia="仿宋_GB2312"/>
                <w:bCs/>
                <w:szCs w:val="32"/>
              </w:rPr>
            </w:pPr>
            <w:r>
              <w:rPr>
                <w:rFonts w:eastAsia="仿宋_GB2312" w:hint="eastAsia"/>
                <w:bCs/>
                <w:szCs w:val="32"/>
              </w:rPr>
              <w:t>粪便略稀薄，无过料。</w:t>
            </w:r>
          </w:p>
        </w:tc>
        <w:tc>
          <w:tcPr>
            <w:tcW w:w="2420" w:type="dxa"/>
            <w:vAlign w:val="center"/>
          </w:tcPr>
          <w:p w14:paraId="52C85E9C" w14:textId="77777777" w:rsidR="009F2FEC" w:rsidRDefault="005E3B10">
            <w:pPr>
              <w:adjustRightInd w:val="0"/>
              <w:snapToGrid w:val="0"/>
              <w:jc w:val="center"/>
              <w:rPr>
                <w:rFonts w:eastAsia="仿宋_GB2312"/>
                <w:bCs/>
                <w:szCs w:val="32"/>
              </w:rPr>
            </w:pPr>
            <w:r>
              <w:rPr>
                <w:rFonts w:eastAsia="仿宋_GB2312" w:hint="eastAsia"/>
                <w:bCs/>
                <w:szCs w:val="32"/>
              </w:rPr>
              <w:t>粪便稀溏，轻微过料。</w:t>
            </w:r>
          </w:p>
        </w:tc>
        <w:tc>
          <w:tcPr>
            <w:tcW w:w="3048" w:type="dxa"/>
            <w:vAlign w:val="center"/>
          </w:tcPr>
          <w:p w14:paraId="6BE2720B" w14:textId="77777777" w:rsidR="009F2FEC" w:rsidRDefault="005E3B10">
            <w:pPr>
              <w:adjustRightInd w:val="0"/>
              <w:snapToGrid w:val="0"/>
              <w:jc w:val="center"/>
              <w:rPr>
                <w:rFonts w:eastAsia="仿宋_GB2312"/>
                <w:bCs/>
                <w:szCs w:val="32"/>
              </w:rPr>
            </w:pPr>
            <w:r>
              <w:rPr>
                <w:rFonts w:eastAsia="仿宋_GB2312" w:hint="eastAsia"/>
                <w:bCs/>
                <w:szCs w:val="32"/>
              </w:rPr>
              <w:t>水粪齐下，明显过料。</w:t>
            </w:r>
          </w:p>
        </w:tc>
      </w:tr>
      <w:tr w:rsidR="009F2FEC" w14:paraId="69D9413D" w14:textId="77777777">
        <w:tblPrEx>
          <w:tblBorders>
            <w:top w:val="none" w:sz="0" w:space="0" w:color="auto"/>
            <w:bottom w:val="none" w:sz="0" w:space="0" w:color="auto"/>
          </w:tblBorders>
        </w:tblPrEx>
        <w:trPr>
          <w:trHeight w:val="561"/>
          <w:jc w:val="center"/>
        </w:trPr>
        <w:tc>
          <w:tcPr>
            <w:tcW w:w="1178" w:type="dxa"/>
            <w:vAlign w:val="center"/>
          </w:tcPr>
          <w:p w14:paraId="08ECD526" w14:textId="77777777" w:rsidR="009F2FEC" w:rsidRDefault="005E3B10">
            <w:pPr>
              <w:adjustRightInd w:val="0"/>
              <w:snapToGrid w:val="0"/>
              <w:jc w:val="center"/>
              <w:rPr>
                <w:rFonts w:eastAsia="仿宋_GB2312"/>
                <w:bCs/>
                <w:szCs w:val="32"/>
              </w:rPr>
            </w:pPr>
            <w:r>
              <w:rPr>
                <w:rFonts w:eastAsia="仿宋_GB2312" w:hint="eastAsia"/>
                <w:bCs/>
                <w:szCs w:val="32"/>
              </w:rPr>
              <w:t>采食量</w:t>
            </w:r>
          </w:p>
        </w:tc>
        <w:tc>
          <w:tcPr>
            <w:tcW w:w="1650" w:type="dxa"/>
            <w:vAlign w:val="center"/>
          </w:tcPr>
          <w:p w14:paraId="00B9C59C" w14:textId="77777777" w:rsidR="009F2FEC" w:rsidRDefault="005E3B10">
            <w:pPr>
              <w:adjustRightInd w:val="0"/>
              <w:snapToGrid w:val="0"/>
              <w:jc w:val="center"/>
              <w:rPr>
                <w:rFonts w:eastAsia="仿宋_GB2312"/>
                <w:bCs/>
                <w:szCs w:val="32"/>
              </w:rPr>
            </w:pPr>
            <w:r>
              <w:rPr>
                <w:rFonts w:eastAsia="仿宋_GB2312" w:hint="eastAsia"/>
                <w:bCs/>
                <w:szCs w:val="32"/>
              </w:rPr>
              <w:t>无异常</w:t>
            </w:r>
          </w:p>
        </w:tc>
        <w:tc>
          <w:tcPr>
            <w:tcW w:w="1620" w:type="dxa"/>
            <w:vAlign w:val="center"/>
          </w:tcPr>
          <w:p w14:paraId="71DEAAFD" w14:textId="77777777" w:rsidR="009F2FEC" w:rsidRDefault="005E3B10">
            <w:pPr>
              <w:adjustRightInd w:val="0"/>
              <w:snapToGrid w:val="0"/>
              <w:jc w:val="center"/>
              <w:rPr>
                <w:rFonts w:eastAsia="仿宋_GB2312"/>
                <w:bCs/>
                <w:szCs w:val="32"/>
              </w:rPr>
            </w:pPr>
            <w:r>
              <w:rPr>
                <w:rFonts w:eastAsia="仿宋_GB2312" w:hint="eastAsia"/>
                <w:szCs w:val="21"/>
              </w:rPr>
              <w:t>采食时间延长，但无剩料</w:t>
            </w:r>
          </w:p>
        </w:tc>
        <w:tc>
          <w:tcPr>
            <w:tcW w:w="2420" w:type="dxa"/>
            <w:vAlign w:val="center"/>
          </w:tcPr>
          <w:p w14:paraId="0652AA65" w14:textId="77777777" w:rsidR="009F2FEC" w:rsidRDefault="005E3B10">
            <w:pPr>
              <w:adjustRightInd w:val="0"/>
              <w:snapToGrid w:val="0"/>
              <w:jc w:val="center"/>
              <w:rPr>
                <w:rFonts w:eastAsia="仿宋_GB2312"/>
                <w:bCs/>
                <w:szCs w:val="32"/>
              </w:rPr>
            </w:pPr>
            <w:r>
              <w:rPr>
                <w:rFonts w:eastAsia="仿宋_GB2312" w:hint="eastAsia"/>
                <w:szCs w:val="21"/>
              </w:rPr>
              <w:t>采食量时间明显延长，且有少量剩料</w:t>
            </w:r>
          </w:p>
        </w:tc>
        <w:tc>
          <w:tcPr>
            <w:tcW w:w="3048" w:type="dxa"/>
            <w:vAlign w:val="center"/>
          </w:tcPr>
          <w:p w14:paraId="2C5F94B9" w14:textId="77777777" w:rsidR="009F2FEC" w:rsidRDefault="005E3B10">
            <w:pPr>
              <w:adjustRightInd w:val="0"/>
              <w:snapToGrid w:val="0"/>
              <w:jc w:val="center"/>
              <w:rPr>
                <w:rFonts w:eastAsia="仿宋_GB2312"/>
                <w:bCs/>
                <w:szCs w:val="32"/>
              </w:rPr>
            </w:pPr>
            <w:r>
              <w:rPr>
                <w:rFonts w:eastAsia="仿宋_GB2312" w:hint="eastAsia"/>
                <w:szCs w:val="21"/>
              </w:rPr>
              <w:t>采食时间明显延长，且有较多剩料</w:t>
            </w:r>
          </w:p>
        </w:tc>
      </w:tr>
      <w:tr w:rsidR="009F2FEC" w14:paraId="796BDB8B" w14:textId="77777777" w:rsidTr="003C08B1">
        <w:tblPrEx>
          <w:tblBorders>
            <w:top w:val="none" w:sz="0" w:space="0" w:color="auto"/>
            <w:bottom w:val="none" w:sz="0" w:space="0" w:color="auto"/>
          </w:tblBorders>
        </w:tblPrEx>
        <w:trPr>
          <w:trHeight w:val="561"/>
          <w:jc w:val="center"/>
        </w:trPr>
        <w:tc>
          <w:tcPr>
            <w:tcW w:w="1178" w:type="dxa"/>
            <w:tcBorders>
              <w:bottom w:val="single" w:sz="8" w:space="0" w:color="auto"/>
            </w:tcBorders>
            <w:vAlign w:val="center"/>
          </w:tcPr>
          <w:p w14:paraId="4EA8BEAA" w14:textId="77777777" w:rsidR="009F2FEC" w:rsidRDefault="005E3B10">
            <w:pPr>
              <w:adjustRightInd w:val="0"/>
              <w:snapToGrid w:val="0"/>
              <w:jc w:val="center"/>
              <w:rPr>
                <w:rFonts w:eastAsia="仿宋_GB2312"/>
                <w:bCs/>
                <w:szCs w:val="32"/>
              </w:rPr>
            </w:pPr>
            <w:r>
              <w:rPr>
                <w:rFonts w:eastAsia="仿宋_GB2312" w:hint="eastAsia"/>
                <w:bCs/>
                <w:szCs w:val="32"/>
              </w:rPr>
              <w:t>生产性能</w:t>
            </w:r>
          </w:p>
        </w:tc>
        <w:tc>
          <w:tcPr>
            <w:tcW w:w="1650" w:type="dxa"/>
            <w:tcBorders>
              <w:bottom w:val="single" w:sz="8" w:space="0" w:color="auto"/>
            </w:tcBorders>
            <w:vAlign w:val="center"/>
          </w:tcPr>
          <w:p w14:paraId="3AA7631D" w14:textId="77777777" w:rsidR="009F2FEC" w:rsidRDefault="005E3B10">
            <w:pPr>
              <w:adjustRightInd w:val="0"/>
              <w:snapToGrid w:val="0"/>
              <w:jc w:val="center"/>
              <w:rPr>
                <w:rFonts w:eastAsia="仿宋_GB2312"/>
                <w:bCs/>
                <w:szCs w:val="32"/>
              </w:rPr>
            </w:pPr>
            <w:r>
              <w:rPr>
                <w:rFonts w:eastAsia="仿宋_GB2312" w:hint="eastAsia"/>
                <w:bCs/>
                <w:szCs w:val="32"/>
              </w:rPr>
              <w:t>无异常</w:t>
            </w:r>
          </w:p>
        </w:tc>
        <w:tc>
          <w:tcPr>
            <w:tcW w:w="1620" w:type="dxa"/>
            <w:tcBorders>
              <w:bottom w:val="single" w:sz="8" w:space="0" w:color="auto"/>
            </w:tcBorders>
            <w:vAlign w:val="center"/>
          </w:tcPr>
          <w:p w14:paraId="429223D4" w14:textId="77777777" w:rsidR="009F2FEC" w:rsidRDefault="005E3B10">
            <w:pPr>
              <w:adjustRightInd w:val="0"/>
              <w:snapToGrid w:val="0"/>
              <w:jc w:val="center"/>
              <w:rPr>
                <w:rFonts w:eastAsia="仿宋_GB2312"/>
                <w:bCs/>
                <w:szCs w:val="32"/>
              </w:rPr>
            </w:pPr>
            <w:r>
              <w:rPr>
                <w:rFonts w:eastAsia="仿宋_GB2312" w:hint="eastAsia"/>
                <w:bCs/>
                <w:szCs w:val="32"/>
              </w:rPr>
              <w:t>增重或产蛋率轻度降低</w:t>
            </w:r>
          </w:p>
        </w:tc>
        <w:tc>
          <w:tcPr>
            <w:tcW w:w="2420" w:type="dxa"/>
            <w:tcBorders>
              <w:bottom w:val="single" w:sz="8" w:space="0" w:color="auto"/>
            </w:tcBorders>
            <w:vAlign w:val="center"/>
          </w:tcPr>
          <w:p w14:paraId="7B75631D" w14:textId="77777777" w:rsidR="009F2FEC" w:rsidRDefault="005E3B10">
            <w:pPr>
              <w:adjustRightInd w:val="0"/>
              <w:snapToGrid w:val="0"/>
              <w:jc w:val="center"/>
              <w:rPr>
                <w:rFonts w:eastAsia="仿宋_GB2312"/>
                <w:bCs/>
                <w:szCs w:val="32"/>
              </w:rPr>
            </w:pPr>
            <w:r>
              <w:rPr>
                <w:rFonts w:eastAsia="仿宋_GB2312" w:hint="eastAsia"/>
                <w:bCs/>
                <w:szCs w:val="32"/>
              </w:rPr>
              <w:t>增重或产蛋率降低幅度在</w:t>
            </w:r>
            <w:r>
              <w:rPr>
                <w:rFonts w:eastAsia="仿宋_GB2312" w:hint="eastAsia"/>
                <w:bCs/>
                <w:szCs w:val="32"/>
              </w:rPr>
              <w:t>20%</w:t>
            </w:r>
            <w:r>
              <w:rPr>
                <w:rFonts w:eastAsia="仿宋_GB2312" w:hint="eastAsia"/>
                <w:bCs/>
                <w:szCs w:val="32"/>
              </w:rPr>
              <w:t>及以上</w:t>
            </w:r>
            <w:r>
              <w:rPr>
                <w:rFonts w:eastAsia="仿宋_GB2312" w:hint="eastAsia"/>
                <w:bCs/>
                <w:szCs w:val="32"/>
              </w:rPr>
              <w:t>50%</w:t>
            </w:r>
            <w:r>
              <w:rPr>
                <w:rFonts w:eastAsia="仿宋_GB2312" w:hint="eastAsia"/>
                <w:bCs/>
                <w:szCs w:val="32"/>
              </w:rPr>
              <w:t>以下。</w:t>
            </w:r>
          </w:p>
        </w:tc>
        <w:tc>
          <w:tcPr>
            <w:tcW w:w="3048" w:type="dxa"/>
            <w:tcBorders>
              <w:bottom w:val="single" w:sz="8" w:space="0" w:color="auto"/>
            </w:tcBorders>
            <w:vAlign w:val="center"/>
          </w:tcPr>
          <w:p w14:paraId="61684D57" w14:textId="77777777" w:rsidR="009F2FEC" w:rsidRDefault="005E3B10">
            <w:pPr>
              <w:adjustRightInd w:val="0"/>
              <w:snapToGrid w:val="0"/>
              <w:jc w:val="center"/>
              <w:rPr>
                <w:rFonts w:eastAsia="仿宋_GB2312"/>
                <w:bCs/>
                <w:szCs w:val="32"/>
              </w:rPr>
            </w:pPr>
            <w:r>
              <w:rPr>
                <w:rFonts w:eastAsia="仿宋_GB2312" w:hint="eastAsia"/>
                <w:bCs/>
                <w:szCs w:val="32"/>
              </w:rPr>
              <w:t>增重或产蛋率降低</w:t>
            </w:r>
            <w:r>
              <w:rPr>
                <w:rFonts w:eastAsia="仿宋_GB2312" w:hint="eastAsia"/>
                <w:bCs/>
                <w:szCs w:val="32"/>
              </w:rPr>
              <w:t>50%</w:t>
            </w:r>
            <w:r>
              <w:rPr>
                <w:rFonts w:eastAsia="仿宋_GB2312" w:hint="eastAsia"/>
                <w:bCs/>
                <w:szCs w:val="32"/>
              </w:rPr>
              <w:t>及以上</w:t>
            </w:r>
          </w:p>
        </w:tc>
      </w:tr>
    </w:tbl>
    <w:p w14:paraId="39D254A3" w14:textId="4E008A82" w:rsidR="009F2FEC" w:rsidRDefault="005E3B10">
      <w:pPr>
        <w:adjustRightInd w:val="0"/>
        <w:snapToGrid w:val="0"/>
        <w:spacing w:line="560" w:lineRule="exact"/>
        <w:jc w:val="center"/>
        <w:rPr>
          <w:rFonts w:eastAsia="仿宋_GB2312"/>
          <w:b/>
          <w:bCs/>
          <w:szCs w:val="32"/>
        </w:rPr>
      </w:pPr>
      <w:r>
        <w:rPr>
          <w:rFonts w:eastAsia="仿宋_GB2312" w:hint="eastAsia"/>
          <w:bCs/>
          <w:sz w:val="32"/>
          <w:szCs w:val="32"/>
        </w:rPr>
        <w:t>表</w:t>
      </w:r>
      <w:r>
        <w:rPr>
          <w:rFonts w:eastAsia="仿宋_GB2312" w:hint="eastAsia"/>
          <w:bCs/>
          <w:sz w:val="32"/>
          <w:szCs w:val="32"/>
        </w:rPr>
        <w:t>2</w:t>
      </w:r>
      <w:r>
        <w:rPr>
          <w:rFonts w:eastAsia="仿宋_GB2312"/>
          <w:bCs/>
          <w:sz w:val="32"/>
          <w:szCs w:val="32"/>
        </w:rPr>
        <w:t xml:space="preserve"> </w:t>
      </w:r>
      <w:r>
        <w:rPr>
          <w:rFonts w:eastAsia="仿宋_GB2312" w:hint="eastAsia"/>
          <w:bCs/>
          <w:sz w:val="32"/>
          <w:szCs w:val="32"/>
        </w:rPr>
        <w:t>鸡脾胃虚弱证次症评分标准</w:t>
      </w:r>
    </w:p>
    <w:tbl>
      <w:tblPr>
        <w:tblW w:w="9248" w:type="dxa"/>
        <w:jc w:val="center"/>
        <w:tblLook w:val="04A0" w:firstRow="1" w:lastRow="0" w:firstColumn="1" w:lastColumn="0" w:noHBand="0" w:noVBand="1"/>
      </w:tblPr>
      <w:tblGrid>
        <w:gridCol w:w="1134"/>
        <w:gridCol w:w="2076"/>
        <w:gridCol w:w="1844"/>
        <w:gridCol w:w="1844"/>
        <w:gridCol w:w="2350"/>
      </w:tblGrid>
      <w:tr w:rsidR="009F2FEC" w:rsidRPr="002E04C2" w14:paraId="1FE0DB7F" w14:textId="77777777" w:rsidTr="003C08B1">
        <w:trPr>
          <w:trHeight w:val="351"/>
          <w:jc w:val="center"/>
        </w:trPr>
        <w:tc>
          <w:tcPr>
            <w:tcW w:w="1126" w:type="dxa"/>
            <w:tcBorders>
              <w:top w:val="single" w:sz="8" w:space="0" w:color="auto"/>
              <w:bottom w:val="single" w:sz="4" w:space="0" w:color="auto"/>
            </w:tcBorders>
            <w:vAlign w:val="center"/>
          </w:tcPr>
          <w:p w14:paraId="5505D5D8" w14:textId="77777777" w:rsidR="009F2FEC" w:rsidRPr="000F1BA0" w:rsidRDefault="005E3B10" w:rsidP="003C08B1">
            <w:pPr>
              <w:adjustRightInd w:val="0"/>
              <w:snapToGrid w:val="0"/>
              <w:jc w:val="center"/>
              <w:rPr>
                <w:rFonts w:ascii="仿宋_GB2312" w:eastAsia="仿宋_GB2312"/>
                <w:b/>
                <w:szCs w:val="32"/>
              </w:rPr>
            </w:pPr>
            <w:r w:rsidRPr="000F1BA0">
              <w:rPr>
                <w:rFonts w:ascii="仿宋_GB2312" w:eastAsia="仿宋_GB2312" w:hint="eastAsia"/>
                <w:b/>
                <w:szCs w:val="32"/>
              </w:rPr>
              <w:t>指标</w:t>
            </w:r>
          </w:p>
        </w:tc>
        <w:tc>
          <w:tcPr>
            <w:tcW w:w="2076" w:type="dxa"/>
            <w:tcBorders>
              <w:top w:val="single" w:sz="8" w:space="0" w:color="auto"/>
              <w:bottom w:val="single" w:sz="4" w:space="0" w:color="auto"/>
            </w:tcBorders>
            <w:vAlign w:val="center"/>
          </w:tcPr>
          <w:p w14:paraId="5BE99722" w14:textId="77777777" w:rsidR="009F2FEC" w:rsidRPr="000F1BA0" w:rsidRDefault="005E3B10" w:rsidP="003C08B1">
            <w:pPr>
              <w:adjustRightInd w:val="0"/>
              <w:snapToGrid w:val="0"/>
              <w:jc w:val="center"/>
              <w:rPr>
                <w:rFonts w:ascii="仿宋_GB2312" w:eastAsia="仿宋_GB2312"/>
                <w:b/>
                <w:szCs w:val="32"/>
              </w:rPr>
            </w:pPr>
            <w:r w:rsidRPr="000F1BA0">
              <w:rPr>
                <w:rFonts w:ascii="仿宋_GB2312" w:eastAsia="仿宋_GB2312" w:hint="eastAsia"/>
                <w:b/>
                <w:szCs w:val="32"/>
              </w:rPr>
              <w:t>正常（</w:t>
            </w:r>
            <w:r w:rsidRPr="000F1BA0">
              <w:rPr>
                <w:rFonts w:ascii="仿宋_GB2312" w:eastAsia="仿宋_GB2312"/>
                <w:b/>
                <w:szCs w:val="32"/>
              </w:rPr>
              <w:t>0</w:t>
            </w:r>
            <w:r w:rsidRPr="000F1BA0">
              <w:rPr>
                <w:rFonts w:ascii="仿宋_GB2312" w:eastAsia="仿宋_GB2312" w:hint="eastAsia"/>
                <w:b/>
                <w:szCs w:val="32"/>
              </w:rPr>
              <w:t>分）</w:t>
            </w:r>
          </w:p>
        </w:tc>
        <w:tc>
          <w:tcPr>
            <w:tcW w:w="1844" w:type="dxa"/>
            <w:tcBorders>
              <w:top w:val="single" w:sz="8" w:space="0" w:color="auto"/>
              <w:bottom w:val="single" w:sz="4" w:space="0" w:color="auto"/>
            </w:tcBorders>
            <w:vAlign w:val="center"/>
          </w:tcPr>
          <w:p w14:paraId="2B57E120" w14:textId="77777777" w:rsidR="009F2FEC" w:rsidRPr="000F1BA0" w:rsidRDefault="005E3B10" w:rsidP="003C08B1">
            <w:pPr>
              <w:adjustRightInd w:val="0"/>
              <w:snapToGrid w:val="0"/>
              <w:jc w:val="center"/>
              <w:rPr>
                <w:rFonts w:ascii="仿宋_GB2312" w:eastAsia="仿宋_GB2312"/>
                <w:b/>
                <w:szCs w:val="32"/>
              </w:rPr>
            </w:pPr>
            <w:r w:rsidRPr="000F1BA0">
              <w:rPr>
                <w:rFonts w:ascii="仿宋_GB2312" w:eastAsia="仿宋_GB2312" w:hint="eastAsia"/>
                <w:b/>
                <w:szCs w:val="32"/>
              </w:rPr>
              <w:t>轻度（</w:t>
            </w:r>
            <w:r w:rsidRPr="000F1BA0">
              <w:rPr>
                <w:rFonts w:ascii="仿宋_GB2312" w:eastAsia="仿宋_GB2312"/>
                <w:b/>
                <w:szCs w:val="32"/>
              </w:rPr>
              <w:t>1</w:t>
            </w:r>
            <w:r w:rsidRPr="000F1BA0">
              <w:rPr>
                <w:rFonts w:ascii="仿宋_GB2312" w:eastAsia="仿宋_GB2312" w:hint="eastAsia"/>
                <w:b/>
                <w:szCs w:val="32"/>
              </w:rPr>
              <w:t>分）</w:t>
            </w:r>
          </w:p>
        </w:tc>
        <w:tc>
          <w:tcPr>
            <w:tcW w:w="1844" w:type="dxa"/>
            <w:tcBorders>
              <w:top w:val="single" w:sz="8" w:space="0" w:color="auto"/>
              <w:bottom w:val="single" w:sz="4" w:space="0" w:color="auto"/>
            </w:tcBorders>
            <w:vAlign w:val="center"/>
          </w:tcPr>
          <w:p w14:paraId="65644012" w14:textId="77777777" w:rsidR="009F2FEC" w:rsidRPr="000F1BA0" w:rsidRDefault="005E3B10" w:rsidP="003C08B1">
            <w:pPr>
              <w:adjustRightInd w:val="0"/>
              <w:snapToGrid w:val="0"/>
              <w:jc w:val="center"/>
              <w:rPr>
                <w:rFonts w:ascii="仿宋_GB2312" w:eastAsia="仿宋_GB2312"/>
                <w:b/>
                <w:szCs w:val="32"/>
              </w:rPr>
            </w:pPr>
            <w:r w:rsidRPr="000F1BA0">
              <w:rPr>
                <w:rFonts w:ascii="仿宋_GB2312" w:eastAsia="仿宋_GB2312" w:hint="eastAsia"/>
                <w:b/>
                <w:szCs w:val="32"/>
              </w:rPr>
              <w:t>轻度（</w:t>
            </w:r>
            <w:r w:rsidRPr="000F1BA0">
              <w:rPr>
                <w:rFonts w:ascii="仿宋_GB2312" w:eastAsia="仿宋_GB2312"/>
                <w:b/>
                <w:szCs w:val="32"/>
              </w:rPr>
              <w:t>2</w:t>
            </w:r>
            <w:r w:rsidRPr="000F1BA0">
              <w:rPr>
                <w:rFonts w:ascii="仿宋_GB2312" w:eastAsia="仿宋_GB2312" w:hint="eastAsia"/>
                <w:b/>
                <w:szCs w:val="32"/>
              </w:rPr>
              <w:t>分）</w:t>
            </w:r>
          </w:p>
        </w:tc>
        <w:tc>
          <w:tcPr>
            <w:tcW w:w="2350" w:type="dxa"/>
            <w:tcBorders>
              <w:top w:val="single" w:sz="8" w:space="0" w:color="auto"/>
              <w:bottom w:val="single" w:sz="4" w:space="0" w:color="auto"/>
            </w:tcBorders>
            <w:vAlign w:val="center"/>
          </w:tcPr>
          <w:p w14:paraId="51FADC43" w14:textId="77777777" w:rsidR="009F2FEC" w:rsidRPr="000F1BA0" w:rsidRDefault="005E3B10" w:rsidP="003C08B1">
            <w:pPr>
              <w:adjustRightInd w:val="0"/>
              <w:snapToGrid w:val="0"/>
              <w:jc w:val="center"/>
              <w:rPr>
                <w:rFonts w:ascii="仿宋_GB2312" w:eastAsia="仿宋_GB2312"/>
                <w:b/>
                <w:szCs w:val="32"/>
              </w:rPr>
            </w:pPr>
            <w:r w:rsidRPr="000F1BA0">
              <w:rPr>
                <w:rFonts w:ascii="仿宋_GB2312" w:eastAsia="仿宋_GB2312" w:hint="eastAsia"/>
                <w:b/>
                <w:szCs w:val="32"/>
              </w:rPr>
              <w:t>重度（</w:t>
            </w:r>
            <w:r w:rsidRPr="000F1BA0">
              <w:rPr>
                <w:rFonts w:ascii="仿宋_GB2312" w:eastAsia="仿宋_GB2312"/>
                <w:b/>
                <w:szCs w:val="32"/>
              </w:rPr>
              <w:t>3</w:t>
            </w:r>
            <w:r w:rsidRPr="000F1BA0">
              <w:rPr>
                <w:rFonts w:ascii="仿宋_GB2312" w:eastAsia="仿宋_GB2312" w:hint="eastAsia"/>
                <w:b/>
                <w:szCs w:val="32"/>
              </w:rPr>
              <w:t>分）</w:t>
            </w:r>
          </w:p>
        </w:tc>
      </w:tr>
      <w:tr w:rsidR="009F2FEC" w14:paraId="5B101422" w14:textId="77777777">
        <w:trPr>
          <w:trHeight w:val="559"/>
          <w:jc w:val="center"/>
        </w:trPr>
        <w:tc>
          <w:tcPr>
            <w:tcW w:w="1134" w:type="dxa"/>
            <w:vAlign w:val="center"/>
          </w:tcPr>
          <w:p w14:paraId="105152DC" w14:textId="77777777" w:rsidR="009F2FEC" w:rsidRDefault="005E3B10">
            <w:pPr>
              <w:adjustRightInd w:val="0"/>
              <w:snapToGrid w:val="0"/>
              <w:spacing w:line="560" w:lineRule="exact"/>
              <w:jc w:val="center"/>
              <w:rPr>
                <w:rFonts w:eastAsia="仿宋_GB2312"/>
                <w:bCs/>
                <w:szCs w:val="32"/>
              </w:rPr>
            </w:pPr>
            <w:r>
              <w:rPr>
                <w:rFonts w:eastAsia="仿宋_GB2312" w:hint="eastAsia"/>
                <w:bCs/>
                <w:szCs w:val="32"/>
              </w:rPr>
              <w:t>精神</w:t>
            </w:r>
          </w:p>
        </w:tc>
        <w:tc>
          <w:tcPr>
            <w:tcW w:w="2076" w:type="dxa"/>
            <w:vAlign w:val="center"/>
          </w:tcPr>
          <w:p w14:paraId="1AE46C7C" w14:textId="77777777" w:rsidR="009F2FEC" w:rsidRDefault="005E3B10">
            <w:pPr>
              <w:adjustRightInd w:val="0"/>
              <w:snapToGrid w:val="0"/>
              <w:spacing w:line="560" w:lineRule="exact"/>
              <w:jc w:val="center"/>
              <w:rPr>
                <w:rFonts w:eastAsia="仿宋_GB2312"/>
                <w:bCs/>
                <w:szCs w:val="32"/>
              </w:rPr>
            </w:pPr>
            <w:r>
              <w:rPr>
                <w:rFonts w:eastAsia="仿宋_GB2312" w:hint="eastAsia"/>
                <w:bCs/>
                <w:szCs w:val="32"/>
              </w:rPr>
              <w:t>精神正常</w:t>
            </w:r>
          </w:p>
        </w:tc>
        <w:tc>
          <w:tcPr>
            <w:tcW w:w="1844" w:type="dxa"/>
            <w:vAlign w:val="center"/>
          </w:tcPr>
          <w:p w14:paraId="48228B1E" w14:textId="77777777" w:rsidR="009F2FEC" w:rsidRDefault="005E3B10">
            <w:pPr>
              <w:adjustRightInd w:val="0"/>
              <w:snapToGrid w:val="0"/>
              <w:spacing w:line="560" w:lineRule="exact"/>
              <w:jc w:val="center"/>
              <w:rPr>
                <w:rFonts w:eastAsia="仿宋_GB2312"/>
                <w:bCs/>
                <w:szCs w:val="32"/>
              </w:rPr>
            </w:pPr>
            <w:r>
              <w:rPr>
                <w:rFonts w:eastAsia="仿宋_GB2312" w:hint="eastAsia"/>
                <w:bCs/>
                <w:szCs w:val="32"/>
              </w:rPr>
              <w:t>精神稍差</w:t>
            </w:r>
          </w:p>
        </w:tc>
        <w:tc>
          <w:tcPr>
            <w:tcW w:w="1844" w:type="dxa"/>
            <w:vAlign w:val="center"/>
          </w:tcPr>
          <w:p w14:paraId="703FCEF8" w14:textId="77777777" w:rsidR="009F2FEC" w:rsidRDefault="005E3B10">
            <w:pPr>
              <w:adjustRightInd w:val="0"/>
              <w:snapToGrid w:val="0"/>
              <w:jc w:val="center"/>
              <w:rPr>
                <w:rFonts w:eastAsia="仿宋_GB2312"/>
                <w:bCs/>
                <w:szCs w:val="32"/>
              </w:rPr>
            </w:pPr>
            <w:r>
              <w:rPr>
                <w:rFonts w:eastAsia="仿宋_GB2312" w:hint="eastAsia"/>
                <w:bCs/>
                <w:szCs w:val="32"/>
              </w:rPr>
              <w:t>精神不振，畏寒、扎堆</w:t>
            </w:r>
          </w:p>
        </w:tc>
        <w:tc>
          <w:tcPr>
            <w:tcW w:w="2350" w:type="dxa"/>
            <w:vAlign w:val="center"/>
          </w:tcPr>
          <w:p w14:paraId="5AF3EE76" w14:textId="77777777" w:rsidR="009F2FEC" w:rsidRDefault="005E3B10">
            <w:pPr>
              <w:adjustRightInd w:val="0"/>
              <w:snapToGrid w:val="0"/>
              <w:jc w:val="center"/>
              <w:rPr>
                <w:rFonts w:eastAsia="仿宋_GB2312"/>
                <w:bCs/>
                <w:szCs w:val="32"/>
              </w:rPr>
            </w:pPr>
            <w:r>
              <w:rPr>
                <w:rFonts w:eastAsia="仿宋_GB2312" w:hint="eastAsia"/>
                <w:bCs/>
                <w:szCs w:val="32"/>
              </w:rPr>
              <w:t>精神沉郁，呆立，眼闭神衰甚或站立不稳</w:t>
            </w:r>
          </w:p>
        </w:tc>
      </w:tr>
      <w:tr w:rsidR="009F2FEC" w14:paraId="208DA419" w14:textId="77777777" w:rsidTr="003C08B1">
        <w:trPr>
          <w:trHeight w:val="559"/>
          <w:jc w:val="center"/>
        </w:trPr>
        <w:tc>
          <w:tcPr>
            <w:tcW w:w="1134" w:type="dxa"/>
            <w:tcBorders>
              <w:bottom w:val="single" w:sz="8" w:space="0" w:color="auto"/>
            </w:tcBorders>
            <w:vAlign w:val="center"/>
          </w:tcPr>
          <w:p w14:paraId="12E15271" w14:textId="77777777" w:rsidR="009F2FEC" w:rsidRDefault="005E3B10">
            <w:pPr>
              <w:adjustRightInd w:val="0"/>
              <w:snapToGrid w:val="0"/>
              <w:spacing w:line="560" w:lineRule="exact"/>
              <w:jc w:val="center"/>
              <w:rPr>
                <w:rFonts w:eastAsia="仿宋_GB2312"/>
                <w:bCs/>
                <w:szCs w:val="32"/>
              </w:rPr>
            </w:pPr>
            <w:r>
              <w:rPr>
                <w:rFonts w:eastAsia="仿宋_GB2312" w:hint="eastAsia"/>
                <w:bCs/>
                <w:szCs w:val="32"/>
              </w:rPr>
              <w:t>冠髯状态</w:t>
            </w:r>
          </w:p>
        </w:tc>
        <w:tc>
          <w:tcPr>
            <w:tcW w:w="2076" w:type="dxa"/>
            <w:tcBorders>
              <w:bottom w:val="single" w:sz="8" w:space="0" w:color="auto"/>
            </w:tcBorders>
            <w:vAlign w:val="center"/>
          </w:tcPr>
          <w:p w14:paraId="692476B7" w14:textId="77777777" w:rsidR="009F2FEC" w:rsidRDefault="005E3B10">
            <w:pPr>
              <w:adjustRightInd w:val="0"/>
              <w:snapToGrid w:val="0"/>
              <w:spacing w:line="560" w:lineRule="exact"/>
              <w:jc w:val="center"/>
              <w:rPr>
                <w:rFonts w:eastAsia="仿宋_GB2312"/>
                <w:bCs/>
                <w:szCs w:val="32"/>
              </w:rPr>
            </w:pPr>
            <w:r>
              <w:rPr>
                <w:rFonts w:eastAsia="仿宋_GB2312" w:hint="eastAsia"/>
                <w:bCs/>
                <w:szCs w:val="32"/>
              </w:rPr>
              <w:t>红润</w:t>
            </w:r>
          </w:p>
        </w:tc>
        <w:tc>
          <w:tcPr>
            <w:tcW w:w="1844" w:type="dxa"/>
            <w:tcBorders>
              <w:bottom w:val="single" w:sz="8" w:space="0" w:color="auto"/>
            </w:tcBorders>
            <w:vAlign w:val="center"/>
          </w:tcPr>
          <w:p w14:paraId="36EB3721" w14:textId="77777777" w:rsidR="009F2FEC" w:rsidRDefault="005E3B10">
            <w:pPr>
              <w:adjustRightInd w:val="0"/>
              <w:snapToGrid w:val="0"/>
              <w:spacing w:line="560" w:lineRule="exact"/>
              <w:jc w:val="center"/>
              <w:rPr>
                <w:rFonts w:eastAsia="仿宋_GB2312"/>
                <w:bCs/>
                <w:szCs w:val="32"/>
              </w:rPr>
            </w:pPr>
            <w:r>
              <w:rPr>
                <w:rFonts w:eastAsia="仿宋_GB2312" w:hint="eastAsia"/>
                <w:bCs/>
                <w:szCs w:val="32"/>
              </w:rPr>
              <w:t>略显苍白</w:t>
            </w:r>
          </w:p>
        </w:tc>
        <w:tc>
          <w:tcPr>
            <w:tcW w:w="1844" w:type="dxa"/>
            <w:tcBorders>
              <w:bottom w:val="single" w:sz="8" w:space="0" w:color="auto"/>
            </w:tcBorders>
            <w:vAlign w:val="center"/>
          </w:tcPr>
          <w:p w14:paraId="78AEAEFF" w14:textId="77777777" w:rsidR="009F2FEC" w:rsidRDefault="005E3B10">
            <w:pPr>
              <w:adjustRightInd w:val="0"/>
              <w:snapToGrid w:val="0"/>
              <w:jc w:val="center"/>
              <w:rPr>
                <w:rFonts w:eastAsia="仿宋_GB2312"/>
                <w:bCs/>
                <w:szCs w:val="32"/>
              </w:rPr>
            </w:pPr>
            <w:r>
              <w:rPr>
                <w:rFonts w:eastAsia="仿宋_GB2312" w:hint="eastAsia"/>
                <w:bCs/>
                <w:szCs w:val="32"/>
              </w:rPr>
              <w:t>明显苍白</w:t>
            </w:r>
          </w:p>
        </w:tc>
        <w:tc>
          <w:tcPr>
            <w:tcW w:w="2350" w:type="dxa"/>
            <w:tcBorders>
              <w:bottom w:val="single" w:sz="8" w:space="0" w:color="auto"/>
            </w:tcBorders>
            <w:vAlign w:val="center"/>
          </w:tcPr>
          <w:p w14:paraId="607C6DD0" w14:textId="77777777" w:rsidR="009F2FEC" w:rsidRDefault="005E3B10">
            <w:pPr>
              <w:adjustRightInd w:val="0"/>
              <w:snapToGrid w:val="0"/>
              <w:jc w:val="center"/>
              <w:rPr>
                <w:rFonts w:eastAsia="仿宋_GB2312"/>
                <w:bCs/>
                <w:szCs w:val="32"/>
              </w:rPr>
            </w:pPr>
            <w:r>
              <w:rPr>
                <w:rFonts w:eastAsia="仿宋_GB2312" w:hint="eastAsia"/>
                <w:bCs/>
                <w:szCs w:val="32"/>
              </w:rPr>
              <w:t>严重苍白</w:t>
            </w:r>
          </w:p>
        </w:tc>
      </w:tr>
    </w:tbl>
    <w:p w14:paraId="74DD1D42" w14:textId="77777777" w:rsidR="009F2FEC" w:rsidRDefault="005E3B10" w:rsidP="003C08B1">
      <w:pPr>
        <w:adjustRightInd w:val="0"/>
        <w:snapToGrid w:val="0"/>
        <w:spacing w:line="560" w:lineRule="exact"/>
        <w:ind w:firstLineChars="200" w:firstLine="643"/>
        <w:rPr>
          <w:rFonts w:eastAsia="楷体_GB2312"/>
          <w:b/>
          <w:sz w:val="32"/>
          <w:szCs w:val="32"/>
        </w:rPr>
      </w:pPr>
      <w:r>
        <w:rPr>
          <w:rFonts w:eastAsia="楷体_GB2312" w:hint="eastAsia"/>
          <w:b/>
          <w:sz w:val="32"/>
          <w:szCs w:val="32"/>
        </w:rPr>
        <w:lastRenderedPageBreak/>
        <w:t>（四）受试动物选择</w:t>
      </w:r>
    </w:p>
    <w:p w14:paraId="61B8666F" w14:textId="05CE7F03" w:rsidR="009F2FEC" w:rsidRDefault="005E3B10">
      <w:pPr>
        <w:adjustRightInd w:val="0"/>
        <w:snapToGrid w:val="0"/>
        <w:spacing w:line="560" w:lineRule="exact"/>
        <w:ind w:firstLineChars="200" w:firstLine="643"/>
        <w:rPr>
          <w:rFonts w:eastAsia="仿宋_GB2312"/>
          <w:b/>
          <w:sz w:val="32"/>
          <w:szCs w:val="32"/>
        </w:rPr>
      </w:pPr>
      <w:r>
        <w:rPr>
          <w:rFonts w:eastAsia="仿宋_GB2312" w:hint="eastAsia"/>
          <w:b/>
          <w:sz w:val="32"/>
          <w:szCs w:val="32"/>
        </w:rPr>
        <w:t>1</w:t>
      </w:r>
      <w:r>
        <w:rPr>
          <w:rFonts w:eastAsia="仿宋_GB2312"/>
          <w:b/>
          <w:sz w:val="32"/>
          <w:szCs w:val="32"/>
        </w:rPr>
        <w:t>.</w:t>
      </w:r>
      <w:r>
        <w:rPr>
          <w:rFonts w:eastAsia="仿宋_GB2312"/>
          <w:b/>
          <w:sz w:val="32"/>
          <w:szCs w:val="32"/>
        </w:rPr>
        <w:t>纳入标准</w:t>
      </w:r>
    </w:p>
    <w:p w14:paraId="7A3E9B18" w14:textId="77777777" w:rsidR="009F2FEC" w:rsidRDefault="005E3B10">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）鸡来源明确，鸡场具有检疫合格证；</w:t>
      </w:r>
    </w:p>
    <w:p w14:paraId="4ED0E1B4" w14:textId="77777777" w:rsidR="009F2FEC" w:rsidRDefault="005E3B10">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）试验场地负责人知情且同意；</w:t>
      </w:r>
    </w:p>
    <w:p w14:paraId="3E6F8524" w14:textId="77777777" w:rsidR="009F2FEC" w:rsidRDefault="005E3B10">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）试验前</w:t>
      </w:r>
      <w:r>
        <w:rPr>
          <w:rFonts w:eastAsia="仿宋_GB2312"/>
          <w:sz w:val="32"/>
          <w:szCs w:val="32"/>
        </w:rPr>
        <w:t>2</w:t>
      </w:r>
      <w:r>
        <w:rPr>
          <w:rFonts w:eastAsia="仿宋_GB2312" w:hint="eastAsia"/>
          <w:sz w:val="32"/>
          <w:szCs w:val="32"/>
        </w:rPr>
        <w:t>周未接受过除疫苗和消毒剂以外其他药物的预防或治疗；</w:t>
      </w:r>
    </w:p>
    <w:p w14:paraId="57538C3F" w14:textId="6BA7D9C7" w:rsidR="009F2FEC" w:rsidRDefault="005E3B10">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）患病鸡符合脾胃虚弱</w:t>
      </w:r>
      <w:r w:rsidR="00EC7C4A">
        <w:rPr>
          <w:rFonts w:eastAsia="仿宋_GB2312" w:hint="eastAsia"/>
          <w:sz w:val="32"/>
          <w:szCs w:val="32"/>
        </w:rPr>
        <w:t>证</w:t>
      </w:r>
      <w:r>
        <w:rPr>
          <w:rFonts w:eastAsia="仿宋_GB2312" w:hint="eastAsia"/>
          <w:sz w:val="32"/>
          <w:szCs w:val="32"/>
        </w:rPr>
        <w:t>的临床证候诊断标准</w:t>
      </w:r>
      <w:r w:rsidR="000F1BA0">
        <w:rPr>
          <w:rFonts w:eastAsia="仿宋_GB2312" w:hint="eastAsia"/>
          <w:sz w:val="32"/>
          <w:szCs w:val="32"/>
        </w:rPr>
        <w:t>。</w:t>
      </w:r>
    </w:p>
    <w:p w14:paraId="738BC6BD" w14:textId="26AE6EA2" w:rsidR="009F2FEC" w:rsidRDefault="005E3B10">
      <w:pPr>
        <w:adjustRightInd w:val="0"/>
        <w:snapToGrid w:val="0"/>
        <w:spacing w:line="560" w:lineRule="exact"/>
        <w:ind w:firstLineChars="200" w:firstLine="643"/>
        <w:rPr>
          <w:rFonts w:eastAsia="仿宋_GB2312"/>
          <w:b/>
          <w:sz w:val="32"/>
          <w:szCs w:val="32"/>
        </w:rPr>
      </w:pPr>
      <w:r>
        <w:rPr>
          <w:rFonts w:eastAsia="仿宋_GB2312"/>
          <w:b/>
          <w:sz w:val="32"/>
          <w:szCs w:val="32"/>
        </w:rPr>
        <w:t>2.</w:t>
      </w:r>
      <w:r>
        <w:rPr>
          <w:rFonts w:eastAsia="仿宋_GB2312"/>
          <w:b/>
          <w:sz w:val="32"/>
          <w:szCs w:val="32"/>
        </w:rPr>
        <w:t>排除标准</w:t>
      </w:r>
    </w:p>
    <w:p w14:paraId="54544941" w14:textId="77777777" w:rsidR="009F2FEC" w:rsidRDefault="005E3B10">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）有脾胃虚弱以外的症状或疾病的病鸡；</w:t>
      </w:r>
    </w:p>
    <w:p w14:paraId="408B218C" w14:textId="77777777" w:rsidR="009F2FEC" w:rsidRDefault="005E3B10">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）发病后濒临死亡，预后不良，预期难以救治的病鸡；</w:t>
      </w:r>
    </w:p>
    <w:p w14:paraId="3492D705" w14:textId="77777777" w:rsidR="009F2FEC" w:rsidRDefault="005E3B10">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）试验前接受过可影响本试验的药物治疗的病鸡；</w:t>
      </w:r>
    </w:p>
    <w:p w14:paraId="004FA885" w14:textId="77777777" w:rsidR="009F2FEC" w:rsidRDefault="005E3B10">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）药物治疗后不能持续跟踪观察，数据丢失严重的病鸡。</w:t>
      </w:r>
    </w:p>
    <w:p w14:paraId="0B00B7A8" w14:textId="77777777" w:rsidR="009F2FEC" w:rsidRDefault="005E3B10" w:rsidP="003C08B1">
      <w:pPr>
        <w:adjustRightInd w:val="0"/>
        <w:snapToGrid w:val="0"/>
        <w:spacing w:line="560" w:lineRule="exact"/>
        <w:ind w:firstLineChars="200" w:firstLine="643"/>
        <w:rPr>
          <w:rFonts w:eastAsia="楷体_GB2312"/>
          <w:b/>
          <w:sz w:val="32"/>
          <w:szCs w:val="32"/>
        </w:rPr>
      </w:pPr>
      <w:r>
        <w:rPr>
          <w:rFonts w:eastAsia="楷体_GB2312" w:hint="eastAsia"/>
          <w:b/>
          <w:sz w:val="32"/>
          <w:szCs w:val="32"/>
        </w:rPr>
        <w:t>（五）退出标准</w:t>
      </w:r>
    </w:p>
    <w:p w14:paraId="35926A7F" w14:textId="77777777" w:rsidR="009F2FEC" w:rsidRDefault="005E3B10">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）试验期间出现外因导致的受伤、死亡等情况；</w:t>
      </w:r>
    </w:p>
    <w:p w14:paraId="4D0C5069" w14:textId="77777777" w:rsidR="009F2FEC" w:rsidRDefault="005E3B10">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）试验期间使用了影响本试验的其他药物；</w:t>
      </w:r>
    </w:p>
    <w:p w14:paraId="6C75A53B" w14:textId="77777777" w:rsidR="009F2FEC" w:rsidRDefault="005E3B10">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）试验过程中发生重大偏离。</w:t>
      </w:r>
    </w:p>
    <w:p w14:paraId="7850C782" w14:textId="77777777" w:rsidR="009F2FEC" w:rsidRDefault="005E3B10" w:rsidP="003C08B1">
      <w:pPr>
        <w:adjustRightInd w:val="0"/>
        <w:snapToGrid w:val="0"/>
        <w:spacing w:line="560" w:lineRule="exact"/>
        <w:ind w:firstLineChars="200" w:firstLine="643"/>
        <w:rPr>
          <w:rFonts w:eastAsia="楷体_GB2312"/>
          <w:b/>
          <w:sz w:val="32"/>
          <w:szCs w:val="32"/>
        </w:rPr>
      </w:pPr>
      <w:r>
        <w:rPr>
          <w:rFonts w:eastAsia="楷体_GB2312" w:hint="eastAsia"/>
          <w:b/>
          <w:sz w:val="32"/>
          <w:szCs w:val="32"/>
        </w:rPr>
        <w:t>（六）</w:t>
      </w:r>
      <w:r>
        <w:rPr>
          <w:rFonts w:eastAsia="楷体_GB2312"/>
          <w:b/>
          <w:sz w:val="32"/>
          <w:szCs w:val="32"/>
        </w:rPr>
        <w:t>试验中止</w:t>
      </w:r>
    </w:p>
    <w:p w14:paraId="4E02C8D3" w14:textId="77777777" w:rsidR="009F2FEC" w:rsidRDefault="005E3B10">
      <w:pPr>
        <w:adjustRightInd w:val="0"/>
        <w:snapToGrid w:val="0"/>
        <w:spacing w:line="560" w:lineRule="exact"/>
        <w:ind w:firstLineChars="200" w:firstLine="640"/>
        <w:rPr>
          <w:rFonts w:eastAsia="仿宋_GB2312"/>
          <w:sz w:val="32"/>
          <w:szCs w:val="32"/>
        </w:rPr>
      </w:pPr>
      <w:r>
        <w:rPr>
          <w:rFonts w:eastAsia="仿宋_GB2312" w:hint="eastAsia"/>
          <w:sz w:val="32"/>
          <w:szCs w:val="32"/>
        </w:rPr>
        <w:t>若</w:t>
      </w:r>
      <w:r>
        <w:rPr>
          <w:rFonts w:eastAsia="仿宋_GB2312"/>
          <w:sz w:val="32"/>
          <w:szCs w:val="32"/>
        </w:rPr>
        <w:t>研究者认为受试</w:t>
      </w:r>
      <w:r>
        <w:rPr>
          <w:rFonts w:eastAsia="仿宋_GB2312" w:hint="eastAsia"/>
          <w:sz w:val="32"/>
          <w:szCs w:val="32"/>
        </w:rPr>
        <w:t>动物</w:t>
      </w:r>
      <w:r>
        <w:rPr>
          <w:rFonts w:eastAsia="仿宋_GB2312"/>
          <w:sz w:val="32"/>
          <w:szCs w:val="32"/>
        </w:rPr>
        <w:t>安全性受到</w:t>
      </w:r>
      <w:r>
        <w:rPr>
          <w:rFonts w:eastAsia="仿宋_GB2312" w:hint="eastAsia"/>
          <w:sz w:val="32"/>
          <w:szCs w:val="32"/>
        </w:rPr>
        <w:t>较大</w:t>
      </w:r>
      <w:r>
        <w:rPr>
          <w:rFonts w:eastAsia="仿宋_GB2312"/>
          <w:sz w:val="32"/>
          <w:szCs w:val="32"/>
        </w:rPr>
        <w:t>损害</w:t>
      </w:r>
      <w:r>
        <w:rPr>
          <w:rFonts w:eastAsia="仿宋_GB2312" w:hint="eastAsia"/>
          <w:sz w:val="32"/>
          <w:szCs w:val="32"/>
        </w:rPr>
        <w:t>或者</w:t>
      </w:r>
      <w:r>
        <w:rPr>
          <w:rFonts w:eastAsia="仿宋_GB2312"/>
          <w:sz w:val="32"/>
          <w:szCs w:val="32"/>
        </w:rPr>
        <w:t>在试验中发现临床试验方案有重大失误，难以评价药物效应</w:t>
      </w:r>
      <w:r>
        <w:rPr>
          <w:rFonts w:eastAsia="仿宋_GB2312" w:hint="eastAsia"/>
          <w:sz w:val="32"/>
          <w:szCs w:val="32"/>
        </w:rPr>
        <w:t>等，</w:t>
      </w:r>
      <w:r>
        <w:rPr>
          <w:rFonts w:eastAsia="仿宋_GB2312"/>
          <w:sz w:val="32"/>
          <w:szCs w:val="32"/>
        </w:rPr>
        <w:t>应及时中止临床试验。</w:t>
      </w:r>
    </w:p>
    <w:p w14:paraId="5BDF3791" w14:textId="77777777" w:rsidR="009F2FEC" w:rsidRDefault="005E3B10" w:rsidP="003C08B1">
      <w:pPr>
        <w:adjustRightInd w:val="0"/>
        <w:snapToGrid w:val="0"/>
        <w:spacing w:line="560" w:lineRule="exact"/>
        <w:ind w:firstLineChars="200" w:firstLine="643"/>
        <w:rPr>
          <w:rFonts w:eastAsia="楷体_GB2312"/>
          <w:b/>
          <w:sz w:val="32"/>
          <w:szCs w:val="32"/>
        </w:rPr>
      </w:pPr>
      <w:bookmarkStart w:id="3" w:name="_Toc499033911"/>
      <w:r>
        <w:rPr>
          <w:rFonts w:eastAsia="楷体_GB2312" w:hint="eastAsia"/>
          <w:b/>
          <w:sz w:val="32"/>
          <w:szCs w:val="32"/>
        </w:rPr>
        <w:t>（七）试验设计</w:t>
      </w:r>
      <w:bookmarkEnd w:id="3"/>
    </w:p>
    <w:p w14:paraId="1D63AB9E" w14:textId="77777777" w:rsidR="009F2FEC" w:rsidRDefault="005E3B10">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）设盲</w:t>
      </w:r>
    </w:p>
    <w:p w14:paraId="13BB7C21" w14:textId="77777777" w:rsidR="009F2FEC" w:rsidRDefault="005E3B10">
      <w:pPr>
        <w:adjustRightInd w:val="0"/>
        <w:snapToGrid w:val="0"/>
        <w:spacing w:line="560" w:lineRule="exact"/>
        <w:ind w:firstLineChars="200" w:firstLine="640"/>
        <w:rPr>
          <w:rFonts w:eastAsia="仿宋_GB2312"/>
          <w:sz w:val="32"/>
          <w:szCs w:val="32"/>
        </w:rPr>
      </w:pPr>
      <w:r>
        <w:rPr>
          <w:rFonts w:eastAsia="仿宋_GB2312" w:hint="eastAsia"/>
          <w:sz w:val="32"/>
          <w:szCs w:val="32"/>
        </w:rPr>
        <w:t>试验采用给药者</w:t>
      </w:r>
      <w:r>
        <w:rPr>
          <w:rFonts w:eastAsia="仿宋_GB2312" w:hint="eastAsia"/>
          <w:sz w:val="32"/>
          <w:szCs w:val="32"/>
        </w:rPr>
        <w:t>-</w:t>
      </w:r>
      <w:r>
        <w:rPr>
          <w:rFonts w:eastAsia="仿宋_GB2312" w:hint="eastAsia"/>
          <w:sz w:val="32"/>
          <w:szCs w:val="32"/>
        </w:rPr>
        <w:t>评估者设计。分组和给药人员不参与疗</w:t>
      </w:r>
      <w:r>
        <w:rPr>
          <w:rFonts w:eastAsia="仿宋_GB2312" w:hint="eastAsia"/>
          <w:sz w:val="32"/>
          <w:szCs w:val="32"/>
        </w:rPr>
        <w:lastRenderedPageBreak/>
        <w:t>效评估；疗效评估者不了解试验鸡的分组、给药与药物信息；锁定数据后揭盲，对数据进行分析并撰写试验报告。试验期间，除非出现严重不良事件，不对相关人员揭盲。</w:t>
      </w:r>
    </w:p>
    <w:p w14:paraId="1A95CC84" w14:textId="77777777" w:rsidR="009F2FEC" w:rsidRDefault="005E3B10">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）分组</w:t>
      </w:r>
    </w:p>
    <w:p w14:paraId="7FD3A536" w14:textId="77777777" w:rsidR="009F2FEC" w:rsidRDefault="005E3B10">
      <w:pPr>
        <w:adjustRightInd w:val="0"/>
        <w:snapToGrid w:val="0"/>
        <w:spacing w:line="560" w:lineRule="exact"/>
        <w:ind w:firstLineChars="200" w:firstLine="640"/>
        <w:rPr>
          <w:rFonts w:eastAsia="仿宋_GB2312"/>
          <w:sz w:val="32"/>
          <w:szCs w:val="32"/>
        </w:rPr>
      </w:pPr>
      <w:r>
        <w:rPr>
          <w:rFonts w:eastAsia="仿宋_GB2312" w:hint="eastAsia"/>
          <w:sz w:val="32"/>
          <w:szCs w:val="32"/>
        </w:rPr>
        <w:t>分组遵循随机、对照和重复的原则，药效评价试验设置三个剂量组（即高、中、低剂量组，中剂量为推荐剂量）和药物对照组。药效评价田间试验设置推荐剂量组和药物对照组。</w:t>
      </w:r>
    </w:p>
    <w:p w14:paraId="757610D5" w14:textId="77777777" w:rsidR="009F2FEC" w:rsidRDefault="005E3B10">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）给药方案</w:t>
      </w:r>
    </w:p>
    <w:p w14:paraId="4D70C446" w14:textId="77777777" w:rsidR="009F2FEC" w:rsidRDefault="005E3B10">
      <w:pPr>
        <w:adjustRightInd w:val="0"/>
        <w:snapToGrid w:val="0"/>
        <w:spacing w:line="560" w:lineRule="exact"/>
        <w:ind w:firstLineChars="200" w:firstLine="640"/>
        <w:rPr>
          <w:rFonts w:eastAsia="仿宋_GB2312"/>
          <w:sz w:val="32"/>
          <w:szCs w:val="32"/>
        </w:rPr>
      </w:pPr>
      <w:r>
        <w:rPr>
          <w:rFonts w:eastAsia="仿宋_GB2312" w:hint="eastAsia"/>
          <w:sz w:val="32"/>
          <w:szCs w:val="32"/>
        </w:rPr>
        <w:t>给药方案包括规范明确的给药途径、给药方法、使用剂量、投药频次，次数、时机及给药疗程。</w:t>
      </w:r>
    </w:p>
    <w:p w14:paraId="7A2685DF" w14:textId="77777777" w:rsidR="009F2FEC" w:rsidRDefault="005E3B10" w:rsidP="003C08B1">
      <w:pPr>
        <w:adjustRightInd w:val="0"/>
        <w:snapToGrid w:val="0"/>
        <w:spacing w:line="560" w:lineRule="exact"/>
        <w:ind w:firstLineChars="200" w:firstLine="643"/>
        <w:rPr>
          <w:rFonts w:eastAsia="楷体_GB2312"/>
          <w:b/>
          <w:sz w:val="32"/>
          <w:szCs w:val="32"/>
        </w:rPr>
      </w:pPr>
      <w:r>
        <w:rPr>
          <w:rFonts w:eastAsia="楷体_GB2312" w:hint="eastAsia"/>
          <w:b/>
          <w:sz w:val="32"/>
          <w:szCs w:val="32"/>
        </w:rPr>
        <w:t>（八）对照药物选择</w:t>
      </w:r>
    </w:p>
    <w:p w14:paraId="32EAB10D" w14:textId="77777777" w:rsidR="009F2FEC" w:rsidRDefault="005E3B10">
      <w:pPr>
        <w:adjustRightInd w:val="0"/>
        <w:snapToGrid w:val="0"/>
        <w:spacing w:line="560" w:lineRule="exact"/>
        <w:ind w:firstLineChars="200" w:firstLine="640"/>
        <w:rPr>
          <w:rFonts w:eastAsia="仿宋_GB2312"/>
          <w:sz w:val="32"/>
          <w:szCs w:val="32"/>
        </w:rPr>
      </w:pPr>
      <w:r>
        <w:rPr>
          <w:rFonts w:eastAsia="仿宋_GB2312" w:hint="eastAsia"/>
          <w:sz w:val="32"/>
          <w:szCs w:val="32"/>
        </w:rPr>
        <w:t>对照药物应采用合法产品，选择时应遵循同类可比、公认有效的原则。在试验方案及报告中应阐明对照药物选择的依据，对二者在功能以及适应证上的可比性进行分析，并明确其通用名称、含量、规格批号、生产企业、有效期及质量标准推荐的用法用量等。对照药物使用的途径、用法、用量应与质量标准规定的内容一致</w:t>
      </w:r>
      <w:r>
        <w:rPr>
          <w:rFonts w:eastAsia="仿宋_GB2312"/>
          <w:sz w:val="32"/>
          <w:szCs w:val="32"/>
        </w:rPr>
        <w:t>。</w:t>
      </w:r>
    </w:p>
    <w:p w14:paraId="70970F12" w14:textId="77777777" w:rsidR="009F2FEC" w:rsidRDefault="005E3B10">
      <w:pPr>
        <w:adjustRightInd w:val="0"/>
        <w:snapToGrid w:val="0"/>
        <w:spacing w:line="560" w:lineRule="exact"/>
        <w:ind w:firstLineChars="200" w:firstLine="640"/>
        <w:rPr>
          <w:rFonts w:eastAsia="仿宋_GB2312"/>
          <w:sz w:val="32"/>
          <w:szCs w:val="32"/>
        </w:rPr>
      </w:pPr>
      <w:r>
        <w:rPr>
          <w:rFonts w:eastAsia="仿宋_GB2312" w:hint="eastAsia"/>
          <w:sz w:val="32"/>
          <w:szCs w:val="32"/>
        </w:rPr>
        <w:t>如没有可选的已获得批准文号的合法对照药物，则对照药物可选安慰剂，安慰剂应在剂型、外观、气味、口感、质感等特征性状上与试验药物尽量接近，确保临床研究者在盲态下开展研究。</w:t>
      </w:r>
    </w:p>
    <w:p w14:paraId="6E2A0D16" w14:textId="77777777" w:rsidR="009F2FEC" w:rsidRDefault="005E3B10" w:rsidP="003C08B1">
      <w:pPr>
        <w:adjustRightInd w:val="0"/>
        <w:snapToGrid w:val="0"/>
        <w:spacing w:line="560" w:lineRule="exact"/>
        <w:ind w:firstLineChars="200" w:firstLine="643"/>
        <w:rPr>
          <w:rFonts w:eastAsia="楷体_GB2312"/>
          <w:b/>
          <w:sz w:val="32"/>
          <w:szCs w:val="32"/>
        </w:rPr>
      </w:pPr>
      <w:r>
        <w:rPr>
          <w:rFonts w:eastAsia="楷体_GB2312" w:hint="eastAsia"/>
          <w:b/>
          <w:sz w:val="32"/>
          <w:szCs w:val="32"/>
        </w:rPr>
        <w:t>（九）疗程及观测时点</w:t>
      </w:r>
    </w:p>
    <w:p w14:paraId="5E450664" w14:textId="77777777" w:rsidR="009F2FEC" w:rsidRDefault="005E3B10">
      <w:pPr>
        <w:adjustRightInd w:val="0"/>
        <w:snapToGrid w:val="0"/>
        <w:spacing w:line="560" w:lineRule="exact"/>
        <w:ind w:firstLineChars="200" w:firstLine="640"/>
        <w:rPr>
          <w:rFonts w:eastAsia="仿宋_GB2312"/>
          <w:sz w:val="32"/>
          <w:szCs w:val="32"/>
        </w:rPr>
      </w:pPr>
      <w:r>
        <w:rPr>
          <w:rFonts w:eastAsia="仿宋_GB2312" w:hint="eastAsia"/>
          <w:sz w:val="32"/>
          <w:szCs w:val="32"/>
        </w:rPr>
        <w:t>根据药物特点和前期研究信息合理设置观测疗程与时</w:t>
      </w:r>
      <w:r>
        <w:rPr>
          <w:rFonts w:eastAsia="仿宋_GB2312" w:hint="eastAsia"/>
          <w:sz w:val="32"/>
          <w:szCs w:val="32"/>
        </w:rPr>
        <w:lastRenderedPageBreak/>
        <w:t>点，并根据研究目的的不同，科学设计观测的方法、观测时点、观测内容等。</w:t>
      </w:r>
    </w:p>
    <w:p w14:paraId="19131ED8" w14:textId="77777777" w:rsidR="009F2FEC" w:rsidRDefault="005E3B10" w:rsidP="003C08B1">
      <w:pPr>
        <w:adjustRightInd w:val="0"/>
        <w:snapToGrid w:val="0"/>
        <w:spacing w:line="560" w:lineRule="exact"/>
        <w:ind w:firstLineChars="200" w:firstLine="643"/>
        <w:rPr>
          <w:rFonts w:eastAsia="楷体_GB2312"/>
          <w:b/>
          <w:sz w:val="32"/>
          <w:szCs w:val="32"/>
        </w:rPr>
      </w:pPr>
      <w:r>
        <w:rPr>
          <w:rFonts w:eastAsia="楷体_GB2312" w:hint="eastAsia"/>
          <w:b/>
          <w:sz w:val="32"/>
          <w:szCs w:val="32"/>
        </w:rPr>
        <w:t>（十）有效性评价</w:t>
      </w:r>
    </w:p>
    <w:p w14:paraId="0D930942" w14:textId="77777777" w:rsidR="009F2FEC" w:rsidRDefault="005E3B10">
      <w:pPr>
        <w:adjustRightInd w:val="0"/>
        <w:snapToGrid w:val="0"/>
        <w:spacing w:line="560" w:lineRule="exact"/>
        <w:ind w:firstLineChars="200" w:firstLine="640"/>
        <w:rPr>
          <w:rFonts w:eastAsia="仿宋_GB2312"/>
          <w:sz w:val="32"/>
          <w:szCs w:val="32"/>
        </w:rPr>
      </w:pPr>
      <w:r>
        <w:rPr>
          <w:rFonts w:eastAsia="仿宋_GB2312" w:hint="eastAsia"/>
          <w:sz w:val="32"/>
          <w:szCs w:val="32"/>
        </w:rPr>
        <w:t>以证候疗效评定标准进行有效性评价。中兽医证候疗效为复合性指标，包括主症和次症的消除、改善或控制，并可以共同积分的改变进行评价。应重视各指标的权重赋值的合理确定，新兽药治疗鸡脾胃虚弱证的具体临床评价指标如下：</w:t>
      </w:r>
    </w:p>
    <w:p w14:paraId="5CD6D2B6" w14:textId="77777777" w:rsidR="009F2FEC" w:rsidRDefault="005E3B10">
      <w:pPr>
        <w:numPr>
          <w:ilvl w:val="0"/>
          <w:numId w:val="1"/>
        </w:numPr>
        <w:adjustRightInd w:val="0"/>
        <w:snapToGrid w:val="0"/>
        <w:spacing w:line="560" w:lineRule="exact"/>
        <w:ind w:firstLineChars="200" w:firstLine="640"/>
        <w:rPr>
          <w:rFonts w:eastAsia="仿宋_GB2312"/>
          <w:sz w:val="32"/>
          <w:szCs w:val="32"/>
        </w:rPr>
      </w:pPr>
      <w:r>
        <w:rPr>
          <w:rFonts w:eastAsia="仿宋_GB2312" w:hint="eastAsia"/>
          <w:sz w:val="32"/>
          <w:szCs w:val="32"/>
        </w:rPr>
        <w:t>治愈：临床</w:t>
      </w:r>
      <w:bookmarkStart w:id="4" w:name="_GoBack"/>
      <w:bookmarkEnd w:id="4"/>
      <w:r>
        <w:rPr>
          <w:rFonts w:eastAsia="仿宋_GB2312" w:hint="eastAsia"/>
          <w:sz w:val="32"/>
          <w:szCs w:val="32"/>
        </w:rPr>
        <w:t>证候消除。症状积分减少≥</w:t>
      </w:r>
      <w:r>
        <w:rPr>
          <w:rFonts w:eastAsia="仿宋_GB2312" w:hint="eastAsia"/>
          <w:sz w:val="32"/>
          <w:szCs w:val="32"/>
        </w:rPr>
        <w:t>10</w:t>
      </w:r>
      <w:r>
        <w:rPr>
          <w:rFonts w:eastAsia="仿宋_GB2312"/>
          <w:sz w:val="32"/>
          <w:szCs w:val="32"/>
        </w:rPr>
        <w:t>0</w:t>
      </w:r>
      <w:r>
        <w:rPr>
          <w:rFonts w:eastAsia="仿宋_GB2312" w:hint="eastAsia"/>
          <w:sz w:val="32"/>
          <w:szCs w:val="32"/>
        </w:rPr>
        <w:t>%</w:t>
      </w:r>
      <w:r>
        <w:rPr>
          <w:rFonts w:eastAsia="仿宋_GB2312" w:hint="eastAsia"/>
          <w:sz w:val="32"/>
          <w:szCs w:val="32"/>
        </w:rPr>
        <w:t>。治疗后患鸡粪便稀甚至过料症状完全消失，采食量、体重、精神、羽毛状态恢复正常，羽毛恢复顺滑光泽，产蛋率逐渐恢复上升，观察期不复发，判为治愈。计算治愈率。</w:t>
      </w:r>
    </w:p>
    <w:p w14:paraId="385E70A0" w14:textId="0CD70C6E" w:rsidR="009F2FEC" w:rsidRDefault="005E3B10">
      <w:pPr>
        <w:numPr>
          <w:ilvl w:val="0"/>
          <w:numId w:val="1"/>
        </w:numPr>
        <w:adjustRightInd w:val="0"/>
        <w:snapToGrid w:val="0"/>
        <w:spacing w:line="560" w:lineRule="exact"/>
        <w:ind w:firstLineChars="200" w:firstLine="640"/>
        <w:rPr>
          <w:rFonts w:eastAsia="仿宋_GB2312"/>
          <w:sz w:val="32"/>
          <w:szCs w:val="32"/>
        </w:rPr>
      </w:pPr>
      <w:r>
        <w:rPr>
          <w:rFonts w:eastAsia="仿宋_GB2312" w:hint="eastAsia"/>
          <w:sz w:val="32"/>
          <w:szCs w:val="32"/>
        </w:rPr>
        <w:t>显效：临床证候明显改善，症状积分减少≥</w:t>
      </w:r>
      <w:r>
        <w:rPr>
          <w:rFonts w:eastAsia="仿宋_GB2312" w:hint="eastAsia"/>
          <w:sz w:val="32"/>
          <w:szCs w:val="32"/>
        </w:rPr>
        <w:t>7</w:t>
      </w:r>
      <w:r>
        <w:rPr>
          <w:rFonts w:eastAsia="仿宋_GB2312"/>
          <w:sz w:val="32"/>
          <w:szCs w:val="32"/>
        </w:rPr>
        <w:t>0</w:t>
      </w:r>
      <w:r>
        <w:rPr>
          <w:rFonts w:eastAsia="仿宋_GB2312" w:hint="eastAsia"/>
          <w:sz w:val="32"/>
          <w:szCs w:val="32"/>
        </w:rPr>
        <w:t>%</w:t>
      </w:r>
      <w:r>
        <w:rPr>
          <w:rFonts w:eastAsia="仿宋_GB2312" w:hint="eastAsia"/>
          <w:sz w:val="32"/>
          <w:szCs w:val="32"/>
        </w:rPr>
        <w:t>。治疗后鸡粪便稀甚至过料的症状明显减轻，消瘦状态得以改善，精神好转，采食量等基本恢复正常，羽毛状态得以改善；观察期内症状不再加重，判断为显效。计算显效率。</w:t>
      </w:r>
    </w:p>
    <w:p w14:paraId="1A13822B" w14:textId="310487B1" w:rsidR="009F2FEC" w:rsidRDefault="005E3B10">
      <w:pPr>
        <w:numPr>
          <w:ilvl w:val="0"/>
          <w:numId w:val="1"/>
        </w:numPr>
        <w:adjustRightInd w:val="0"/>
        <w:snapToGrid w:val="0"/>
        <w:spacing w:line="560" w:lineRule="exact"/>
        <w:ind w:firstLineChars="200" w:firstLine="640"/>
        <w:rPr>
          <w:rFonts w:eastAsia="仿宋_GB2312"/>
          <w:sz w:val="32"/>
          <w:szCs w:val="32"/>
        </w:rPr>
      </w:pPr>
      <w:r>
        <w:rPr>
          <w:rFonts w:eastAsia="仿宋_GB2312" w:hint="eastAsia"/>
          <w:sz w:val="32"/>
          <w:szCs w:val="32"/>
        </w:rPr>
        <w:t>有效：临床证候部分改善，</w:t>
      </w:r>
      <w:r>
        <w:rPr>
          <w:rFonts w:eastAsia="仿宋_GB2312" w:hint="eastAsia"/>
          <w:sz w:val="32"/>
          <w:szCs w:val="32"/>
        </w:rPr>
        <w:t>3</w:t>
      </w:r>
      <w:r>
        <w:rPr>
          <w:rFonts w:eastAsia="仿宋_GB2312"/>
          <w:sz w:val="32"/>
          <w:szCs w:val="32"/>
        </w:rPr>
        <w:t>0%</w:t>
      </w:r>
      <w:r>
        <w:rPr>
          <w:rFonts w:eastAsia="仿宋_GB2312" w:hint="eastAsia"/>
          <w:sz w:val="32"/>
          <w:szCs w:val="32"/>
        </w:rPr>
        <w:t>≤症状积分减少＜</w:t>
      </w:r>
      <w:r>
        <w:rPr>
          <w:rFonts w:eastAsia="仿宋_GB2312"/>
          <w:sz w:val="32"/>
          <w:szCs w:val="32"/>
        </w:rPr>
        <w:t>70%</w:t>
      </w:r>
      <w:r>
        <w:rPr>
          <w:rFonts w:eastAsia="仿宋_GB2312" w:hint="eastAsia"/>
          <w:sz w:val="32"/>
          <w:szCs w:val="32"/>
        </w:rPr>
        <w:t>。治疗后粪便稀甚至过料的症状略有好转，消瘦状态略有改善，精神、采食量、羽毛状态等略有改善；观察期内症状不再加重，判断为有效，计算有效率。</w:t>
      </w:r>
    </w:p>
    <w:p w14:paraId="79756F81" w14:textId="77777777" w:rsidR="009F2FEC" w:rsidRDefault="005E3B10">
      <w:pPr>
        <w:numPr>
          <w:ilvl w:val="0"/>
          <w:numId w:val="1"/>
        </w:numPr>
        <w:adjustRightInd w:val="0"/>
        <w:snapToGrid w:val="0"/>
        <w:spacing w:line="560" w:lineRule="exact"/>
        <w:ind w:firstLineChars="200" w:firstLine="640"/>
        <w:rPr>
          <w:rFonts w:eastAsia="仿宋_GB2312"/>
          <w:sz w:val="32"/>
          <w:szCs w:val="32"/>
        </w:rPr>
      </w:pPr>
      <w:r>
        <w:rPr>
          <w:rFonts w:eastAsia="仿宋_GB2312" w:hint="eastAsia"/>
          <w:sz w:val="32"/>
          <w:szCs w:val="32"/>
        </w:rPr>
        <w:t>无效：临床证候无明显改善，甚或加重，症状积分减少＜</w:t>
      </w:r>
      <w:r>
        <w:rPr>
          <w:rFonts w:eastAsia="仿宋_GB2312" w:hint="eastAsia"/>
          <w:sz w:val="32"/>
          <w:szCs w:val="32"/>
        </w:rPr>
        <w:t>3</w:t>
      </w:r>
      <w:r>
        <w:rPr>
          <w:rFonts w:eastAsia="仿宋_GB2312"/>
          <w:sz w:val="32"/>
          <w:szCs w:val="32"/>
        </w:rPr>
        <w:t>0%</w:t>
      </w:r>
      <w:r>
        <w:rPr>
          <w:rFonts w:eastAsia="仿宋_GB2312" w:hint="eastAsia"/>
          <w:sz w:val="32"/>
          <w:szCs w:val="32"/>
        </w:rPr>
        <w:t>。治疗后病鸡粪便稀甚至过料的症状没有减轻，采食量、体重、精神、羽毛状态未改善，甚或加重、死亡，判为无效。计算无效率</w:t>
      </w:r>
      <w:r>
        <w:rPr>
          <w:rFonts w:eastAsia="仿宋_GB2312"/>
          <w:sz w:val="32"/>
          <w:szCs w:val="32"/>
        </w:rPr>
        <w:t>。</w:t>
      </w:r>
    </w:p>
    <w:p w14:paraId="2943976F" w14:textId="77777777" w:rsidR="009F2FEC" w:rsidRDefault="005E3B10">
      <w:pPr>
        <w:adjustRightInd w:val="0"/>
        <w:snapToGrid w:val="0"/>
        <w:spacing w:line="560" w:lineRule="exact"/>
        <w:ind w:firstLineChars="200" w:firstLine="640"/>
        <w:rPr>
          <w:rFonts w:eastAsia="仿宋_GB2312"/>
          <w:sz w:val="32"/>
          <w:szCs w:val="32"/>
        </w:rPr>
      </w:pPr>
      <w:r>
        <w:rPr>
          <w:rFonts w:eastAsia="仿宋_GB2312" w:hint="eastAsia"/>
          <w:sz w:val="32"/>
          <w:szCs w:val="32"/>
        </w:rPr>
        <w:t>最后统计总有效率，总有效率为治愈率、显效率、有效</w:t>
      </w:r>
      <w:r>
        <w:rPr>
          <w:rFonts w:eastAsia="仿宋_GB2312" w:hint="eastAsia"/>
          <w:sz w:val="32"/>
          <w:szCs w:val="32"/>
        </w:rPr>
        <w:lastRenderedPageBreak/>
        <w:t>率之和。以治愈率、显效率和总有效率为主要指标。</w:t>
      </w:r>
    </w:p>
    <w:p w14:paraId="211542A3" w14:textId="77777777" w:rsidR="009F2FEC" w:rsidRDefault="005E3B10">
      <w:pPr>
        <w:adjustRightInd w:val="0"/>
        <w:snapToGrid w:val="0"/>
        <w:spacing w:line="560" w:lineRule="exact"/>
        <w:ind w:firstLineChars="200" w:firstLine="643"/>
        <w:rPr>
          <w:rFonts w:eastAsia="楷体_GB2312"/>
          <w:b/>
          <w:sz w:val="32"/>
          <w:szCs w:val="32"/>
        </w:rPr>
      </w:pPr>
      <w:bookmarkStart w:id="5" w:name="_Toc499033918"/>
      <w:r>
        <w:rPr>
          <w:rFonts w:eastAsia="楷体_GB2312" w:hint="eastAsia"/>
          <w:b/>
          <w:sz w:val="32"/>
          <w:szCs w:val="32"/>
        </w:rPr>
        <w:t>（十一）试验的质量控制</w:t>
      </w:r>
    </w:p>
    <w:p w14:paraId="47AA1B5D" w14:textId="77777777" w:rsidR="009F2FEC" w:rsidRDefault="005E3B10">
      <w:pPr>
        <w:adjustRightInd w:val="0"/>
        <w:snapToGrid w:val="0"/>
        <w:spacing w:line="560" w:lineRule="exact"/>
        <w:ind w:firstLineChars="200" w:firstLine="640"/>
        <w:rPr>
          <w:rFonts w:ascii="等线" w:eastAsia="仿宋_GB2312" w:hAnsi="等线"/>
          <w:sz w:val="32"/>
          <w:szCs w:val="32"/>
        </w:rPr>
      </w:pPr>
      <w:r>
        <w:rPr>
          <w:rFonts w:eastAsia="仿宋_GB2312" w:hint="eastAsia"/>
          <w:sz w:val="32"/>
          <w:szCs w:val="32"/>
        </w:rPr>
        <w:t>试验</w:t>
      </w:r>
      <w:r>
        <w:rPr>
          <w:rFonts w:eastAsia="仿宋_GB2312"/>
          <w:sz w:val="32"/>
          <w:szCs w:val="32"/>
        </w:rPr>
        <w:t>应当选择一种</w:t>
      </w:r>
      <w:r>
        <w:rPr>
          <w:rFonts w:eastAsia="仿宋_GB2312" w:hint="eastAsia"/>
          <w:sz w:val="32"/>
          <w:szCs w:val="32"/>
        </w:rPr>
        <w:t>适当的</w:t>
      </w:r>
      <w:r>
        <w:rPr>
          <w:rFonts w:eastAsia="仿宋_GB2312"/>
          <w:sz w:val="32"/>
          <w:szCs w:val="32"/>
        </w:rPr>
        <w:t>方式，便于评价</w:t>
      </w:r>
      <w:r>
        <w:rPr>
          <w:rFonts w:eastAsia="仿宋_GB2312" w:hint="eastAsia"/>
          <w:sz w:val="32"/>
          <w:szCs w:val="32"/>
        </w:rPr>
        <w:t>患病动物</w:t>
      </w:r>
      <w:r>
        <w:rPr>
          <w:rFonts w:eastAsia="仿宋_GB2312"/>
          <w:sz w:val="32"/>
          <w:szCs w:val="32"/>
        </w:rPr>
        <w:t>在试验过程中每天的症状和体征。</w:t>
      </w:r>
      <w:r>
        <w:rPr>
          <w:rFonts w:ascii="等线" w:eastAsia="仿宋_GB2312" w:hAnsi="等线"/>
          <w:sz w:val="32"/>
          <w:szCs w:val="32"/>
        </w:rPr>
        <w:t>对于主观评价指标，质量控制至关重要。若在试验的某个阶段（如探索性试验阶段）未采取盲法设计，应着重注意保证评价者与数据分析者均处于盲态，降低偏倚性。</w:t>
      </w:r>
    </w:p>
    <w:p w14:paraId="63E8A8CF" w14:textId="77777777" w:rsidR="009F2FEC" w:rsidRDefault="005E3B10" w:rsidP="003C08B1">
      <w:pPr>
        <w:adjustRightInd w:val="0"/>
        <w:snapToGrid w:val="0"/>
        <w:spacing w:line="560" w:lineRule="exact"/>
        <w:ind w:firstLineChars="200" w:firstLine="643"/>
        <w:rPr>
          <w:rFonts w:eastAsia="楷体_GB2312"/>
          <w:b/>
          <w:sz w:val="32"/>
          <w:szCs w:val="32"/>
        </w:rPr>
      </w:pPr>
      <w:r>
        <w:rPr>
          <w:rFonts w:eastAsia="楷体_GB2312" w:hint="eastAsia"/>
          <w:b/>
          <w:sz w:val="32"/>
          <w:szCs w:val="32"/>
        </w:rPr>
        <w:t>（十二）统计方法</w:t>
      </w:r>
      <w:bookmarkEnd w:id="5"/>
    </w:p>
    <w:p w14:paraId="6FA0E7DC" w14:textId="77777777" w:rsidR="009F2FEC" w:rsidRDefault="005E3B10">
      <w:pPr>
        <w:adjustRightInd w:val="0"/>
        <w:snapToGrid w:val="0"/>
        <w:spacing w:line="560" w:lineRule="exact"/>
        <w:ind w:firstLineChars="200" w:firstLine="640"/>
        <w:rPr>
          <w:rFonts w:eastAsia="仿宋_GB2312"/>
          <w:sz w:val="32"/>
          <w:szCs w:val="32"/>
        </w:rPr>
      </w:pPr>
      <w:r>
        <w:rPr>
          <w:rFonts w:eastAsia="仿宋_GB2312"/>
          <w:sz w:val="32"/>
          <w:szCs w:val="32"/>
        </w:rPr>
        <w:t>应符合统计学的一般要求。病例数的设计应根据统计学、</w:t>
      </w:r>
      <w:r>
        <w:rPr>
          <w:rFonts w:eastAsia="仿宋_GB2312" w:hint="eastAsia"/>
          <w:sz w:val="32"/>
          <w:szCs w:val="32"/>
        </w:rPr>
        <w:t>相关法规或技术规程的要求进行计算统计。</w:t>
      </w:r>
    </w:p>
    <w:sectPr w:rsidR="009F2F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A588B" w14:textId="77777777" w:rsidR="008854F6" w:rsidRDefault="008854F6" w:rsidP="000008F3">
      <w:r>
        <w:separator/>
      </w:r>
    </w:p>
  </w:endnote>
  <w:endnote w:type="continuationSeparator" w:id="0">
    <w:p w14:paraId="2B1E9F6D" w14:textId="77777777" w:rsidR="008854F6" w:rsidRDefault="008854F6" w:rsidP="0000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C5832" w14:textId="77777777" w:rsidR="008854F6" w:rsidRDefault="008854F6" w:rsidP="000008F3">
      <w:r>
        <w:separator/>
      </w:r>
    </w:p>
  </w:footnote>
  <w:footnote w:type="continuationSeparator" w:id="0">
    <w:p w14:paraId="748F9803" w14:textId="77777777" w:rsidR="008854F6" w:rsidRDefault="008854F6" w:rsidP="00000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311FE"/>
    <w:multiLevelType w:val="singleLevel"/>
    <w:tmpl w:val="214311F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23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iNTRlODhkM2E2NDVmMTlhZDc3ZWQwMGY2MWJhMDgifQ=="/>
  </w:docVars>
  <w:rsids>
    <w:rsidRoot w:val="00AE46FA"/>
    <w:rsid w:val="00000495"/>
    <w:rsid w:val="000008F3"/>
    <w:rsid w:val="0000632E"/>
    <w:rsid w:val="00010026"/>
    <w:rsid w:val="00035F8F"/>
    <w:rsid w:val="000709BA"/>
    <w:rsid w:val="00085EFC"/>
    <w:rsid w:val="000901C5"/>
    <w:rsid w:val="00092DEC"/>
    <w:rsid w:val="000E5234"/>
    <w:rsid w:val="000F1BA0"/>
    <w:rsid w:val="0011200D"/>
    <w:rsid w:val="001172D3"/>
    <w:rsid w:val="0015008C"/>
    <w:rsid w:val="001765E4"/>
    <w:rsid w:val="00180D00"/>
    <w:rsid w:val="001872B7"/>
    <w:rsid w:val="001B0F90"/>
    <w:rsid w:val="001B345C"/>
    <w:rsid w:val="001C4C76"/>
    <w:rsid w:val="001D113F"/>
    <w:rsid w:val="00230725"/>
    <w:rsid w:val="00242FE8"/>
    <w:rsid w:val="00283F43"/>
    <w:rsid w:val="002911FA"/>
    <w:rsid w:val="002E04C2"/>
    <w:rsid w:val="002E168B"/>
    <w:rsid w:val="002E2308"/>
    <w:rsid w:val="00321243"/>
    <w:rsid w:val="00355B03"/>
    <w:rsid w:val="0036011F"/>
    <w:rsid w:val="003A5021"/>
    <w:rsid w:val="003B5A7E"/>
    <w:rsid w:val="003C08B1"/>
    <w:rsid w:val="003C1193"/>
    <w:rsid w:val="003C5AAD"/>
    <w:rsid w:val="003C79E1"/>
    <w:rsid w:val="003D066C"/>
    <w:rsid w:val="003F7AD3"/>
    <w:rsid w:val="00474F42"/>
    <w:rsid w:val="004C2859"/>
    <w:rsid w:val="004F4F07"/>
    <w:rsid w:val="004F7F75"/>
    <w:rsid w:val="005E3B10"/>
    <w:rsid w:val="005F2034"/>
    <w:rsid w:val="005F6D51"/>
    <w:rsid w:val="00613703"/>
    <w:rsid w:val="00631742"/>
    <w:rsid w:val="00637E93"/>
    <w:rsid w:val="0066365D"/>
    <w:rsid w:val="00666474"/>
    <w:rsid w:val="006A0212"/>
    <w:rsid w:val="006C4215"/>
    <w:rsid w:val="006D39DE"/>
    <w:rsid w:val="006E0FF3"/>
    <w:rsid w:val="006E31A0"/>
    <w:rsid w:val="00711B8B"/>
    <w:rsid w:val="00717B77"/>
    <w:rsid w:val="00730075"/>
    <w:rsid w:val="007716F4"/>
    <w:rsid w:val="00782AC8"/>
    <w:rsid w:val="007A6D30"/>
    <w:rsid w:val="007C678D"/>
    <w:rsid w:val="0081015F"/>
    <w:rsid w:val="00851C48"/>
    <w:rsid w:val="0085657E"/>
    <w:rsid w:val="008854F6"/>
    <w:rsid w:val="0088577C"/>
    <w:rsid w:val="008878C0"/>
    <w:rsid w:val="008E59E0"/>
    <w:rsid w:val="00906EEF"/>
    <w:rsid w:val="00911287"/>
    <w:rsid w:val="00930310"/>
    <w:rsid w:val="009378C2"/>
    <w:rsid w:val="0097169A"/>
    <w:rsid w:val="009909E5"/>
    <w:rsid w:val="009D1541"/>
    <w:rsid w:val="009E4882"/>
    <w:rsid w:val="009F1E01"/>
    <w:rsid w:val="009F2FEC"/>
    <w:rsid w:val="00A15A11"/>
    <w:rsid w:val="00A521B2"/>
    <w:rsid w:val="00A8162B"/>
    <w:rsid w:val="00A8187D"/>
    <w:rsid w:val="00A84E5F"/>
    <w:rsid w:val="00A87233"/>
    <w:rsid w:val="00AA1372"/>
    <w:rsid w:val="00AB1DAA"/>
    <w:rsid w:val="00AE46FA"/>
    <w:rsid w:val="00AF1217"/>
    <w:rsid w:val="00B80AD4"/>
    <w:rsid w:val="00BB0921"/>
    <w:rsid w:val="00BF628E"/>
    <w:rsid w:val="00C00A4B"/>
    <w:rsid w:val="00C528A5"/>
    <w:rsid w:val="00C5548A"/>
    <w:rsid w:val="00C55E76"/>
    <w:rsid w:val="00C96043"/>
    <w:rsid w:val="00CB05C1"/>
    <w:rsid w:val="00CB4CCF"/>
    <w:rsid w:val="00CC7D8D"/>
    <w:rsid w:val="00CF7445"/>
    <w:rsid w:val="00D1183F"/>
    <w:rsid w:val="00D15CA2"/>
    <w:rsid w:val="00D55DA8"/>
    <w:rsid w:val="00D6194E"/>
    <w:rsid w:val="00D65744"/>
    <w:rsid w:val="00D81451"/>
    <w:rsid w:val="00DA6D94"/>
    <w:rsid w:val="00DC1107"/>
    <w:rsid w:val="00DC25ED"/>
    <w:rsid w:val="00DE1ED8"/>
    <w:rsid w:val="00E2730A"/>
    <w:rsid w:val="00E60D28"/>
    <w:rsid w:val="00E97B0A"/>
    <w:rsid w:val="00EB2E5B"/>
    <w:rsid w:val="00EB5607"/>
    <w:rsid w:val="00EC7C4A"/>
    <w:rsid w:val="00F13F57"/>
    <w:rsid w:val="00F2194B"/>
    <w:rsid w:val="00F32DB6"/>
    <w:rsid w:val="00F46CE7"/>
    <w:rsid w:val="00F54FA8"/>
    <w:rsid w:val="00F60245"/>
    <w:rsid w:val="00F6476B"/>
    <w:rsid w:val="00FE3498"/>
    <w:rsid w:val="00FE649B"/>
    <w:rsid w:val="05C72DFB"/>
    <w:rsid w:val="12493186"/>
    <w:rsid w:val="3CC321D3"/>
    <w:rsid w:val="43C02A7C"/>
    <w:rsid w:val="46CD603E"/>
    <w:rsid w:val="6A892A53"/>
    <w:rsid w:val="6C5676C6"/>
    <w:rsid w:val="6EBF7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AA2D0"/>
  <w15:docId w15:val="{DBF759AC-D892-4C9E-9256-C86C271F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eastAsia="楷体_GB2312" w:hAnsi="Cambria"/>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ody Text Indent"/>
    <w:basedOn w:val="a"/>
    <w:link w:val="Char0"/>
    <w:uiPriority w:val="99"/>
    <w:semiHidden/>
    <w:unhideWhenUsed/>
    <w:qFormat/>
    <w:pPr>
      <w:spacing w:after="120"/>
      <w:ind w:leftChars="200" w:left="42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paragraph" w:styleId="20">
    <w:name w:val="Body Text First Indent 2"/>
    <w:basedOn w:val="a4"/>
    <w:link w:val="2Char0"/>
    <w:unhideWhenUsed/>
    <w:qFormat/>
    <w:pPr>
      <w:spacing w:line="360" w:lineRule="auto"/>
      <w:ind w:firstLineChars="200" w:firstLine="420"/>
    </w:pPr>
    <w:rPr>
      <w:szCs w:val="21"/>
    </w:rPr>
  </w:style>
  <w:style w:type="character" w:styleId="a9">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2Char">
    <w:name w:val="标题 2 Char"/>
    <w:basedOn w:val="a0"/>
    <w:link w:val="2"/>
    <w:uiPriority w:val="9"/>
    <w:qFormat/>
    <w:rPr>
      <w:rFonts w:ascii="Cambria" w:eastAsia="楷体_GB2312" w:hAnsi="Cambria" w:cs="Times New Roman"/>
      <w:bCs/>
      <w:sz w:val="32"/>
      <w:szCs w:val="32"/>
    </w:rPr>
  </w:style>
  <w:style w:type="character" w:customStyle="1" w:styleId="Char0">
    <w:name w:val="正文文本缩进 Char"/>
    <w:basedOn w:val="a0"/>
    <w:link w:val="a4"/>
    <w:uiPriority w:val="99"/>
    <w:semiHidden/>
    <w:qFormat/>
    <w:rPr>
      <w:rFonts w:ascii="Times New Roman" w:eastAsia="宋体" w:hAnsi="Times New Roman" w:cs="Times New Roman"/>
      <w:szCs w:val="24"/>
    </w:rPr>
  </w:style>
  <w:style w:type="character" w:customStyle="1" w:styleId="2Char0">
    <w:name w:val="正文首行缩进 2 Char"/>
    <w:basedOn w:val="Char0"/>
    <w:link w:val="20"/>
    <w:qFormat/>
    <w:rPr>
      <w:rFonts w:ascii="Times New Roman" w:eastAsia="宋体" w:hAnsi="Times New Roman" w:cs="Times New Roman"/>
      <w:szCs w:val="21"/>
    </w:rPr>
  </w:style>
  <w:style w:type="character" w:customStyle="1" w:styleId="Char5">
    <w:name w:val="正文仿宋三号 Char"/>
    <w:link w:val="aa"/>
    <w:qFormat/>
    <w:rPr>
      <w:rFonts w:eastAsia="仿宋_GB2312"/>
      <w:sz w:val="32"/>
      <w:szCs w:val="32"/>
    </w:rPr>
  </w:style>
  <w:style w:type="paragraph" w:customStyle="1" w:styleId="aa">
    <w:name w:val="正文仿宋三号"/>
    <w:basedOn w:val="a"/>
    <w:link w:val="Char5"/>
    <w:qFormat/>
    <w:pPr>
      <w:widowControl/>
      <w:spacing w:line="360" w:lineRule="auto"/>
      <w:ind w:firstLineChars="200" w:firstLine="640"/>
    </w:pPr>
    <w:rPr>
      <w:rFonts w:asciiTheme="minorHAnsi" w:eastAsia="仿宋_GB2312" w:hAnsiTheme="minorHAnsi" w:cstheme="minorBidi"/>
      <w:sz w:val="32"/>
      <w:szCs w:val="32"/>
    </w:rPr>
  </w:style>
  <w:style w:type="character" w:customStyle="1" w:styleId="Char1">
    <w:name w:val="批注框文本 Char"/>
    <w:basedOn w:val="a0"/>
    <w:link w:val="a5"/>
    <w:uiPriority w:val="99"/>
    <w:semiHidden/>
    <w:qFormat/>
    <w:rPr>
      <w:rFonts w:ascii="Times New Roman" w:eastAsia="宋体" w:hAnsi="Times New Roman" w:cs="Times New Roman"/>
      <w:kern w:val="2"/>
      <w:sz w:val="18"/>
      <w:szCs w:val="18"/>
    </w:rPr>
  </w:style>
  <w:style w:type="character" w:customStyle="1" w:styleId="Char">
    <w:name w:val="批注文字 Char"/>
    <w:basedOn w:val="a0"/>
    <w:link w:val="a3"/>
    <w:uiPriority w:val="99"/>
    <w:semiHidden/>
    <w:qFormat/>
    <w:rPr>
      <w:rFonts w:ascii="Times New Roman" w:eastAsia="宋体" w:hAnsi="Times New Roman" w:cs="Times New Roman"/>
      <w:kern w:val="2"/>
      <w:sz w:val="21"/>
      <w:szCs w:val="24"/>
    </w:rPr>
  </w:style>
  <w:style w:type="character" w:customStyle="1" w:styleId="Char4">
    <w:name w:val="批注主题 Char"/>
    <w:basedOn w:val="Char"/>
    <w:link w:val="a8"/>
    <w:uiPriority w:val="99"/>
    <w:semiHidden/>
    <w:qFormat/>
    <w:rPr>
      <w:rFonts w:ascii="Times New Roman" w:eastAsia="宋体" w:hAnsi="Times New Roman" w:cs="Times New Roman"/>
      <w:b/>
      <w:bCs/>
      <w:kern w:val="2"/>
      <w:sz w:val="21"/>
      <w:szCs w:val="24"/>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styleId="ab">
    <w:name w:val="Revision"/>
    <w:hidden/>
    <w:uiPriority w:val="99"/>
    <w:unhideWhenUsed/>
    <w:rsid w:val="000008F3"/>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48623</dc:creator>
  <cp:lastModifiedBy>刘自扬</cp:lastModifiedBy>
  <cp:revision>3</cp:revision>
  <dcterms:created xsi:type="dcterms:W3CDTF">2024-01-25T08:05:00Z</dcterms:created>
  <dcterms:modified xsi:type="dcterms:W3CDTF">2024-01-25T09:23:00Z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230C87F200754E73960796F552ADC632_13</vt:lpwstr>
  </property>
</Properties>
</file>