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7528B" w14:textId="77777777" w:rsidR="00153C42" w:rsidRDefault="00153C42">
      <w:pPr>
        <w:adjustRightInd w:val="0"/>
        <w:snapToGrid w:val="0"/>
        <w:spacing w:line="560" w:lineRule="exact"/>
        <w:ind w:firstLineChars="200" w:firstLine="640"/>
        <w:rPr>
          <w:rFonts w:eastAsia="仿宋_GB2312"/>
          <w:sz w:val="32"/>
          <w:szCs w:val="32"/>
        </w:rPr>
      </w:pPr>
    </w:p>
    <w:p w14:paraId="47D698A1" w14:textId="77777777" w:rsidR="00153C42" w:rsidRDefault="00153C42">
      <w:pPr>
        <w:adjustRightInd w:val="0"/>
        <w:snapToGrid w:val="0"/>
        <w:spacing w:line="560" w:lineRule="exact"/>
        <w:ind w:firstLineChars="200" w:firstLine="640"/>
        <w:rPr>
          <w:rFonts w:eastAsia="仿宋_GB2312"/>
          <w:sz w:val="32"/>
          <w:szCs w:val="32"/>
        </w:rPr>
      </w:pPr>
    </w:p>
    <w:p w14:paraId="0EAA352E" w14:textId="77777777" w:rsidR="00153C42" w:rsidRDefault="00153C42">
      <w:pPr>
        <w:adjustRightInd w:val="0"/>
        <w:snapToGrid w:val="0"/>
        <w:spacing w:line="560" w:lineRule="exact"/>
        <w:ind w:firstLineChars="200" w:firstLine="640"/>
        <w:rPr>
          <w:rFonts w:eastAsia="仿宋_GB2312"/>
          <w:sz w:val="32"/>
          <w:szCs w:val="32"/>
        </w:rPr>
      </w:pPr>
    </w:p>
    <w:p w14:paraId="32C6CD46" w14:textId="77777777" w:rsidR="00153C42" w:rsidRDefault="00153C42">
      <w:pPr>
        <w:adjustRightInd w:val="0"/>
        <w:snapToGrid w:val="0"/>
        <w:spacing w:line="560" w:lineRule="exact"/>
        <w:ind w:firstLineChars="200" w:firstLine="640"/>
        <w:rPr>
          <w:rFonts w:eastAsia="仿宋_GB2312"/>
          <w:sz w:val="32"/>
          <w:szCs w:val="32"/>
        </w:rPr>
      </w:pPr>
    </w:p>
    <w:p w14:paraId="0FBDCCAD" w14:textId="77777777" w:rsidR="00153C42" w:rsidRDefault="00153C42">
      <w:pPr>
        <w:adjustRightInd w:val="0"/>
        <w:snapToGrid w:val="0"/>
        <w:spacing w:line="560" w:lineRule="exact"/>
        <w:ind w:firstLineChars="200" w:firstLine="640"/>
        <w:rPr>
          <w:rFonts w:eastAsia="仿宋_GB2312"/>
          <w:sz w:val="32"/>
          <w:szCs w:val="32"/>
        </w:rPr>
      </w:pPr>
    </w:p>
    <w:p w14:paraId="7F61BEF1" w14:textId="77777777" w:rsidR="00153C42" w:rsidRDefault="00153C42">
      <w:pPr>
        <w:adjustRightInd w:val="0"/>
        <w:snapToGrid w:val="0"/>
        <w:spacing w:line="560" w:lineRule="exact"/>
        <w:ind w:firstLineChars="200" w:firstLine="640"/>
        <w:rPr>
          <w:rFonts w:eastAsia="仿宋_GB2312"/>
          <w:sz w:val="32"/>
          <w:szCs w:val="32"/>
        </w:rPr>
      </w:pPr>
    </w:p>
    <w:p w14:paraId="63E7294C" w14:textId="31BF2B01" w:rsidR="00153C42" w:rsidRPr="000E3C56" w:rsidRDefault="00597613">
      <w:pPr>
        <w:adjustRightInd w:val="0"/>
        <w:snapToGrid w:val="0"/>
        <w:spacing w:beforeLines="100" w:before="312" w:afterLines="100" w:after="312" w:line="560" w:lineRule="exact"/>
        <w:jc w:val="center"/>
        <w:rPr>
          <w:rFonts w:ascii="黑体" w:eastAsia="黑体" w:hAnsi="黑体"/>
          <w:b/>
          <w:sz w:val="32"/>
          <w:szCs w:val="32"/>
        </w:rPr>
      </w:pPr>
      <w:r>
        <w:rPr>
          <w:rFonts w:ascii="黑体" w:eastAsia="黑体" w:hAnsi="黑体" w:hint="eastAsia"/>
          <w:b/>
          <w:sz w:val="32"/>
          <w:szCs w:val="32"/>
        </w:rPr>
        <w:t>用于猪脾胃虚弱证</w:t>
      </w:r>
      <w:r w:rsidR="00A144DC" w:rsidRPr="000E3C56">
        <w:rPr>
          <w:rFonts w:ascii="黑体" w:eastAsia="黑体" w:hAnsi="黑体" w:hint="eastAsia"/>
          <w:b/>
          <w:sz w:val="32"/>
          <w:szCs w:val="32"/>
        </w:rPr>
        <w:t>的兽用</w:t>
      </w:r>
      <w:r w:rsidRPr="000E3C56">
        <w:rPr>
          <w:rFonts w:ascii="黑体" w:eastAsia="黑体" w:hAnsi="黑体" w:hint="eastAsia"/>
          <w:b/>
          <w:sz w:val="32"/>
          <w:szCs w:val="32"/>
        </w:rPr>
        <w:t>中药临床研究技术指导原则</w:t>
      </w:r>
    </w:p>
    <w:p w14:paraId="09EB24B4" w14:textId="5559781E" w:rsidR="00A144DC" w:rsidRPr="000E3C56" w:rsidRDefault="00A144DC">
      <w:pPr>
        <w:adjustRightInd w:val="0"/>
        <w:snapToGrid w:val="0"/>
        <w:spacing w:beforeLines="100" w:before="312" w:afterLines="100" w:after="312" w:line="560" w:lineRule="exact"/>
        <w:jc w:val="center"/>
        <w:rPr>
          <w:rFonts w:ascii="黑体" w:eastAsia="黑体" w:hAnsi="黑体"/>
          <w:b/>
          <w:sz w:val="32"/>
          <w:szCs w:val="32"/>
        </w:rPr>
      </w:pPr>
      <w:r w:rsidRPr="000E3C56">
        <w:rPr>
          <w:rFonts w:ascii="黑体" w:eastAsia="黑体" w:hAnsi="黑体" w:hint="eastAsia"/>
          <w:b/>
          <w:sz w:val="32"/>
          <w:szCs w:val="32"/>
        </w:rPr>
        <w:t>(征求意见稿)</w:t>
      </w:r>
    </w:p>
    <w:p w14:paraId="36282B4A" w14:textId="77777777" w:rsidR="00153C42" w:rsidRDefault="00153C42">
      <w:pPr>
        <w:adjustRightInd w:val="0"/>
        <w:snapToGrid w:val="0"/>
        <w:spacing w:beforeLines="100" w:before="312" w:afterLines="100" w:after="312" w:line="560" w:lineRule="exact"/>
        <w:jc w:val="center"/>
        <w:rPr>
          <w:rFonts w:eastAsia="仿宋_GB2312"/>
          <w:sz w:val="32"/>
          <w:szCs w:val="32"/>
        </w:rPr>
      </w:pPr>
    </w:p>
    <w:p w14:paraId="3E119830" w14:textId="77777777" w:rsidR="00153C42" w:rsidRDefault="00153C42">
      <w:pPr>
        <w:adjustRightInd w:val="0"/>
        <w:snapToGrid w:val="0"/>
        <w:spacing w:line="560" w:lineRule="exact"/>
        <w:ind w:firstLineChars="200" w:firstLine="640"/>
        <w:rPr>
          <w:rFonts w:eastAsia="仿宋_GB2312"/>
          <w:sz w:val="32"/>
          <w:szCs w:val="32"/>
        </w:rPr>
      </w:pPr>
    </w:p>
    <w:p w14:paraId="44084F44" w14:textId="77777777" w:rsidR="00153C42" w:rsidRDefault="00153C42">
      <w:pPr>
        <w:adjustRightInd w:val="0"/>
        <w:snapToGrid w:val="0"/>
        <w:spacing w:line="560" w:lineRule="exact"/>
        <w:ind w:firstLineChars="200" w:firstLine="640"/>
        <w:rPr>
          <w:rFonts w:eastAsia="仿宋_GB2312"/>
          <w:sz w:val="32"/>
          <w:szCs w:val="32"/>
        </w:rPr>
      </w:pPr>
    </w:p>
    <w:p w14:paraId="0DD5B7C7" w14:textId="77777777" w:rsidR="00153C42" w:rsidRDefault="00153C42">
      <w:pPr>
        <w:adjustRightInd w:val="0"/>
        <w:snapToGrid w:val="0"/>
        <w:spacing w:line="560" w:lineRule="exact"/>
        <w:ind w:firstLineChars="200" w:firstLine="640"/>
        <w:rPr>
          <w:rFonts w:eastAsia="仿宋_GB2312"/>
          <w:sz w:val="32"/>
          <w:szCs w:val="32"/>
        </w:rPr>
      </w:pPr>
    </w:p>
    <w:p w14:paraId="5AF7F920" w14:textId="77777777" w:rsidR="00153C42" w:rsidRDefault="00153C42">
      <w:pPr>
        <w:adjustRightInd w:val="0"/>
        <w:snapToGrid w:val="0"/>
        <w:spacing w:line="560" w:lineRule="exact"/>
        <w:ind w:firstLineChars="200" w:firstLine="640"/>
        <w:rPr>
          <w:rFonts w:eastAsia="仿宋_GB2312"/>
          <w:sz w:val="32"/>
          <w:szCs w:val="32"/>
        </w:rPr>
      </w:pPr>
    </w:p>
    <w:p w14:paraId="761D246D" w14:textId="77777777" w:rsidR="00153C42" w:rsidRDefault="00153C42">
      <w:pPr>
        <w:adjustRightInd w:val="0"/>
        <w:snapToGrid w:val="0"/>
        <w:spacing w:line="560" w:lineRule="exact"/>
        <w:ind w:firstLineChars="200" w:firstLine="640"/>
        <w:rPr>
          <w:rFonts w:eastAsia="仿宋_GB2312"/>
          <w:sz w:val="32"/>
          <w:szCs w:val="32"/>
        </w:rPr>
      </w:pPr>
    </w:p>
    <w:p w14:paraId="570B67B3" w14:textId="77777777" w:rsidR="00153C42" w:rsidRDefault="00153C42">
      <w:pPr>
        <w:adjustRightInd w:val="0"/>
        <w:snapToGrid w:val="0"/>
        <w:spacing w:line="560" w:lineRule="exact"/>
        <w:ind w:firstLineChars="200" w:firstLine="640"/>
        <w:rPr>
          <w:rFonts w:eastAsia="仿宋_GB2312"/>
          <w:sz w:val="32"/>
          <w:szCs w:val="32"/>
        </w:rPr>
      </w:pPr>
    </w:p>
    <w:p w14:paraId="6B9632D7" w14:textId="77777777" w:rsidR="00153C42" w:rsidRDefault="00153C42">
      <w:pPr>
        <w:adjustRightInd w:val="0"/>
        <w:snapToGrid w:val="0"/>
        <w:spacing w:line="560" w:lineRule="exact"/>
        <w:ind w:firstLineChars="200" w:firstLine="640"/>
        <w:rPr>
          <w:rFonts w:eastAsia="仿宋_GB2312"/>
          <w:sz w:val="32"/>
          <w:szCs w:val="32"/>
        </w:rPr>
      </w:pPr>
    </w:p>
    <w:p w14:paraId="7C2942C2" w14:textId="77777777" w:rsidR="00153C42" w:rsidRDefault="00153C42">
      <w:pPr>
        <w:adjustRightInd w:val="0"/>
        <w:snapToGrid w:val="0"/>
        <w:spacing w:line="560" w:lineRule="exact"/>
        <w:ind w:firstLineChars="200" w:firstLine="640"/>
        <w:rPr>
          <w:rFonts w:eastAsia="仿宋_GB2312"/>
          <w:sz w:val="32"/>
          <w:szCs w:val="32"/>
        </w:rPr>
      </w:pPr>
    </w:p>
    <w:p w14:paraId="55F318F7" w14:textId="77777777" w:rsidR="00153C42" w:rsidRDefault="00153C42">
      <w:pPr>
        <w:adjustRightInd w:val="0"/>
        <w:snapToGrid w:val="0"/>
        <w:spacing w:line="560" w:lineRule="exact"/>
        <w:ind w:firstLineChars="200" w:firstLine="640"/>
        <w:rPr>
          <w:rFonts w:eastAsia="仿宋_GB2312"/>
          <w:sz w:val="32"/>
          <w:szCs w:val="32"/>
        </w:rPr>
      </w:pPr>
    </w:p>
    <w:p w14:paraId="6A11ABBF" w14:textId="77777777" w:rsidR="00153C42" w:rsidRDefault="00153C42">
      <w:pPr>
        <w:adjustRightInd w:val="0"/>
        <w:snapToGrid w:val="0"/>
        <w:spacing w:line="560" w:lineRule="exact"/>
        <w:ind w:firstLineChars="200" w:firstLine="640"/>
        <w:rPr>
          <w:rFonts w:eastAsia="仿宋_GB2312"/>
          <w:sz w:val="32"/>
          <w:szCs w:val="32"/>
        </w:rPr>
      </w:pPr>
    </w:p>
    <w:p w14:paraId="42F6AD6E" w14:textId="77777777" w:rsidR="00153C42" w:rsidRDefault="00153C42">
      <w:pPr>
        <w:adjustRightInd w:val="0"/>
        <w:snapToGrid w:val="0"/>
        <w:spacing w:line="560" w:lineRule="exact"/>
        <w:ind w:firstLineChars="200" w:firstLine="640"/>
        <w:rPr>
          <w:rFonts w:eastAsia="仿宋_GB2312"/>
          <w:sz w:val="32"/>
          <w:szCs w:val="32"/>
        </w:rPr>
      </w:pPr>
    </w:p>
    <w:p w14:paraId="0C683625" w14:textId="77777777" w:rsidR="00153C42" w:rsidRDefault="00153C42">
      <w:pPr>
        <w:adjustRightInd w:val="0"/>
        <w:snapToGrid w:val="0"/>
        <w:spacing w:line="560" w:lineRule="exact"/>
        <w:ind w:firstLineChars="200" w:firstLine="640"/>
        <w:rPr>
          <w:rFonts w:eastAsia="仿宋_GB2312"/>
          <w:sz w:val="32"/>
          <w:szCs w:val="32"/>
        </w:rPr>
      </w:pPr>
    </w:p>
    <w:p w14:paraId="14F1F379" w14:textId="77777777" w:rsidR="00153C42" w:rsidRDefault="00153C42">
      <w:pPr>
        <w:adjustRightInd w:val="0"/>
        <w:snapToGrid w:val="0"/>
        <w:spacing w:line="560" w:lineRule="exact"/>
        <w:ind w:firstLineChars="200" w:firstLine="640"/>
        <w:rPr>
          <w:rFonts w:eastAsia="仿宋_GB2312"/>
          <w:sz w:val="32"/>
          <w:szCs w:val="32"/>
        </w:rPr>
      </w:pPr>
    </w:p>
    <w:p w14:paraId="2DE97139" w14:textId="77777777" w:rsidR="00153C42" w:rsidRPr="009F75A5" w:rsidRDefault="00597613" w:rsidP="009F75A5">
      <w:pPr>
        <w:adjustRightInd w:val="0"/>
        <w:snapToGrid w:val="0"/>
        <w:spacing w:line="560" w:lineRule="exact"/>
        <w:ind w:firstLineChars="200" w:firstLine="640"/>
        <w:rPr>
          <w:rFonts w:ascii="黑体" w:eastAsia="黑体" w:hAnsi="黑体" w:cs="黑体"/>
          <w:bCs/>
          <w:sz w:val="32"/>
          <w:szCs w:val="32"/>
        </w:rPr>
      </w:pPr>
      <w:r w:rsidRPr="009F75A5">
        <w:rPr>
          <w:rFonts w:ascii="黑体" w:eastAsia="黑体" w:hAnsi="黑体" w:cs="黑体" w:hint="eastAsia"/>
          <w:bCs/>
          <w:sz w:val="32"/>
          <w:szCs w:val="32"/>
        </w:rPr>
        <w:lastRenderedPageBreak/>
        <w:t>一、概述</w:t>
      </w:r>
    </w:p>
    <w:p w14:paraId="6FA971B1" w14:textId="77777777" w:rsidR="00153C42" w:rsidRDefault="00597613" w:rsidP="006F2EF5">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有效性的重要依据，为保证兽用中药临床试验结论的确实可靠，本指导原则旨在通过科学、系统地分辨猪脾胃虚弱证证候特点及其演变规律，对诊断标准、纳入标准和疗效评价进行了统一，同时，解决中兽医诊断条目缺乏权重等问题，促进其在兽医临床与科研中的应用，为中兽医临床精准辨治猪脾胃虚弱证，开展有效性评价提供指导。研究者应根据本指导原则要求，结合猪的地域和品种等因素的影响，在具体实施过程中，可依照实际情况灵活调整。研究应以安全性和有效性为纲，贯穿整个目标适应症研究的始终，增强临床辨治研究的科学性，可靠性和一致性。</w:t>
      </w:r>
    </w:p>
    <w:p w14:paraId="527B9946" w14:textId="77777777" w:rsidR="00153C42" w:rsidRDefault="00597613" w:rsidP="006F2EF5">
      <w:pPr>
        <w:adjustRightInd w:val="0"/>
        <w:snapToGrid w:val="0"/>
        <w:spacing w:line="560" w:lineRule="exact"/>
        <w:ind w:firstLineChars="200" w:firstLine="640"/>
        <w:rPr>
          <w:rFonts w:eastAsia="仿宋_GB2312"/>
          <w:sz w:val="32"/>
          <w:szCs w:val="32"/>
        </w:rPr>
      </w:pPr>
      <w:r>
        <w:rPr>
          <w:rFonts w:eastAsia="仿宋_GB2312" w:hint="eastAsia"/>
          <w:sz w:val="32"/>
          <w:szCs w:val="32"/>
        </w:rPr>
        <w:t>脾胃虚弱证多由于冬春气候寒冷，畜舍潮湿，饲养管理不良，饮喂失宜；或喂以霉败变质、粗糙的饲料；或喂给过冷过热的饲料或饮水；或突然喂给较好的饲料而采食过多，伤害脾胃。或长期营养不足，化源不足，或饮食不洁，或母猪奶水充足，仔猪过食而致食积发生消化不良，损伤脾胃，或奶水不足，营养不良，或虫积，如蛔虫，绦虫、姜片形虫等致营养不良，或久病失治，胃弱则不能受纳，脾虚则不能运化，脾胃功能失常而导致本病。常见于老龄母猪或仔猪，或身体素虚</w:t>
      </w:r>
      <w:r>
        <w:rPr>
          <w:rFonts w:eastAsia="仿宋_GB2312"/>
          <w:sz w:val="32"/>
          <w:szCs w:val="32"/>
        </w:rPr>
        <w:t>，</w:t>
      </w:r>
      <w:r>
        <w:rPr>
          <w:rFonts w:eastAsia="仿宋_GB2312" w:hint="eastAsia"/>
          <w:sz w:val="32"/>
          <w:szCs w:val="32"/>
        </w:rPr>
        <w:t>或早配、早产、过产气血耗损太过，或仔猪先天发育不良，身体体质孱弱，或久病等均致脾气虚弱，胃气不足。脾气虚，则运化失调，清不升，浊不降，水湿停留于胃肠致消化不良，完谷不化，发生飧泻；脾气受损，胃主受</w:t>
      </w:r>
      <w:r>
        <w:rPr>
          <w:rFonts w:eastAsia="仿宋_GB2312" w:hint="eastAsia"/>
          <w:sz w:val="32"/>
          <w:szCs w:val="32"/>
        </w:rPr>
        <w:lastRenderedPageBreak/>
        <w:t>纳功能失权致腑气不通，故见肚腹胀满，食欲降低，甚至慢食不食。脾主肌肉四肢，故见脾虚病猪神情呆滞，精神萎顿，皮毛焦枯，体瘦，运步缓慢无力，喜卧懒动。另外，胃气不得蒸腾，故见鼻盘无汗，或时有时无，口色淡白，舌体胖嫩，舌苔白腻或薄黄。在繁育母猪中，严重者因脾胃虚致气虚不足以鼓动腑气传导，也可见便秘尿闭症候，表现为排便困难，粪球干小，小便排出困难的临床表现。而仔猪还常常出现生长发育停滞或滞缓，表现为“僵猪”。现代兽医学中有关体质孱弱，消化吸收功能不良，营养不良，贫血，胃肠迟缓或产后肠、膀胱的麻痹，以及寄生虫病等病理过程中常见脾胃虚弱证候，临床上可以将这类疾病病理过程中见有该证证候的病例纳入脾胃虚弱证进行辨治。</w:t>
      </w:r>
    </w:p>
    <w:p w14:paraId="6AB3E393" w14:textId="36E3E72C" w:rsidR="00153C42" w:rsidRDefault="00597613" w:rsidP="006F2EF5">
      <w:pPr>
        <w:adjustRightInd w:val="0"/>
        <w:snapToGrid w:val="0"/>
        <w:spacing w:line="560" w:lineRule="exact"/>
        <w:ind w:firstLineChars="200" w:firstLine="643"/>
        <w:rPr>
          <w:rFonts w:eastAsia="仿宋_GB2312"/>
          <w:b/>
          <w:sz w:val="32"/>
          <w:szCs w:val="32"/>
        </w:rPr>
      </w:pPr>
      <w:r>
        <w:rPr>
          <w:rFonts w:ascii="黑体" w:eastAsia="黑体" w:hAnsi="黑体" w:cs="黑体" w:hint="eastAsia"/>
          <w:b/>
          <w:sz w:val="32"/>
          <w:szCs w:val="32"/>
        </w:rPr>
        <w:t>二、临床研究要点</w:t>
      </w:r>
    </w:p>
    <w:p w14:paraId="122E73BE" w14:textId="0F75D0EC" w:rsidR="00153C42" w:rsidRDefault="00597613" w:rsidP="006F2EF5">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动物的安全性及</w:t>
      </w:r>
      <w:r>
        <w:rPr>
          <w:rFonts w:eastAsia="仿宋_GB2312"/>
          <w:sz w:val="32"/>
          <w:szCs w:val="32"/>
        </w:rPr>
        <w:t>目标适应症</w:t>
      </w:r>
      <w:r>
        <w:rPr>
          <w:rFonts w:eastAsia="仿宋_GB2312" w:hint="eastAsia"/>
          <w:sz w:val="32"/>
          <w:szCs w:val="32"/>
        </w:rPr>
        <w:t>的</w:t>
      </w:r>
      <w:r>
        <w:rPr>
          <w:rFonts w:eastAsia="仿宋_GB2312"/>
          <w:sz w:val="32"/>
          <w:szCs w:val="32"/>
        </w:rPr>
        <w:t>有效性。在开展</w:t>
      </w:r>
      <w:r w:rsidR="000E3C56" w:rsidRPr="000E3C56">
        <w:rPr>
          <w:rFonts w:eastAsia="仿宋_GB2312" w:hint="eastAsia"/>
          <w:sz w:val="32"/>
          <w:szCs w:val="32"/>
        </w:rPr>
        <w:t>兽用中药新药</w:t>
      </w:r>
      <w:r>
        <w:rPr>
          <w:rFonts w:eastAsia="仿宋_GB2312"/>
          <w:sz w:val="32"/>
          <w:szCs w:val="32"/>
        </w:rPr>
        <w:t>的临床试验时，应关注药物临床试验的目的与定位、疾病诊断标准、纳入</w:t>
      </w:r>
      <w:r>
        <w:rPr>
          <w:rFonts w:eastAsia="仿宋_GB2312" w:hint="eastAsia"/>
          <w:sz w:val="32"/>
          <w:szCs w:val="32"/>
        </w:rPr>
        <w:t>动物情况</w:t>
      </w:r>
      <w:r>
        <w:rPr>
          <w:rFonts w:eastAsia="仿宋_GB2312"/>
          <w:sz w:val="32"/>
          <w:szCs w:val="32"/>
        </w:rPr>
        <w:t>、试验设计与研究方法、给药方案、疗程及疗效观察时点、疗效观察指标、安全性研究与评价以及统计学要求等问题。</w:t>
      </w:r>
    </w:p>
    <w:p w14:paraId="1B1B04BC" w14:textId="77777777" w:rsidR="00153C42" w:rsidRDefault="00597613" w:rsidP="009F75A5">
      <w:pPr>
        <w:adjustRightInd w:val="0"/>
        <w:snapToGrid w:val="0"/>
        <w:spacing w:line="560" w:lineRule="exact"/>
        <w:ind w:firstLineChars="200" w:firstLine="643"/>
        <w:rPr>
          <w:rFonts w:eastAsia="楷体_GB2312"/>
          <w:b/>
          <w:sz w:val="32"/>
          <w:szCs w:val="32"/>
        </w:rPr>
      </w:pPr>
      <w:bookmarkStart w:id="0" w:name="_Toc30966"/>
      <w:r>
        <w:rPr>
          <w:rFonts w:eastAsia="楷体_GB2312" w:hint="eastAsia"/>
          <w:b/>
          <w:sz w:val="32"/>
          <w:szCs w:val="32"/>
        </w:rPr>
        <w:t>（一）临床试验目的和定位</w:t>
      </w:r>
      <w:bookmarkEnd w:id="0"/>
    </w:p>
    <w:p w14:paraId="7691696D" w14:textId="4AF876C9" w:rsidR="00153C42" w:rsidRPr="000E3C56" w:rsidRDefault="00A144DC" w:rsidP="006F2EF5">
      <w:pPr>
        <w:adjustRightInd w:val="0"/>
        <w:snapToGrid w:val="0"/>
        <w:spacing w:line="560" w:lineRule="exact"/>
        <w:ind w:firstLineChars="200" w:firstLine="640"/>
        <w:rPr>
          <w:rFonts w:eastAsia="仿宋_GB2312"/>
          <w:sz w:val="32"/>
          <w:szCs w:val="32"/>
        </w:rPr>
      </w:pPr>
      <w:bookmarkStart w:id="1" w:name="_GoBack"/>
      <w:r w:rsidRPr="000E3C56">
        <w:rPr>
          <w:rFonts w:eastAsia="仿宋_GB2312" w:hint="eastAsia"/>
          <w:sz w:val="32"/>
          <w:szCs w:val="32"/>
        </w:rPr>
        <w:t>兽用中药新药</w:t>
      </w:r>
      <w:r w:rsidR="00597613" w:rsidRPr="000E3C56">
        <w:rPr>
          <w:rFonts w:eastAsia="仿宋_GB2312"/>
          <w:sz w:val="32"/>
          <w:szCs w:val="32"/>
        </w:rPr>
        <w:t>用于</w:t>
      </w:r>
      <w:r w:rsidR="00597613" w:rsidRPr="000E3C56">
        <w:rPr>
          <w:rFonts w:eastAsia="仿宋_GB2312" w:hint="eastAsia"/>
          <w:sz w:val="32"/>
          <w:szCs w:val="32"/>
        </w:rPr>
        <w:t>治疗猪脾胃虚弱证的</w:t>
      </w:r>
      <w:r w:rsidR="00597613" w:rsidRPr="000E3C56">
        <w:rPr>
          <w:rFonts w:eastAsia="仿宋_GB2312"/>
          <w:sz w:val="32"/>
          <w:szCs w:val="32"/>
        </w:rPr>
        <w:t>临床试验，应是目标明确、设计科学、质量可控和实施规范的一系列研究过程。开展临床试验的首要问题是根据临床</w:t>
      </w:r>
      <w:r w:rsidR="00597613" w:rsidRPr="000E3C56">
        <w:rPr>
          <w:rFonts w:eastAsia="仿宋_GB2312" w:hint="eastAsia"/>
          <w:sz w:val="32"/>
          <w:szCs w:val="32"/>
        </w:rPr>
        <w:t>前</w:t>
      </w:r>
      <w:r w:rsidR="00597613" w:rsidRPr="000E3C56">
        <w:rPr>
          <w:rFonts w:eastAsia="仿宋_GB2312"/>
          <w:sz w:val="32"/>
          <w:szCs w:val="32"/>
        </w:rPr>
        <w:t>研究结果，拟定研究的目的，明确</w:t>
      </w:r>
      <w:r w:rsidRPr="000E3C56">
        <w:rPr>
          <w:rFonts w:eastAsia="仿宋_GB2312" w:hint="eastAsia"/>
          <w:sz w:val="32"/>
          <w:szCs w:val="32"/>
        </w:rPr>
        <w:t>兽用中药新药</w:t>
      </w:r>
      <w:r w:rsidR="00597613" w:rsidRPr="000E3C56">
        <w:rPr>
          <w:rFonts w:eastAsia="仿宋_GB2312" w:hint="eastAsia"/>
          <w:sz w:val="32"/>
          <w:szCs w:val="32"/>
        </w:rPr>
        <w:t>的适应症</w:t>
      </w:r>
      <w:r w:rsidR="00597613" w:rsidRPr="000E3C56">
        <w:rPr>
          <w:rFonts w:eastAsia="仿宋_GB2312"/>
          <w:sz w:val="32"/>
          <w:szCs w:val="32"/>
        </w:rPr>
        <w:t>，确定</w:t>
      </w:r>
      <w:r w:rsidRPr="000E3C56">
        <w:rPr>
          <w:rFonts w:eastAsia="仿宋_GB2312" w:hint="eastAsia"/>
          <w:sz w:val="32"/>
          <w:szCs w:val="32"/>
        </w:rPr>
        <w:t>其</w:t>
      </w:r>
      <w:r w:rsidR="00597613" w:rsidRPr="000E3C56">
        <w:rPr>
          <w:rFonts w:eastAsia="仿宋_GB2312" w:hint="eastAsia"/>
          <w:sz w:val="32"/>
          <w:szCs w:val="32"/>
        </w:rPr>
        <w:t>临床应用</w:t>
      </w:r>
      <w:r w:rsidR="00597613" w:rsidRPr="000E3C56">
        <w:rPr>
          <w:rFonts w:eastAsia="仿宋_GB2312" w:hint="eastAsia"/>
          <w:sz w:val="32"/>
          <w:szCs w:val="32"/>
        </w:rPr>
        <w:lastRenderedPageBreak/>
        <w:t>的功能主治</w:t>
      </w:r>
      <w:r w:rsidR="00597613" w:rsidRPr="000E3C56">
        <w:rPr>
          <w:rFonts w:eastAsia="仿宋_GB2312"/>
          <w:sz w:val="32"/>
          <w:szCs w:val="32"/>
        </w:rPr>
        <w:t>定位。</w:t>
      </w:r>
    </w:p>
    <w:p w14:paraId="43865F3A" w14:textId="33EF7293" w:rsidR="00153C42" w:rsidRPr="000E3C56" w:rsidRDefault="00A144DC" w:rsidP="006F2EF5">
      <w:pPr>
        <w:adjustRightInd w:val="0"/>
        <w:snapToGrid w:val="0"/>
        <w:spacing w:line="560" w:lineRule="exact"/>
        <w:ind w:firstLineChars="200" w:firstLine="640"/>
        <w:rPr>
          <w:rFonts w:eastAsia="仿宋_GB2312"/>
          <w:bCs/>
          <w:sz w:val="32"/>
          <w:szCs w:val="32"/>
        </w:rPr>
      </w:pPr>
      <w:r w:rsidRPr="000E3C56">
        <w:rPr>
          <w:rFonts w:eastAsia="仿宋_GB2312" w:hint="eastAsia"/>
          <w:sz w:val="32"/>
          <w:szCs w:val="32"/>
        </w:rPr>
        <w:t>兽用中药新药</w:t>
      </w:r>
      <w:r w:rsidR="00597613" w:rsidRPr="000E3C56">
        <w:rPr>
          <w:rFonts w:eastAsia="仿宋_GB2312" w:hint="eastAsia"/>
          <w:bCs/>
          <w:sz w:val="32"/>
          <w:szCs w:val="32"/>
        </w:rPr>
        <w:t>用</w:t>
      </w:r>
      <w:bookmarkStart w:id="2" w:name="_Hlk140913642"/>
      <w:r w:rsidRPr="000E3C56">
        <w:rPr>
          <w:rFonts w:eastAsia="仿宋_GB2312" w:hint="eastAsia"/>
          <w:bCs/>
          <w:sz w:val="32"/>
          <w:szCs w:val="32"/>
        </w:rPr>
        <w:t>于</w:t>
      </w:r>
      <w:r w:rsidR="00597613" w:rsidRPr="000E3C56">
        <w:rPr>
          <w:rFonts w:eastAsia="仿宋_GB2312" w:hint="eastAsia"/>
          <w:bCs/>
          <w:sz w:val="32"/>
          <w:szCs w:val="32"/>
        </w:rPr>
        <w:t>治</w:t>
      </w:r>
      <w:bookmarkEnd w:id="2"/>
      <w:r w:rsidRPr="000E3C56">
        <w:rPr>
          <w:rFonts w:eastAsia="仿宋_GB2312" w:hint="eastAsia"/>
          <w:bCs/>
          <w:sz w:val="32"/>
          <w:szCs w:val="32"/>
        </w:rPr>
        <w:t>疗</w:t>
      </w:r>
      <w:r w:rsidR="00597613" w:rsidRPr="000E3C56">
        <w:rPr>
          <w:rFonts w:eastAsia="仿宋_GB2312" w:hint="eastAsia"/>
          <w:bCs/>
          <w:sz w:val="32"/>
          <w:szCs w:val="32"/>
        </w:rPr>
        <w:t>猪脾胃虚弱证的临床定位为干预猪脾胃虚弱证的发生、发展与转归，改善或消除症状，恢复或提高生产性能。</w:t>
      </w:r>
    </w:p>
    <w:p w14:paraId="15000BD0" w14:textId="77777777" w:rsidR="00153C42" w:rsidRPr="000E3C56" w:rsidRDefault="00597613" w:rsidP="006F2EF5">
      <w:pPr>
        <w:adjustRightInd w:val="0"/>
        <w:snapToGrid w:val="0"/>
        <w:spacing w:line="560" w:lineRule="exact"/>
        <w:ind w:firstLineChars="200" w:firstLine="640"/>
        <w:rPr>
          <w:rFonts w:eastAsia="仿宋_GB2312"/>
          <w:sz w:val="32"/>
          <w:szCs w:val="32"/>
        </w:rPr>
      </w:pPr>
      <w:r w:rsidRPr="000E3C56">
        <w:rPr>
          <w:rFonts w:eastAsia="仿宋_GB2312" w:hint="eastAsia"/>
          <w:bCs/>
          <w:sz w:val="32"/>
          <w:szCs w:val="32"/>
        </w:rPr>
        <w:t>一般可从以下几方面考虑：</w:t>
      </w:r>
    </w:p>
    <w:bookmarkEnd w:id="1"/>
    <w:p w14:paraId="3DD1F8F0" w14:textId="60285840" w:rsidR="00153C42" w:rsidRDefault="00597613" w:rsidP="006F2EF5">
      <w:pPr>
        <w:adjustRightInd w:val="0"/>
        <w:snapToGrid w:val="0"/>
        <w:spacing w:line="560" w:lineRule="exact"/>
        <w:ind w:firstLineChars="200" w:firstLine="643"/>
        <w:rPr>
          <w:rFonts w:eastAsia="仿宋_GB2312"/>
          <w:sz w:val="32"/>
          <w:szCs w:val="32"/>
        </w:rPr>
      </w:pPr>
      <w:r>
        <w:rPr>
          <w:rFonts w:eastAsia="仿宋_GB2312"/>
          <w:b/>
          <w:bCs/>
          <w:sz w:val="32"/>
          <w:szCs w:val="32"/>
        </w:rPr>
        <w:t>1.</w:t>
      </w:r>
      <w:r w:rsidR="002D1A06">
        <w:rPr>
          <w:rFonts w:eastAsia="仿宋_GB2312"/>
          <w:b/>
          <w:bCs/>
          <w:sz w:val="32"/>
          <w:szCs w:val="32"/>
        </w:rPr>
        <w:t xml:space="preserve"> </w:t>
      </w:r>
      <w:r>
        <w:rPr>
          <w:rFonts w:eastAsia="仿宋_GB2312" w:hint="eastAsia"/>
          <w:b/>
          <w:bCs/>
          <w:sz w:val="32"/>
          <w:szCs w:val="32"/>
        </w:rPr>
        <w:t>消除或改善病猪食欲不良，粪便稀糙甚则完谷不化，或便秘</w:t>
      </w:r>
      <w:r>
        <w:rPr>
          <w:rFonts w:eastAsia="仿宋_GB2312"/>
          <w:sz w:val="32"/>
          <w:szCs w:val="32"/>
        </w:rPr>
        <w:t>等</w:t>
      </w:r>
      <w:r>
        <w:rPr>
          <w:rFonts w:eastAsia="仿宋_GB2312" w:hint="eastAsia"/>
          <w:sz w:val="32"/>
          <w:szCs w:val="32"/>
        </w:rPr>
        <w:t>主要症状</w:t>
      </w:r>
      <w:r>
        <w:rPr>
          <w:rFonts w:eastAsia="仿宋_GB2312"/>
          <w:sz w:val="32"/>
          <w:szCs w:val="32"/>
        </w:rPr>
        <w:t>。</w:t>
      </w:r>
    </w:p>
    <w:p w14:paraId="3B47E8E1" w14:textId="3BB2FA36" w:rsidR="00153C42" w:rsidRDefault="00597613" w:rsidP="006F2EF5">
      <w:pPr>
        <w:adjustRightInd w:val="0"/>
        <w:snapToGrid w:val="0"/>
        <w:spacing w:line="560" w:lineRule="exact"/>
        <w:ind w:firstLineChars="200" w:firstLine="643"/>
        <w:rPr>
          <w:rFonts w:eastAsia="仿宋_GB2312"/>
          <w:b/>
          <w:bCs/>
          <w:sz w:val="32"/>
          <w:szCs w:val="32"/>
        </w:rPr>
      </w:pPr>
      <w:r>
        <w:rPr>
          <w:rFonts w:eastAsia="仿宋_GB2312"/>
          <w:b/>
          <w:bCs/>
          <w:sz w:val="32"/>
          <w:szCs w:val="32"/>
        </w:rPr>
        <w:t>2.</w:t>
      </w:r>
      <w:r w:rsidR="002D1A06">
        <w:rPr>
          <w:rFonts w:eastAsia="仿宋_GB2312"/>
          <w:b/>
          <w:bCs/>
          <w:sz w:val="32"/>
          <w:szCs w:val="32"/>
        </w:rPr>
        <w:t xml:space="preserve"> </w:t>
      </w:r>
      <w:r>
        <w:rPr>
          <w:rFonts w:eastAsia="仿宋_GB2312" w:hint="eastAsia"/>
          <w:b/>
          <w:bCs/>
          <w:sz w:val="32"/>
          <w:szCs w:val="32"/>
        </w:rPr>
        <w:t>改善猪脾胃虚弱证的整体状况</w:t>
      </w:r>
      <w:r>
        <w:rPr>
          <w:rFonts w:eastAsia="仿宋_GB2312"/>
          <w:sz w:val="32"/>
          <w:szCs w:val="32"/>
        </w:rPr>
        <w:t xml:space="preserve"> </w:t>
      </w:r>
      <w:r>
        <w:rPr>
          <w:rFonts w:eastAsia="仿宋_GB2312"/>
          <w:sz w:val="32"/>
          <w:szCs w:val="32"/>
        </w:rPr>
        <w:t>通过治疗</w:t>
      </w:r>
      <w:r>
        <w:rPr>
          <w:rFonts w:eastAsia="仿宋_GB2312" w:hint="eastAsia"/>
          <w:sz w:val="32"/>
          <w:szCs w:val="32"/>
        </w:rPr>
        <w:t>猪脾胃虚弱证</w:t>
      </w:r>
      <w:r>
        <w:rPr>
          <w:rFonts w:eastAsia="仿宋_GB2312"/>
          <w:sz w:val="32"/>
          <w:szCs w:val="32"/>
        </w:rPr>
        <w:t>，改善</w:t>
      </w:r>
      <w:r>
        <w:rPr>
          <w:rFonts w:eastAsia="仿宋_GB2312" w:hint="eastAsia"/>
          <w:sz w:val="32"/>
          <w:szCs w:val="32"/>
        </w:rPr>
        <w:t>病猪精神</w:t>
      </w:r>
      <w:r>
        <w:rPr>
          <w:rFonts w:eastAsia="仿宋_GB2312"/>
          <w:sz w:val="32"/>
          <w:szCs w:val="32"/>
        </w:rPr>
        <w:t>状态，</w:t>
      </w:r>
      <w:r>
        <w:rPr>
          <w:rFonts w:eastAsia="仿宋_GB2312" w:hint="eastAsia"/>
          <w:sz w:val="32"/>
          <w:szCs w:val="32"/>
        </w:rPr>
        <w:t>使其口色、体温、生产性能等恢复正常</w:t>
      </w:r>
      <w:r>
        <w:rPr>
          <w:rFonts w:eastAsia="仿宋_GB2312"/>
          <w:sz w:val="32"/>
          <w:szCs w:val="32"/>
        </w:rPr>
        <w:t>。</w:t>
      </w:r>
    </w:p>
    <w:p w14:paraId="50BDC379" w14:textId="162DAA74" w:rsidR="00153C42" w:rsidRDefault="00597613" w:rsidP="006F2EF5">
      <w:pPr>
        <w:adjustRightInd w:val="0"/>
        <w:snapToGrid w:val="0"/>
        <w:spacing w:line="560" w:lineRule="exact"/>
        <w:ind w:firstLineChars="200" w:firstLine="643"/>
        <w:rPr>
          <w:rFonts w:eastAsia="仿宋_GB2312"/>
          <w:sz w:val="32"/>
          <w:szCs w:val="32"/>
        </w:rPr>
      </w:pPr>
      <w:r>
        <w:rPr>
          <w:rFonts w:eastAsia="仿宋_GB2312"/>
          <w:b/>
          <w:bCs/>
          <w:sz w:val="32"/>
          <w:szCs w:val="32"/>
        </w:rPr>
        <w:t>3.</w:t>
      </w:r>
      <w:r w:rsidR="002D1A06">
        <w:rPr>
          <w:rFonts w:eastAsia="仿宋_GB2312"/>
          <w:b/>
          <w:bCs/>
          <w:sz w:val="32"/>
          <w:szCs w:val="32"/>
        </w:rPr>
        <w:t xml:space="preserve"> </w:t>
      </w:r>
      <w:r>
        <w:rPr>
          <w:rFonts w:eastAsia="仿宋_GB2312" w:hint="eastAsia"/>
          <w:b/>
          <w:bCs/>
          <w:sz w:val="32"/>
          <w:szCs w:val="32"/>
        </w:rPr>
        <w:t>控制疾病的进一步发展</w:t>
      </w:r>
      <w:r>
        <w:rPr>
          <w:rFonts w:eastAsia="仿宋_GB2312"/>
          <w:b/>
          <w:sz w:val="32"/>
          <w:szCs w:val="32"/>
        </w:rPr>
        <w:t xml:space="preserve"> </w:t>
      </w:r>
      <w:r>
        <w:rPr>
          <w:rFonts w:eastAsia="仿宋_GB2312" w:hint="eastAsia"/>
          <w:sz w:val="32"/>
          <w:szCs w:val="32"/>
        </w:rPr>
        <w:t>猪患脾胃虚弱证</w:t>
      </w:r>
      <w:r>
        <w:rPr>
          <w:rFonts w:eastAsia="仿宋_GB2312"/>
          <w:sz w:val="32"/>
          <w:szCs w:val="32"/>
        </w:rPr>
        <w:t>长期反复发作，部分</w:t>
      </w:r>
      <w:r>
        <w:rPr>
          <w:rFonts w:eastAsia="仿宋_GB2312" w:hint="eastAsia"/>
          <w:sz w:val="32"/>
          <w:szCs w:val="32"/>
        </w:rPr>
        <w:t>病猪</w:t>
      </w:r>
      <w:r>
        <w:rPr>
          <w:rFonts w:eastAsia="仿宋_GB2312"/>
          <w:sz w:val="32"/>
          <w:szCs w:val="32"/>
        </w:rPr>
        <w:t>可能</w:t>
      </w:r>
      <w:r>
        <w:rPr>
          <w:rFonts w:eastAsia="仿宋_GB2312" w:hint="eastAsia"/>
          <w:sz w:val="32"/>
          <w:szCs w:val="32"/>
        </w:rPr>
        <w:t>会进一步恶化，出现严重营养不良甚至恶液质乃至全身衰竭，加重机体损伤，用药以后可以明显控制猪脾胃虚弱证的恶化</w:t>
      </w:r>
      <w:r>
        <w:rPr>
          <w:rFonts w:eastAsia="仿宋_GB2312"/>
          <w:sz w:val="32"/>
          <w:szCs w:val="32"/>
        </w:rPr>
        <w:t>。</w:t>
      </w:r>
    </w:p>
    <w:p w14:paraId="1B00DA97" w14:textId="77777777" w:rsidR="00153C42" w:rsidRDefault="00597613" w:rsidP="009F75A5">
      <w:pPr>
        <w:adjustRightInd w:val="0"/>
        <w:snapToGrid w:val="0"/>
        <w:spacing w:line="560" w:lineRule="exact"/>
        <w:ind w:firstLineChars="200" w:firstLine="643"/>
        <w:rPr>
          <w:rFonts w:eastAsia="楷体_GB2312"/>
          <w:b/>
          <w:sz w:val="32"/>
          <w:szCs w:val="32"/>
        </w:rPr>
      </w:pPr>
      <w:r>
        <w:rPr>
          <w:rFonts w:eastAsia="楷体_GB2312" w:hint="eastAsia"/>
          <w:b/>
          <w:sz w:val="32"/>
          <w:szCs w:val="32"/>
        </w:rPr>
        <w:t>（二）证候诊断标准</w:t>
      </w:r>
    </w:p>
    <w:p w14:paraId="0ACEA056" w14:textId="77777777" w:rsidR="00153C42" w:rsidRPr="006F2EF5" w:rsidRDefault="00597613" w:rsidP="006F2EF5">
      <w:pPr>
        <w:adjustRightInd w:val="0"/>
        <w:snapToGrid w:val="0"/>
        <w:spacing w:line="560" w:lineRule="exact"/>
        <w:ind w:firstLineChars="200" w:firstLine="640"/>
        <w:rPr>
          <w:rFonts w:eastAsia="仿宋_GB2312"/>
          <w:sz w:val="32"/>
          <w:szCs w:val="32"/>
        </w:rPr>
      </w:pPr>
      <w:r>
        <w:rPr>
          <w:rFonts w:eastAsia="仿宋_GB2312" w:hint="eastAsia"/>
          <w:sz w:val="32"/>
          <w:szCs w:val="32"/>
        </w:rPr>
        <w:t>中兽医临床证候诊断标准可以参照有关国家标准、行业标准或团体标准等进行制定，如无适用的诊断标准，可自行制定并经专家论证达成共识。证候诊断构成要素可采用定性或半定量方式，或主次症的方法，可制定具有中兽医特色的证候诊断量表，满足科学性、合理性，并具有临床实际可操作性</w:t>
      </w:r>
      <w:r w:rsidRPr="006F2EF5">
        <w:rPr>
          <w:rFonts w:eastAsia="仿宋_GB2312" w:hint="eastAsia"/>
          <w:sz w:val="32"/>
          <w:szCs w:val="32"/>
        </w:rPr>
        <w:t>。猪脾胃虚弱证中兽医证候诊断标准如下：</w:t>
      </w:r>
    </w:p>
    <w:p w14:paraId="33E9AFAD" w14:textId="77777777" w:rsidR="00153C42" w:rsidRPr="006F2EF5" w:rsidRDefault="00597613" w:rsidP="006F2EF5">
      <w:pPr>
        <w:adjustRightInd w:val="0"/>
        <w:snapToGrid w:val="0"/>
        <w:spacing w:line="560" w:lineRule="exact"/>
        <w:ind w:firstLineChars="200" w:firstLine="640"/>
        <w:rPr>
          <w:rFonts w:eastAsia="仿宋_GB2312"/>
          <w:sz w:val="32"/>
          <w:szCs w:val="32"/>
        </w:rPr>
      </w:pPr>
      <w:r w:rsidRPr="006F2EF5">
        <w:rPr>
          <w:rFonts w:eastAsia="仿宋_GB2312" w:hint="eastAsia"/>
          <w:sz w:val="32"/>
          <w:szCs w:val="32"/>
        </w:rPr>
        <w:t>主症：采食下降、粪便稀糙甚至含未消化的食物，或便秘、体瘦，被毛凌乱焦枯，生长缓慢或掉膘、口色淡白</w:t>
      </w:r>
      <w:r w:rsidRPr="006F2EF5">
        <w:rPr>
          <w:rFonts w:eastAsia="仿宋_GB2312" w:hint="eastAsia"/>
          <w:sz w:val="32"/>
          <w:szCs w:val="32"/>
        </w:rPr>
        <w:t>/</w:t>
      </w:r>
      <w:r w:rsidRPr="006F2EF5">
        <w:rPr>
          <w:rFonts w:eastAsia="仿宋_GB2312" w:hint="eastAsia"/>
          <w:sz w:val="32"/>
          <w:szCs w:val="32"/>
        </w:rPr>
        <w:t>青白。</w:t>
      </w:r>
    </w:p>
    <w:p w14:paraId="27054EAD" w14:textId="77777777" w:rsidR="00153C42" w:rsidRPr="006F2EF5" w:rsidRDefault="00597613" w:rsidP="006F2EF5">
      <w:pPr>
        <w:adjustRightInd w:val="0"/>
        <w:snapToGrid w:val="0"/>
        <w:spacing w:line="560" w:lineRule="exact"/>
        <w:ind w:firstLineChars="200" w:firstLine="640"/>
        <w:rPr>
          <w:rFonts w:eastAsia="仿宋_GB2312"/>
          <w:sz w:val="32"/>
          <w:szCs w:val="32"/>
        </w:rPr>
      </w:pPr>
      <w:r w:rsidRPr="006F2EF5">
        <w:rPr>
          <w:rFonts w:eastAsia="仿宋_GB2312" w:hint="eastAsia"/>
          <w:sz w:val="32"/>
          <w:szCs w:val="32"/>
        </w:rPr>
        <w:t>次症：精神沉郁、呆滞、喜卧懒动，体温正常或偏低、</w:t>
      </w:r>
      <w:r w:rsidRPr="006F2EF5">
        <w:rPr>
          <w:rFonts w:eastAsia="仿宋_GB2312" w:hint="eastAsia"/>
          <w:sz w:val="32"/>
          <w:szCs w:val="32"/>
        </w:rPr>
        <w:lastRenderedPageBreak/>
        <w:t>耳鼻四肢俱凉，鼻盘少汗或无汗。</w:t>
      </w:r>
    </w:p>
    <w:p w14:paraId="11A7F9A0" w14:textId="77777777" w:rsidR="00153C42" w:rsidRDefault="00597613" w:rsidP="006F2EF5">
      <w:pPr>
        <w:adjustRightInd w:val="0"/>
        <w:snapToGrid w:val="0"/>
        <w:spacing w:line="560" w:lineRule="exact"/>
        <w:ind w:firstLineChars="200" w:firstLine="640"/>
        <w:rPr>
          <w:rFonts w:eastAsia="仿宋_GB2312"/>
          <w:sz w:val="32"/>
          <w:szCs w:val="32"/>
        </w:rPr>
      </w:pPr>
      <w:r w:rsidRPr="006F2EF5">
        <w:rPr>
          <w:rFonts w:eastAsia="仿宋_GB2312" w:hint="eastAsia"/>
          <w:sz w:val="32"/>
          <w:szCs w:val="32"/>
        </w:rPr>
        <w:t>诊断标准</w:t>
      </w:r>
      <w:r w:rsidRPr="009F75A5">
        <w:rPr>
          <w:rFonts w:eastAsia="仿宋_GB2312" w:hint="eastAsia"/>
          <w:sz w:val="32"/>
          <w:szCs w:val="32"/>
        </w:rPr>
        <w:t>：</w:t>
      </w:r>
      <w:r w:rsidRPr="006F2EF5">
        <w:rPr>
          <w:rFonts w:eastAsia="仿宋_GB2312" w:hint="eastAsia"/>
          <w:sz w:val="32"/>
          <w:szCs w:val="32"/>
        </w:rPr>
        <w:t>具备全部主症和至</w:t>
      </w:r>
      <w:r>
        <w:rPr>
          <w:rFonts w:eastAsia="仿宋_GB2312" w:hint="eastAsia"/>
          <w:sz w:val="32"/>
          <w:szCs w:val="32"/>
        </w:rPr>
        <w:t>少</w:t>
      </w:r>
      <w:r>
        <w:rPr>
          <w:rFonts w:eastAsia="仿宋_GB2312" w:hint="eastAsia"/>
          <w:sz w:val="32"/>
          <w:szCs w:val="32"/>
        </w:rPr>
        <w:t>1</w:t>
      </w:r>
      <w:r>
        <w:rPr>
          <w:rFonts w:eastAsia="仿宋_GB2312" w:hint="eastAsia"/>
          <w:sz w:val="32"/>
          <w:szCs w:val="32"/>
        </w:rPr>
        <w:t>项次症者，即可诊断</w:t>
      </w:r>
      <w:r>
        <w:rPr>
          <w:rFonts w:eastAsia="仿宋_GB2312" w:hint="eastAsia"/>
          <w:bCs/>
          <w:sz w:val="32"/>
          <w:szCs w:val="32"/>
        </w:rPr>
        <w:t>为猪脾胃虚弱证</w:t>
      </w:r>
      <w:r>
        <w:rPr>
          <w:rFonts w:eastAsia="仿宋_GB2312" w:hint="eastAsia"/>
          <w:sz w:val="32"/>
          <w:szCs w:val="32"/>
        </w:rPr>
        <w:t>。</w:t>
      </w:r>
    </w:p>
    <w:p w14:paraId="74201A22" w14:textId="77777777" w:rsidR="00153C42" w:rsidRDefault="00597613" w:rsidP="009F75A5">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bookmarkStart w:id="3" w:name="_Hlk140918227"/>
      <w:r>
        <w:rPr>
          <w:rFonts w:eastAsia="楷体_GB2312" w:hint="eastAsia"/>
          <w:b/>
          <w:sz w:val="32"/>
          <w:szCs w:val="32"/>
        </w:rPr>
        <w:t>症状评分</w:t>
      </w:r>
      <w:bookmarkEnd w:id="3"/>
      <w:r>
        <w:rPr>
          <w:rFonts w:eastAsia="楷体_GB2312" w:hint="eastAsia"/>
          <w:b/>
          <w:sz w:val="32"/>
          <w:szCs w:val="32"/>
        </w:rPr>
        <w:t>赋值</w:t>
      </w:r>
    </w:p>
    <w:p w14:paraId="0E976E3C" w14:textId="77777777" w:rsidR="00153C42" w:rsidRDefault="00597613" w:rsidP="006F2EF5">
      <w:pPr>
        <w:adjustRightInd w:val="0"/>
        <w:snapToGrid w:val="0"/>
        <w:spacing w:line="560" w:lineRule="exact"/>
        <w:ind w:firstLineChars="200" w:firstLine="640"/>
        <w:rPr>
          <w:rFonts w:eastAsia="仿宋_GB2312"/>
          <w:sz w:val="32"/>
          <w:szCs w:val="32"/>
        </w:rPr>
      </w:pPr>
      <w:r>
        <w:rPr>
          <w:rFonts w:eastAsia="仿宋_GB2312" w:hint="eastAsia"/>
          <w:sz w:val="32"/>
          <w:szCs w:val="32"/>
        </w:rPr>
        <w:t>根据猪脾胃虚弱证的症状制定症状评分，见表</w:t>
      </w:r>
      <w:r>
        <w:rPr>
          <w:rFonts w:eastAsia="仿宋_GB2312" w:hint="eastAsia"/>
          <w:sz w:val="32"/>
          <w:szCs w:val="32"/>
        </w:rPr>
        <w:t>1</w:t>
      </w:r>
      <w:r>
        <w:rPr>
          <w:rFonts w:eastAsia="仿宋_GB2312" w:hint="eastAsia"/>
          <w:sz w:val="32"/>
          <w:szCs w:val="32"/>
        </w:rPr>
        <w:t>、表</w:t>
      </w:r>
      <w:r>
        <w:rPr>
          <w:rFonts w:eastAsia="仿宋_GB2312" w:hint="eastAsia"/>
          <w:sz w:val="32"/>
          <w:szCs w:val="32"/>
        </w:rPr>
        <w:t>2</w:t>
      </w:r>
      <w:r>
        <w:rPr>
          <w:rFonts w:eastAsia="仿宋_GB2312" w:hint="eastAsia"/>
          <w:sz w:val="32"/>
          <w:szCs w:val="32"/>
        </w:rPr>
        <w:t>。</w:t>
      </w:r>
    </w:p>
    <w:p w14:paraId="626CAC37" w14:textId="70F0E70D" w:rsidR="00153C42" w:rsidRDefault="00597613" w:rsidP="009F75A5">
      <w:pPr>
        <w:adjustRightInd w:val="0"/>
        <w:snapToGrid w:val="0"/>
        <w:spacing w:line="560" w:lineRule="exact"/>
        <w:jc w:val="center"/>
        <w:rPr>
          <w:rFonts w:eastAsia="仿宋_GB2312"/>
          <w:b/>
          <w:szCs w:val="21"/>
        </w:rPr>
      </w:pPr>
      <w:r>
        <w:rPr>
          <w:rFonts w:eastAsia="仿宋_GB2312" w:hint="eastAsia"/>
          <w:sz w:val="32"/>
          <w:szCs w:val="32"/>
        </w:rPr>
        <w:t>表</w:t>
      </w:r>
      <w:r>
        <w:rPr>
          <w:rFonts w:eastAsia="仿宋_GB2312" w:hint="eastAsia"/>
          <w:sz w:val="32"/>
          <w:szCs w:val="32"/>
        </w:rPr>
        <w:t>1</w:t>
      </w:r>
      <w:r>
        <w:rPr>
          <w:rFonts w:eastAsia="仿宋_GB2312"/>
          <w:sz w:val="32"/>
          <w:szCs w:val="32"/>
        </w:rPr>
        <w:t xml:space="preserve"> </w:t>
      </w:r>
      <w:r>
        <w:rPr>
          <w:rFonts w:eastAsia="仿宋_GB2312"/>
          <w:sz w:val="32"/>
          <w:szCs w:val="32"/>
        </w:rPr>
        <w:t>猪脾胃虚弱证</w:t>
      </w:r>
      <w:r>
        <w:rPr>
          <w:rFonts w:eastAsia="仿宋_GB2312" w:hint="eastAsia"/>
          <w:sz w:val="32"/>
          <w:szCs w:val="32"/>
        </w:rPr>
        <w:t>主症评分标准</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65"/>
        <w:gridCol w:w="1244"/>
        <w:gridCol w:w="1243"/>
        <w:gridCol w:w="2342"/>
        <w:gridCol w:w="1912"/>
      </w:tblGrid>
      <w:tr w:rsidR="00153C42" w:rsidRPr="006F2EF5" w14:paraId="6CA2825E" w14:textId="77777777" w:rsidTr="003E2001">
        <w:trPr>
          <w:trHeight w:val="358"/>
          <w:jc w:val="center"/>
        </w:trPr>
        <w:tc>
          <w:tcPr>
            <w:tcW w:w="942" w:type="pct"/>
            <w:tcBorders>
              <w:top w:val="single" w:sz="8" w:space="0" w:color="auto"/>
              <w:bottom w:val="single" w:sz="4" w:space="0" w:color="auto"/>
            </w:tcBorders>
            <w:vAlign w:val="center"/>
          </w:tcPr>
          <w:p w14:paraId="7E17B190" w14:textId="77777777" w:rsidR="00153C42" w:rsidRPr="002D1A06" w:rsidRDefault="00597613" w:rsidP="009F75A5">
            <w:pPr>
              <w:jc w:val="center"/>
              <w:rPr>
                <w:rFonts w:eastAsia="仿宋_GB2312"/>
                <w:b/>
                <w:bCs/>
                <w:szCs w:val="32"/>
              </w:rPr>
            </w:pPr>
            <w:r w:rsidRPr="002D1A06">
              <w:rPr>
                <w:rFonts w:eastAsia="仿宋_GB2312" w:hint="eastAsia"/>
                <w:b/>
                <w:bCs/>
                <w:szCs w:val="32"/>
              </w:rPr>
              <w:t>指标</w:t>
            </w:r>
          </w:p>
        </w:tc>
        <w:tc>
          <w:tcPr>
            <w:tcW w:w="749" w:type="pct"/>
            <w:tcBorders>
              <w:top w:val="single" w:sz="8" w:space="0" w:color="auto"/>
              <w:bottom w:val="single" w:sz="4" w:space="0" w:color="auto"/>
            </w:tcBorders>
            <w:vAlign w:val="center"/>
          </w:tcPr>
          <w:p w14:paraId="6E03DD9E" w14:textId="77777777" w:rsidR="00153C42" w:rsidRPr="002D1A06" w:rsidRDefault="00597613" w:rsidP="009F75A5">
            <w:pPr>
              <w:jc w:val="center"/>
              <w:rPr>
                <w:rFonts w:eastAsia="仿宋_GB2312"/>
                <w:b/>
                <w:bCs/>
                <w:szCs w:val="32"/>
              </w:rPr>
            </w:pPr>
            <w:r w:rsidRPr="002D1A06">
              <w:rPr>
                <w:rFonts w:eastAsia="仿宋_GB2312" w:hint="eastAsia"/>
                <w:b/>
                <w:bCs/>
                <w:szCs w:val="32"/>
              </w:rPr>
              <w:t>正常（</w:t>
            </w:r>
            <w:r w:rsidRPr="002D1A06">
              <w:rPr>
                <w:rFonts w:eastAsia="仿宋_GB2312"/>
                <w:b/>
                <w:bCs/>
                <w:szCs w:val="32"/>
              </w:rPr>
              <w:t>0</w:t>
            </w:r>
            <w:r w:rsidRPr="002D1A06">
              <w:rPr>
                <w:rFonts w:eastAsia="仿宋_GB2312" w:hint="eastAsia"/>
                <w:b/>
                <w:bCs/>
                <w:szCs w:val="32"/>
              </w:rPr>
              <w:t>分）</w:t>
            </w:r>
          </w:p>
        </w:tc>
        <w:tc>
          <w:tcPr>
            <w:tcW w:w="748" w:type="pct"/>
            <w:tcBorders>
              <w:top w:val="single" w:sz="8" w:space="0" w:color="auto"/>
              <w:bottom w:val="single" w:sz="4" w:space="0" w:color="auto"/>
            </w:tcBorders>
            <w:vAlign w:val="center"/>
          </w:tcPr>
          <w:p w14:paraId="2559DD6D" w14:textId="77777777" w:rsidR="00153C42" w:rsidRPr="002D1A06" w:rsidRDefault="00597613" w:rsidP="009F75A5">
            <w:pPr>
              <w:jc w:val="center"/>
              <w:rPr>
                <w:rFonts w:eastAsia="仿宋_GB2312"/>
                <w:b/>
                <w:bCs/>
                <w:szCs w:val="32"/>
              </w:rPr>
            </w:pPr>
            <w:r w:rsidRPr="002D1A06">
              <w:rPr>
                <w:rFonts w:eastAsia="仿宋_GB2312" w:hint="eastAsia"/>
                <w:b/>
                <w:bCs/>
                <w:szCs w:val="32"/>
              </w:rPr>
              <w:t>轻度（</w:t>
            </w:r>
            <w:r w:rsidRPr="002D1A06">
              <w:rPr>
                <w:rFonts w:eastAsia="仿宋_GB2312"/>
                <w:b/>
                <w:bCs/>
                <w:szCs w:val="32"/>
              </w:rPr>
              <w:t>2</w:t>
            </w:r>
            <w:r w:rsidRPr="002D1A06">
              <w:rPr>
                <w:rFonts w:eastAsia="仿宋_GB2312" w:hint="eastAsia"/>
                <w:b/>
                <w:bCs/>
                <w:szCs w:val="32"/>
              </w:rPr>
              <w:t>分）</w:t>
            </w:r>
          </w:p>
        </w:tc>
        <w:tc>
          <w:tcPr>
            <w:tcW w:w="1410" w:type="pct"/>
            <w:tcBorders>
              <w:top w:val="single" w:sz="8" w:space="0" w:color="auto"/>
              <w:bottom w:val="single" w:sz="4" w:space="0" w:color="auto"/>
            </w:tcBorders>
            <w:vAlign w:val="center"/>
          </w:tcPr>
          <w:p w14:paraId="03906F26" w14:textId="77777777" w:rsidR="00153C42" w:rsidRPr="002D1A06" w:rsidRDefault="00597613" w:rsidP="009F75A5">
            <w:pPr>
              <w:jc w:val="center"/>
              <w:rPr>
                <w:rFonts w:eastAsia="仿宋_GB2312"/>
                <w:b/>
                <w:bCs/>
                <w:szCs w:val="32"/>
              </w:rPr>
            </w:pPr>
            <w:r w:rsidRPr="002D1A06">
              <w:rPr>
                <w:rFonts w:eastAsia="仿宋_GB2312" w:hint="eastAsia"/>
                <w:b/>
                <w:bCs/>
                <w:szCs w:val="32"/>
              </w:rPr>
              <w:t>中度（</w:t>
            </w:r>
            <w:r w:rsidRPr="002D1A06">
              <w:rPr>
                <w:rFonts w:eastAsia="仿宋_GB2312"/>
                <w:b/>
                <w:bCs/>
                <w:szCs w:val="32"/>
              </w:rPr>
              <w:t>4</w:t>
            </w:r>
            <w:r w:rsidRPr="002D1A06">
              <w:rPr>
                <w:rFonts w:eastAsia="仿宋_GB2312" w:hint="eastAsia"/>
                <w:b/>
                <w:bCs/>
                <w:szCs w:val="32"/>
              </w:rPr>
              <w:t>分）</w:t>
            </w:r>
          </w:p>
        </w:tc>
        <w:tc>
          <w:tcPr>
            <w:tcW w:w="1152" w:type="pct"/>
            <w:tcBorders>
              <w:top w:val="single" w:sz="8" w:space="0" w:color="auto"/>
              <w:bottom w:val="single" w:sz="4" w:space="0" w:color="auto"/>
            </w:tcBorders>
            <w:vAlign w:val="center"/>
          </w:tcPr>
          <w:p w14:paraId="5704C265" w14:textId="77777777" w:rsidR="00153C42" w:rsidRPr="002D1A06" w:rsidRDefault="00597613" w:rsidP="009F75A5">
            <w:pPr>
              <w:jc w:val="center"/>
              <w:rPr>
                <w:rFonts w:eastAsia="仿宋_GB2312"/>
                <w:b/>
                <w:bCs/>
                <w:szCs w:val="32"/>
              </w:rPr>
            </w:pPr>
            <w:r w:rsidRPr="002D1A06">
              <w:rPr>
                <w:rFonts w:eastAsia="仿宋_GB2312" w:hint="eastAsia"/>
                <w:b/>
                <w:bCs/>
                <w:szCs w:val="32"/>
              </w:rPr>
              <w:t>重度（</w:t>
            </w:r>
            <w:r w:rsidRPr="002D1A06">
              <w:rPr>
                <w:rFonts w:eastAsia="仿宋_GB2312"/>
                <w:b/>
                <w:bCs/>
                <w:szCs w:val="32"/>
              </w:rPr>
              <w:t>6</w:t>
            </w:r>
            <w:r w:rsidRPr="002D1A06">
              <w:rPr>
                <w:rFonts w:eastAsia="仿宋_GB2312" w:hint="eastAsia"/>
                <w:b/>
                <w:bCs/>
                <w:szCs w:val="32"/>
              </w:rPr>
              <w:t>分）</w:t>
            </w:r>
          </w:p>
        </w:tc>
      </w:tr>
      <w:tr w:rsidR="00153C42" w14:paraId="33CB024E" w14:textId="77777777">
        <w:trPr>
          <w:trHeight w:val="335"/>
          <w:jc w:val="center"/>
        </w:trPr>
        <w:tc>
          <w:tcPr>
            <w:tcW w:w="942" w:type="pct"/>
            <w:vAlign w:val="center"/>
          </w:tcPr>
          <w:p w14:paraId="31703CA5" w14:textId="77777777" w:rsidR="00153C42" w:rsidRDefault="00597613">
            <w:pPr>
              <w:adjustRightInd w:val="0"/>
              <w:snapToGrid w:val="0"/>
              <w:jc w:val="center"/>
              <w:rPr>
                <w:rFonts w:eastAsia="仿宋_GB2312"/>
                <w:szCs w:val="21"/>
              </w:rPr>
            </w:pPr>
            <w:r>
              <w:rPr>
                <w:rFonts w:eastAsia="仿宋_GB2312" w:hint="eastAsia"/>
                <w:szCs w:val="21"/>
              </w:rPr>
              <w:t>粪便</w:t>
            </w:r>
          </w:p>
        </w:tc>
        <w:tc>
          <w:tcPr>
            <w:tcW w:w="749" w:type="pct"/>
            <w:vAlign w:val="center"/>
          </w:tcPr>
          <w:p w14:paraId="39D36061"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748" w:type="pct"/>
            <w:vAlign w:val="center"/>
          </w:tcPr>
          <w:p w14:paraId="7D254C4A" w14:textId="77777777" w:rsidR="00153C42" w:rsidRDefault="00597613">
            <w:pPr>
              <w:adjustRightInd w:val="0"/>
              <w:snapToGrid w:val="0"/>
              <w:jc w:val="center"/>
              <w:rPr>
                <w:rFonts w:eastAsia="仿宋_GB2312"/>
                <w:szCs w:val="21"/>
              </w:rPr>
            </w:pPr>
            <w:r>
              <w:rPr>
                <w:rFonts w:eastAsia="仿宋_GB2312" w:hint="eastAsia"/>
                <w:szCs w:val="21"/>
              </w:rPr>
              <w:t>略稀薄</w:t>
            </w:r>
          </w:p>
        </w:tc>
        <w:tc>
          <w:tcPr>
            <w:tcW w:w="1410" w:type="pct"/>
            <w:vAlign w:val="center"/>
          </w:tcPr>
          <w:p w14:paraId="1AECB808" w14:textId="77777777" w:rsidR="00153C42" w:rsidRDefault="00597613">
            <w:pPr>
              <w:adjustRightInd w:val="0"/>
              <w:snapToGrid w:val="0"/>
              <w:jc w:val="center"/>
              <w:rPr>
                <w:rFonts w:eastAsia="仿宋_GB2312"/>
                <w:szCs w:val="21"/>
              </w:rPr>
            </w:pPr>
            <w:r>
              <w:rPr>
                <w:rFonts w:eastAsia="仿宋_GB2312" w:hint="eastAsia"/>
                <w:szCs w:val="21"/>
              </w:rPr>
              <w:t>大便稀溏，夹杂少量未消化饲料、粪渣粗</w:t>
            </w:r>
          </w:p>
          <w:p w14:paraId="065CDC35" w14:textId="77777777" w:rsidR="00153C42" w:rsidRDefault="00153C42">
            <w:pPr>
              <w:adjustRightInd w:val="0"/>
              <w:snapToGrid w:val="0"/>
              <w:jc w:val="center"/>
              <w:rPr>
                <w:rFonts w:eastAsia="仿宋_GB2312"/>
                <w:szCs w:val="21"/>
              </w:rPr>
            </w:pPr>
          </w:p>
        </w:tc>
        <w:tc>
          <w:tcPr>
            <w:tcW w:w="1152" w:type="pct"/>
            <w:vAlign w:val="center"/>
          </w:tcPr>
          <w:p w14:paraId="337893CE" w14:textId="77777777" w:rsidR="00153C42" w:rsidRDefault="00597613">
            <w:pPr>
              <w:adjustRightInd w:val="0"/>
              <w:snapToGrid w:val="0"/>
              <w:jc w:val="center"/>
              <w:rPr>
                <w:rFonts w:eastAsia="仿宋_GB2312"/>
                <w:szCs w:val="21"/>
              </w:rPr>
            </w:pPr>
            <w:r>
              <w:rPr>
                <w:rFonts w:eastAsia="仿宋_GB2312" w:hint="eastAsia"/>
                <w:szCs w:val="21"/>
              </w:rPr>
              <w:t>粪便溏泻且有大量未消化的饲料，或便秘</w:t>
            </w:r>
          </w:p>
        </w:tc>
      </w:tr>
      <w:tr w:rsidR="00153C42" w14:paraId="1D807399" w14:textId="77777777">
        <w:trPr>
          <w:trHeight w:val="524"/>
          <w:jc w:val="center"/>
        </w:trPr>
        <w:tc>
          <w:tcPr>
            <w:tcW w:w="942" w:type="pct"/>
            <w:tcBorders>
              <w:top w:val="nil"/>
              <w:bottom w:val="nil"/>
            </w:tcBorders>
          </w:tcPr>
          <w:p w14:paraId="0E243438" w14:textId="77777777" w:rsidR="00153C42" w:rsidRDefault="00597613">
            <w:pPr>
              <w:adjustRightInd w:val="0"/>
              <w:snapToGrid w:val="0"/>
              <w:jc w:val="center"/>
              <w:rPr>
                <w:rFonts w:eastAsia="仿宋_GB2312"/>
                <w:szCs w:val="21"/>
              </w:rPr>
            </w:pPr>
            <w:r>
              <w:rPr>
                <w:rFonts w:eastAsia="仿宋_GB2312" w:hint="eastAsia"/>
                <w:szCs w:val="21"/>
              </w:rPr>
              <w:t>采食</w:t>
            </w:r>
          </w:p>
        </w:tc>
        <w:tc>
          <w:tcPr>
            <w:tcW w:w="749" w:type="pct"/>
            <w:tcBorders>
              <w:top w:val="nil"/>
              <w:bottom w:val="nil"/>
            </w:tcBorders>
          </w:tcPr>
          <w:p w14:paraId="1DF3FF91"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748" w:type="pct"/>
            <w:tcBorders>
              <w:top w:val="nil"/>
              <w:bottom w:val="nil"/>
            </w:tcBorders>
          </w:tcPr>
          <w:p w14:paraId="34A0327F" w14:textId="77777777" w:rsidR="00153C42" w:rsidRDefault="00597613">
            <w:pPr>
              <w:adjustRightInd w:val="0"/>
              <w:snapToGrid w:val="0"/>
              <w:jc w:val="center"/>
              <w:rPr>
                <w:rFonts w:eastAsia="仿宋_GB2312"/>
                <w:szCs w:val="21"/>
              </w:rPr>
            </w:pPr>
            <w:r>
              <w:rPr>
                <w:rFonts w:eastAsia="仿宋_GB2312" w:hint="eastAsia"/>
                <w:szCs w:val="21"/>
              </w:rPr>
              <w:t>采食下降</w:t>
            </w:r>
          </w:p>
        </w:tc>
        <w:tc>
          <w:tcPr>
            <w:tcW w:w="1410" w:type="pct"/>
            <w:tcBorders>
              <w:top w:val="nil"/>
              <w:bottom w:val="nil"/>
            </w:tcBorders>
          </w:tcPr>
          <w:p w14:paraId="00BDFD4B" w14:textId="77777777" w:rsidR="00153C42" w:rsidRDefault="00597613">
            <w:pPr>
              <w:adjustRightInd w:val="0"/>
              <w:snapToGrid w:val="0"/>
              <w:jc w:val="center"/>
              <w:rPr>
                <w:rFonts w:eastAsia="仿宋_GB2312"/>
                <w:szCs w:val="21"/>
              </w:rPr>
            </w:pPr>
            <w:r>
              <w:rPr>
                <w:rFonts w:eastAsia="仿宋_GB2312" w:hint="eastAsia"/>
                <w:szCs w:val="21"/>
              </w:rPr>
              <w:t>采食明显下降</w:t>
            </w:r>
          </w:p>
        </w:tc>
        <w:tc>
          <w:tcPr>
            <w:tcW w:w="1152" w:type="pct"/>
            <w:tcBorders>
              <w:top w:val="nil"/>
              <w:bottom w:val="nil"/>
            </w:tcBorders>
          </w:tcPr>
          <w:p w14:paraId="13AAE0D8" w14:textId="64DCBF6D" w:rsidR="00153C42" w:rsidRDefault="00597613">
            <w:pPr>
              <w:adjustRightInd w:val="0"/>
              <w:snapToGrid w:val="0"/>
              <w:jc w:val="center"/>
              <w:rPr>
                <w:rFonts w:eastAsia="仿宋_GB2312"/>
                <w:szCs w:val="21"/>
              </w:rPr>
            </w:pPr>
            <w:r>
              <w:rPr>
                <w:rFonts w:eastAsia="仿宋_GB2312" w:hint="eastAsia"/>
                <w:szCs w:val="21"/>
              </w:rPr>
              <w:t>不食或几近废绝</w:t>
            </w:r>
          </w:p>
        </w:tc>
      </w:tr>
      <w:tr w:rsidR="00153C42" w14:paraId="55841DD9" w14:textId="77777777">
        <w:trPr>
          <w:trHeight w:val="524"/>
          <w:jc w:val="center"/>
        </w:trPr>
        <w:tc>
          <w:tcPr>
            <w:tcW w:w="942" w:type="pct"/>
            <w:tcBorders>
              <w:top w:val="nil"/>
              <w:bottom w:val="nil"/>
            </w:tcBorders>
          </w:tcPr>
          <w:p w14:paraId="63DF6B3E" w14:textId="77777777" w:rsidR="00153C42" w:rsidRDefault="00597613">
            <w:pPr>
              <w:adjustRightInd w:val="0"/>
              <w:snapToGrid w:val="0"/>
              <w:jc w:val="center"/>
              <w:rPr>
                <w:rFonts w:eastAsia="仿宋_GB2312"/>
                <w:szCs w:val="21"/>
              </w:rPr>
            </w:pPr>
            <w:r>
              <w:rPr>
                <w:rFonts w:eastAsia="仿宋_GB2312" w:hint="eastAsia"/>
                <w:szCs w:val="21"/>
              </w:rPr>
              <w:t>体况、被毛</w:t>
            </w:r>
          </w:p>
          <w:p w14:paraId="0D2203A1" w14:textId="77777777" w:rsidR="00153C42" w:rsidRDefault="00153C42">
            <w:pPr>
              <w:adjustRightInd w:val="0"/>
              <w:snapToGrid w:val="0"/>
              <w:jc w:val="center"/>
              <w:rPr>
                <w:rFonts w:eastAsia="仿宋_GB2312"/>
                <w:szCs w:val="21"/>
              </w:rPr>
            </w:pPr>
          </w:p>
        </w:tc>
        <w:tc>
          <w:tcPr>
            <w:tcW w:w="749" w:type="pct"/>
            <w:tcBorders>
              <w:top w:val="nil"/>
              <w:bottom w:val="nil"/>
            </w:tcBorders>
          </w:tcPr>
          <w:p w14:paraId="6CF1E80A"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748" w:type="pct"/>
            <w:tcBorders>
              <w:top w:val="nil"/>
              <w:bottom w:val="nil"/>
            </w:tcBorders>
          </w:tcPr>
          <w:p w14:paraId="175FBC73" w14:textId="77777777" w:rsidR="00153C42" w:rsidRDefault="00597613">
            <w:pPr>
              <w:adjustRightInd w:val="0"/>
              <w:snapToGrid w:val="0"/>
              <w:jc w:val="center"/>
              <w:rPr>
                <w:rFonts w:eastAsia="仿宋_GB2312"/>
                <w:szCs w:val="21"/>
              </w:rPr>
            </w:pPr>
            <w:r>
              <w:rPr>
                <w:rFonts w:eastAsia="仿宋_GB2312" w:hint="eastAsia"/>
                <w:szCs w:val="21"/>
              </w:rPr>
              <w:t>被毛粗糙</w:t>
            </w:r>
          </w:p>
        </w:tc>
        <w:tc>
          <w:tcPr>
            <w:tcW w:w="1410" w:type="pct"/>
            <w:tcBorders>
              <w:top w:val="nil"/>
              <w:bottom w:val="nil"/>
            </w:tcBorders>
          </w:tcPr>
          <w:p w14:paraId="4ECD4225" w14:textId="77777777" w:rsidR="00153C42" w:rsidRDefault="00597613">
            <w:pPr>
              <w:adjustRightInd w:val="0"/>
              <w:snapToGrid w:val="0"/>
              <w:jc w:val="center"/>
              <w:rPr>
                <w:rFonts w:eastAsia="仿宋_GB2312"/>
                <w:szCs w:val="21"/>
              </w:rPr>
            </w:pPr>
            <w:r>
              <w:rPr>
                <w:rFonts w:eastAsia="仿宋_GB2312" w:hint="eastAsia"/>
                <w:szCs w:val="21"/>
              </w:rPr>
              <w:t>体瘦或体重下降明显，被毛粗乱</w:t>
            </w:r>
          </w:p>
        </w:tc>
        <w:tc>
          <w:tcPr>
            <w:tcW w:w="1152" w:type="pct"/>
            <w:tcBorders>
              <w:top w:val="nil"/>
              <w:bottom w:val="nil"/>
            </w:tcBorders>
          </w:tcPr>
          <w:p w14:paraId="336F7263" w14:textId="77777777" w:rsidR="00153C42" w:rsidRDefault="00597613">
            <w:pPr>
              <w:adjustRightInd w:val="0"/>
              <w:snapToGrid w:val="0"/>
              <w:jc w:val="center"/>
              <w:rPr>
                <w:rFonts w:eastAsia="仿宋_GB2312"/>
                <w:szCs w:val="21"/>
              </w:rPr>
            </w:pPr>
            <w:r>
              <w:rPr>
                <w:rFonts w:eastAsia="仿宋_GB2312" w:hint="eastAsia"/>
                <w:szCs w:val="21"/>
              </w:rPr>
              <w:t>露脊，迅速消瘦或生长发育停滞，被毛焦枯</w:t>
            </w:r>
          </w:p>
        </w:tc>
      </w:tr>
      <w:tr w:rsidR="00153C42" w14:paraId="611775B4" w14:textId="77777777" w:rsidTr="003E2001">
        <w:trPr>
          <w:trHeight w:val="524"/>
          <w:jc w:val="center"/>
        </w:trPr>
        <w:tc>
          <w:tcPr>
            <w:tcW w:w="942" w:type="pct"/>
            <w:tcBorders>
              <w:top w:val="nil"/>
              <w:bottom w:val="single" w:sz="8" w:space="0" w:color="auto"/>
            </w:tcBorders>
          </w:tcPr>
          <w:p w14:paraId="4879FE86" w14:textId="77777777" w:rsidR="00153C42" w:rsidRDefault="00597613">
            <w:pPr>
              <w:adjustRightInd w:val="0"/>
              <w:snapToGrid w:val="0"/>
              <w:jc w:val="center"/>
              <w:rPr>
                <w:rFonts w:eastAsia="仿宋_GB2312"/>
                <w:szCs w:val="21"/>
              </w:rPr>
            </w:pPr>
            <w:r>
              <w:rPr>
                <w:rFonts w:eastAsia="仿宋_GB2312" w:hint="eastAsia"/>
                <w:szCs w:val="21"/>
              </w:rPr>
              <w:t>口色</w:t>
            </w:r>
          </w:p>
        </w:tc>
        <w:tc>
          <w:tcPr>
            <w:tcW w:w="749" w:type="pct"/>
            <w:tcBorders>
              <w:top w:val="nil"/>
              <w:bottom w:val="single" w:sz="8" w:space="0" w:color="auto"/>
            </w:tcBorders>
          </w:tcPr>
          <w:p w14:paraId="0B263BB7"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748" w:type="pct"/>
            <w:tcBorders>
              <w:top w:val="nil"/>
              <w:bottom w:val="single" w:sz="8" w:space="0" w:color="auto"/>
            </w:tcBorders>
          </w:tcPr>
          <w:p w14:paraId="54CD9792" w14:textId="77777777" w:rsidR="00153C42" w:rsidRDefault="00597613">
            <w:pPr>
              <w:adjustRightInd w:val="0"/>
              <w:snapToGrid w:val="0"/>
              <w:jc w:val="center"/>
              <w:rPr>
                <w:rFonts w:eastAsia="仿宋_GB2312"/>
                <w:szCs w:val="21"/>
              </w:rPr>
            </w:pPr>
            <w:r>
              <w:rPr>
                <w:rFonts w:eastAsia="仿宋_GB2312" w:hint="eastAsia"/>
                <w:szCs w:val="21"/>
              </w:rPr>
              <w:t>口色淡白，苔薄白</w:t>
            </w:r>
          </w:p>
        </w:tc>
        <w:tc>
          <w:tcPr>
            <w:tcW w:w="1410" w:type="pct"/>
            <w:tcBorders>
              <w:top w:val="nil"/>
              <w:bottom w:val="single" w:sz="8" w:space="0" w:color="auto"/>
            </w:tcBorders>
          </w:tcPr>
          <w:p w14:paraId="6E3CAFCD" w14:textId="77777777" w:rsidR="00153C42" w:rsidRDefault="00597613">
            <w:pPr>
              <w:adjustRightInd w:val="0"/>
              <w:snapToGrid w:val="0"/>
              <w:jc w:val="center"/>
              <w:rPr>
                <w:rFonts w:eastAsia="仿宋_GB2312"/>
                <w:szCs w:val="21"/>
              </w:rPr>
            </w:pPr>
            <w:r>
              <w:rPr>
                <w:rFonts w:eastAsia="仿宋_GB2312" w:hint="eastAsia"/>
                <w:szCs w:val="21"/>
              </w:rPr>
              <w:t>口色淡白，苔白腻</w:t>
            </w:r>
          </w:p>
        </w:tc>
        <w:tc>
          <w:tcPr>
            <w:tcW w:w="1152" w:type="pct"/>
            <w:tcBorders>
              <w:top w:val="nil"/>
              <w:bottom w:val="single" w:sz="8" w:space="0" w:color="auto"/>
            </w:tcBorders>
          </w:tcPr>
          <w:p w14:paraId="29313DAA" w14:textId="77777777" w:rsidR="00153C42" w:rsidRDefault="00597613">
            <w:pPr>
              <w:adjustRightInd w:val="0"/>
              <w:snapToGrid w:val="0"/>
              <w:jc w:val="center"/>
              <w:rPr>
                <w:rFonts w:eastAsia="仿宋_GB2312"/>
                <w:szCs w:val="21"/>
              </w:rPr>
            </w:pPr>
            <w:r>
              <w:rPr>
                <w:rFonts w:eastAsia="仿宋_GB2312" w:hint="eastAsia"/>
                <w:szCs w:val="21"/>
              </w:rPr>
              <w:t>口色青白，苔厚腻</w:t>
            </w:r>
          </w:p>
        </w:tc>
      </w:tr>
    </w:tbl>
    <w:p w14:paraId="5C0B5727" w14:textId="03A8B369" w:rsidR="00153C42" w:rsidRDefault="00597613" w:rsidP="009F75A5">
      <w:pPr>
        <w:adjustRightInd w:val="0"/>
        <w:snapToGrid w:val="0"/>
        <w:spacing w:line="560" w:lineRule="exact"/>
        <w:jc w:val="center"/>
        <w:rPr>
          <w:rFonts w:eastAsia="仿宋_GB2312"/>
          <w:b/>
          <w:szCs w:val="21"/>
        </w:rPr>
      </w:pPr>
      <w:r>
        <w:rPr>
          <w:rFonts w:eastAsia="仿宋_GB2312" w:hint="eastAsia"/>
          <w:sz w:val="32"/>
          <w:szCs w:val="32"/>
        </w:rPr>
        <w:t>表</w:t>
      </w:r>
      <w:r>
        <w:rPr>
          <w:rFonts w:eastAsia="仿宋_GB2312" w:hint="eastAsia"/>
          <w:sz w:val="32"/>
          <w:szCs w:val="32"/>
        </w:rPr>
        <w:t>2</w:t>
      </w:r>
      <w:r>
        <w:rPr>
          <w:rFonts w:eastAsia="仿宋_GB2312"/>
          <w:sz w:val="32"/>
          <w:szCs w:val="32"/>
        </w:rPr>
        <w:t xml:space="preserve"> </w:t>
      </w:r>
      <w:r>
        <w:rPr>
          <w:rFonts w:eastAsia="仿宋_GB2312"/>
          <w:sz w:val="32"/>
          <w:szCs w:val="32"/>
        </w:rPr>
        <w:t>猪脾胃虚弱证</w:t>
      </w:r>
      <w:r>
        <w:rPr>
          <w:rFonts w:eastAsia="仿宋_GB2312" w:hint="eastAsia"/>
          <w:sz w:val="32"/>
          <w:szCs w:val="32"/>
        </w:rPr>
        <w:t>次症评分标准</w:t>
      </w:r>
    </w:p>
    <w:tbl>
      <w:tblPr>
        <w:tblW w:w="5000" w:type="pct"/>
        <w:jc w:val="center"/>
        <w:tblLook w:val="04A0" w:firstRow="1" w:lastRow="0" w:firstColumn="1" w:lastColumn="0" w:noHBand="0" w:noVBand="1"/>
      </w:tblPr>
      <w:tblGrid>
        <w:gridCol w:w="1233"/>
        <w:gridCol w:w="1301"/>
        <w:gridCol w:w="1942"/>
        <w:gridCol w:w="1915"/>
        <w:gridCol w:w="1915"/>
      </w:tblGrid>
      <w:tr w:rsidR="00153C42" w:rsidRPr="006F2EF5" w14:paraId="642E7807" w14:textId="77777777" w:rsidTr="003E2001">
        <w:trPr>
          <w:trHeight w:val="353"/>
          <w:jc w:val="center"/>
        </w:trPr>
        <w:tc>
          <w:tcPr>
            <w:tcW w:w="742" w:type="pct"/>
            <w:tcBorders>
              <w:top w:val="single" w:sz="8" w:space="0" w:color="auto"/>
              <w:bottom w:val="single" w:sz="4" w:space="0" w:color="auto"/>
            </w:tcBorders>
            <w:vAlign w:val="center"/>
          </w:tcPr>
          <w:p w14:paraId="3A1B4810" w14:textId="77777777" w:rsidR="00153C42" w:rsidRPr="002D1A06" w:rsidRDefault="00597613" w:rsidP="009F75A5">
            <w:pPr>
              <w:jc w:val="center"/>
              <w:rPr>
                <w:rFonts w:eastAsia="仿宋_GB2312"/>
                <w:b/>
                <w:bCs/>
                <w:szCs w:val="32"/>
              </w:rPr>
            </w:pPr>
            <w:r w:rsidRPr="002D1A06">
              <w:rPr>
                <w:rFonts w:eastAsia="仿宋_GB2312" w:hint="eastAsia"/>
                <w:b/>
                <w:bCs/>
                <w:szCs w:val="32"/>
              </w:rPr>
              <w:t>指标</w:t>
            </w:r>
          </w:p>
        </w:tc>
        <w:tc>
          <w:tcPr>
            <w:tcW w:w="783" w:type="pct"/>
            <w:tcBorders>
              <w:top w:val="single" w:sz="8" w:space="0" w:color="auto"/>
              <w:bottom w:val="single" w:sz="4" w:space="0" w:color="auto"/>
            </w:tcBorders>
            <w:vAlign w:val="center"/>
          </w:tcPr>
          <w:p w14:paraId="43A85FEF" w14:textId="77777777" w:rsidR="00153C42" w:rsidRPr="002D1A06" w:rsidRDefault="00597613" w:rsidP="009F75A5">
            <w:pPr>
              <w:jc w:val="center"/>
              <w:rPr>
                <w:rFonts w:eastAsia="仿宋_GB2312"/>
                <w:b/>
                <w:bCs/>
                <w:szCs w:val="32"/>
              </w:rPr>
            </w:pPr>
            <w:r w:rsidRPr="002D1A06">
              <w:rPr>
                <w:rFonts w:eastAsia="仿宋_GB2312" w:hint="eastAsia"/>
                <w:b/>
                <w:bCs/>
                <w:szCs w:val="32"/>
              </w:rPr>
              <w:t>正常（</w:t>
            </w:r>
            <w:r w:rsidRPr="002D1A06">
              <w:rPr>
                <w:rFonts w:eastAsia="仿宋_GB2312"/>
                <w:b/>
                <w:bCs/>
                <w:szCs w:val="32"/>
              </w:rPr>
              <w:t>0</w:t>
            </w:r>
            <w:r w:rsidRPr="002D1A06">
              <w:rPr>
                <w:rFonts w:eastAsia="仿宋_GB2312" w:hint="eastAsia"/>
                <w:b/>
                <w:bCs/>
                <w:szCs w:val="32"/>
              </w:rPr>
              <w:t>分）</w:t>
            </w:r>
          </w:p>
        </w:tc>
        <w:tc>
          <w:tcPr>
            <w:tcW w:w="1169" w:type="pct"/>
            <w:tcBorders>
              <w:top w:val="single" w:sz="8" w:space="0" w:color="auto"/>
              <w:bottom w:val="single" w:sz="4" w:space="0" w:color="auto"/>
            </w:tcBorders>
            <w:vAlign w:val="center"/>
          </w:tcPr>
          <w:p w14:paraId="2D7530A9" w14:textId="77777777" w:rsidR="00153C42" w:rsidRPr="002D1A06" w:rsidRDefault="00597613" w:rsidP="009F75A5">
            <w:pPr>
              <w:jc w:val="center"/>
              <w:rPr>
                <w:rFonts w:eastAsia="仿宋_GB2312"/>
                <w:b/>
                <w:bCs/>
                <w:szCs w:val="32"/>
              </w:rPr>
            </w:pPr>
            <w:r w:rsidRPr="002D1A06">
              <w:rPr>
                <w:rFonts w:eastAsia="仿宋_GB2312" w:hint="eastAsia"/>
                <w:b/>
                <w:bCs/>
                <w:szCs w:val="32"/>
              </w:rPr>
              <w:t>轻度（</w:t>
            </w:r>
            <w:r w:rsidRPr="002D1A06">
              <w:rPr>
                <w:rFonts w:eastAsia="仿宋_GB2312"/>
                <w:b/>
                <w:bCs/>
                <w:szCs w:val="32"/>
              </w:rPr>
              <w:t>1</w:t>
            </w:r>
            <w:r w:rsidRPr="002D1A06">
              <w:rPr>
                <w:rFonts w:eastAsia="仿宋_GB2312" w:hint="eastAsia"/>
                <w:b/>
                <w:bCs/>
                <w:szCs w:val="32"/>
              </w:rPr>
              <w:t>分）</w:t>
            </w:r>
          </w:p>
        </w:tc>
        <w:tc>
          <w:tcPr>
            <w:tcW w:w="1153" w:type="pct"/>
            <w:tcBorders>
              <w:top w:val="single" w:sz="8" w:space="0" w:color="auto"/>
              <w:bottom w:val="single" w:sz="4" w:space="0" w:color="auto"/>
            </w:tcBorders>
            <w:vAlign w:val="center"/>
          </w:tcPr>
          <w:p w14:paraId="03D89F43" w14:textId="77777777" w:rsidR="00153C42" w:rsidRPr="002D1A06" w:rsidRDefault="00597613" w:rsidP="009F75A5">
            <w:pPr>
              <w:jc w:val="center"/>
              <w:rPr>
                <w:rFonts w:eastAsia="仿宋_GB2312"/>
                <w:b/>
                <w:bCs/>
                <w:szCs w:val="32"/>
              </w:rPr>
            </w:pPr>
            <w:r w:rsidRPr="002D1A06">
              <w:rPr>
                <w:rFonts w:eastAsia="仿宋_GB2312" w:hint="eastAsia"/>
                <w:b/>
                <w:bCs/>
                <w:szCs w:val="32"/>
              </w:rPr>
              <w:t>轻度（</w:t>
            </w:r>
            <w:r w:rsidRPr="002D1A06">
              <w:rPr>
                <w:rFonts w:eastAsia="仿宋_GB2312"/>
                <w:b/>
                <w:bCs/>
                <w:szCs w:val="32"/>
              </w:rPr>
              <w:t>2</w:t>
            </w:r>
            <w:r w:rsidRPr="002D1A06">
              <w:rPr>
                <w:rFonts w:eastAsia="仿宋_GB2312" w:hint="eastAsia"/>
                <w:b/>
                <w:bCs/>
                <w:szCs w:val="32"/>
              </w:rPr>
              <w:t>分）</w:t>
            </w:r>
          </w:p>
        </w:tc>
        <w:tc>
          <w:tcPr>
            <w:tcW w:w="1153" w:type="pct"/>
            <w:tcBorders>
              <w:top w:val="single" w:sz="8" w:space="0" w:color="auto"/>
              <w:bottom w:val="single" w:sz="4" w:space="0" w:color="auto"/>
            </w:tcBorders>
            <w:vAlign w:val="center"/>
          </w:tcPr>
          <w:p w14:paraId="286274FB" w14:textId="77777777" w:rsidR="00153C42" w:rsidRPr="002D1A06" w:rsidRDefault="00597613" w:rsidP="009F75A5">
            <w:pPr>
              <w:jc w:val="center"/>
              <w:rPr>
                <w:rFonts w:eastAsia="仿宋_GB2312"/>
                <w:b/>
                <w:bCs/>
                <w:szCs w:val="32"/>
              </w:rPr>
            </w:pPr>
            <w:r w:rsidRPr="002D1A06">
              <w:rPr>
                <w:rFonts w:eastAsia="仿宋_GB2312" w:hint="eastAsia"/>
                <w:b/>
                <w:bCs/>
                <w:szCs w:val="32"/>
              </w:rPr>
              <w:t>重度（</w:t>
            </w:r>
            <w:r w:rsidRPr="002D1A06">
              <w:rPr>
                <w:rFonts w:eastAsia="仿宋_GB2312"/>
                <w:b/>
                <w:bCs/>
                <w:szCs w:val="32"/>
              </w:rPr>
              <w:t>3</w:t>
            </w:r>
            <w:r w:rsidRPr="002D1A06">
              <w:rPr>
                <w:rFonts w:eastAsia="仿宋_GB2312" w:hint="eastAsia"/>
                <w:b/>
                <w:bCs/>
                <w:szCs w:val="32"/>
              </w:rPr>
              <w:t>分）</w:t>
            </w:r>
          </w:p>
        </w:tc>
      </w:tr>
      <w:tr w:rsidR="00153C42" w14:paraId="1D9883B4" w14:textId="77777777">
        <w:trPr>
          <w:trHeight w:val="561"/>
          <w:jc w:val="center"/>
        </w:trPr>
        <w:tc>
          <w:tcPr>
            <w:tcW w:w="742" w:type="pct"/>
            <w:vAlign w:val="center"/>
          </w:tcPr>
          <w:p w14:paraId="65BFA33F" w14:textId="77777777" w:rsidR="00153C42" w:rsidRDefault="00597613">
            <w:pPr>
              <w:adjustRightInd w:val="0"/>
              <w:snapToGrid w:val="0"/>
              <w:jc w:val="center"/>
              <w:rPr>
                <w:rFonts w:eastAsia="仿宋_GB2312"/>
                <w:szCs w:val="21"/>
              </w:rPr>
            </w:pPr>
            <w:r>
              <w:rPr>
                <w:rFonts w:eastAsia="仿宋_GB2312" w:hint="eastAsia"/>
                <w:szCs w:val="21"/>
              </w:rPr>
              <w:t>精神状况</w:t>
            </w:r>
          </w:p>
        </w:tc>
        <w:tc>
          <w:tcPr>
            <w:tcW w:w="783" w:type="pct"/>
            <w:vAlign w:val="center"/>
          </w:tcPr>
          <w:p w14:paraId="03E687A6"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1169" w:type="pct"/>
            <w:vAlign w:val="center"/>
          </w:tcPr>
          <w:p w14:paraId="3DEEA407" w14:textId="77777777" w:rsidR="00153C42" w:rsidRDefault="00597613">
            <w:pPr>
              <w:adjustRightInd w:val="0"/>
              <w:snapToGrid w:val="0"/>
              <w:jc w:val="center"/>
              <w:rPr>
                <w:rFonts w:eastAsia="仿宋_GB2312"/>
                <w:szCs w:val="21"/>
              </w:rPr>
            </w:pPr>
            <w:r>
              <w:rPr>
                <w:rFonts w:eastAsia="仿宋_GB2312" w:hint="eastAsia"/>
                <w:szCs w:val="21"/>
              </w:rPr>
              <w:t>精神不振，活动减少</w:t>
            </w:r>
          </w:p>
        </w:tc>
        <w:tc>
          <w:tcPr>
            <w:tcW w:w="1153" w:type="pct"/>
            <w:vAlign w:val="center"/>
          </w:tcPr>
          <w:p w14:paraId="07176747" w14:textId="77777777" w:rsidR="00153C42" w:rsidRDefault="00597613">
            <w:pPr>
              <w:adjustRightInd w:val="0"/>
              <w:snapToGrid w:val="0"/>
              <w:jc w:val="center"/>
              <w:rPr>
                <w:rFonts w:eastAsia="仿宋_GB2312"/>
                <w:szCs w:val="21"/>
              </w:rPr>
            </w:pPr>
            <w:r>
              <w:rPr>
                <w:rFonts w:eastAsia="仿宋_GB2312" w:hint="eastAsia"/>
                <w:szCs w:val="21"/>
              </w:rPr>
              <w:t>精神不振，喜卧懒动</w:t>
            </w:r>
          </w:p>
        </w:tc>
        <w:tc>
          <w:tcPr>
            <w:tcW w:w="1153" w:type="pct"/>
            <w:vAlign w:val="center"/>
          </w:tcPr>
          <w:p w14:paraId="27E1D441" w14:textId="77777777" w:rsidR="00153C42" w:rsidRDefault="00597613">
            <w:pPr>
              <w:adjustRightInd w:val="0"/>
              <w:snapToGrid w:val="0"/>
              <w:jc w:val="center"/>
              <w:rPr>
                <w:rFonts w:eastAsia="仿宋_GB2312"/>
                <w:szCs w:val="21"/>
              </w:rPr>
            </w:pPr>
            <w:r>
              <w:rPr>
                <w:rFonts w:eastAsia="仿宋_GB2312" w:hint="eastAsia"/>
                <w:szCs w:val="21"/>
              </w:rPr>
              <w:t>精神沉郁，神情呆滞</w:t>
            </w:r>
          </w:p>
        </w:tc>
      </w:tr>
      <w:tr w:rsidR="00153C42" w14:paraId="46E0EF80" w14:textId="77777777">
        <w:trPr>
          <w:trHeight w:val="561"/>
          <w:jc w:val="center"/>
        </w:trPr>
        <w:tc>
          <w:tcPr>
            <w:tcW w:w="742" w:type="pct"/>
            <w:vAlign w:val="center"/>
          </w:tcPr>
          <w:p w14:paraId="7F014BCE" w14:textId="77777777" w:rsidR="00153C42" w:rsidRDefault="00597613">
            <w:pPr>
              <w:adjustRightInd w:val="0"/>
              <w:snapToGrid w:val="0"/>
              <w:jc w:val="center"/>
              <w:rPr>
                <w:rFonts w:eastAsia="仿宋_GB2312"/>
                <w:szCs w:val="21"/>
              </w:rPr>
            </w:pPr>
            <w:r>
              <w:rPr>
                <w:rFonts w:eastAsia="仿宋_GB2312" w:hint="eastAsia"/>
                <w:szCs w:val="21"/>
              </w:rPr>
              <w:t>四肢、体温</w:t>
            </w:r>
          </w:p>
        </w:tc>
        <w:tc>
          <w:tcPr>
            <w:tcW w:w="783" w:type="pct"/>
            <w:vAlign w:val="center"/>
          </w:tcPr>
          <w:p w14:paraId="6FC61F9C"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1169" w:type="pct"/>
            <w:vAlign w:val="center"/>
          </w:tcPr>
          <w:p w14:paraId="1EB79497" w14:textId="77777777" w:rsidR="00153C42" w:rsidRDefault="00597613">
            <w:pPr>
              <w:adjustRightInd w:val="0"/>
              <w:snapToGrid w:val="0"/>
              <w:jc w:val="center"/>
              <w:rPr>
                <w:rFonts w:eastAsia="仿宋_GB2312"/>
                <w:szCs w:val="21"/>
              </w:rPr>
            </w:pPr>
            <w:r>
              <w:rPr>
                <w:rFonts w:eastAsia="仿宋_GB2312" w:hint="eastAsia"/>
                <w:szCs w:val="21"/>
              </w:rPr>
              <w:t>四肢不温，耳温偏低</w:t>
            </w:r>
          </w:p>
        </w:tc>
        <w:tc>
          <w:tcPr>
            <w:tcW w:w="1153" w:type="pct"/>
            <w:vAlign w:val="center"/>
          </w:tcPr>
          <w:p w14:paraId="03CC3482" w14:textId="77777777" w:rsidR="00153C42" w:rsidRDefault="00597613">
            <w:pPr>
              <w:adjustRightInd w:val="0"/>
              <w:snapToGrid w:val="0"/>
              <w:jc w:val="center"/>
              <w:rPr>
                <w:rFonts w:eastAsia="仿宋_GB2312"/>
                <w:szCs w:val="21"/>
              </w:rPr>
            </w:pPr>
            <w:r>
              <w:rPr>
                <w:rFonts w:eastAsia="仿宋_GB2312" w:hint="eastAsia"/>
                <w:szCs w:val="21"/>
              </w:rPr>
              <w:t>四肢不温，耳温低</w:t>
            </w:r>
          </w:p>
        </w:tc>
        <w:tc>
          <w:tcPr>
            <w:tcW w:w="1153" w:type="pct"/>
            <w:vAlign w:val="center"/>
          </w:tcPr>
          <w:p w14:paraId="4C0715EC" w14:textId="77777777" w:rsidR="00153C42" w:rsidRDefault="00597613">
            <w:pPr>
              <w:adjustRightInd w:val="0"/>
              <w:snapToGrid w:val="0"/>
              <w:jc w:val="center"/>
              <w:rPr>
                <w:rFonts w:eastAsia="仿宋_GB2312"/>
                <w:szCs w:val="21"/>
              </w:rPr>
            </w:pPr>
            <w:r>
              <w:rPr>
                <w:rFonts w:eastAsia="仿宋_GB2312" w:hint="eastAsia"/>
                <w:szCs w:val="21"/>
              </w:rPr>
              <w:t>耳鼻四肢俱凉</w:t>
            </w:r>
          </w:p>
        </w:tc>
      </w:tr>
      <w:tr w:rsidR="00153C42" w14:paraId="0EEC4DDE" w14:textId="77777777" w:rsidTr="003E2001">
        <w:trPr>
          <w:trHeight w:val="561"/>
          <w:jc w:val="center"/>
        </w:trPr>
        <w:tc>
          <w:tcPr>
            <w:tcW w:w="742" w:type="pct"/>
            <w:tcBorders>
              <w:bottom w:val="single" w:sz="8" w:space="0" w:color="auto"/>
            </w:tcBorders>
            <w:vAlign w:val="center"/>
          </w:tcPr>
          <w:p w14:paraId="3E50E980" w14:textId="77777777" w:rsidR="00153C42" w:rsidRDefault="00597613">
            <w:pPr>
              <w:adjustRightInd w:val="0"/>
              <w:snapToGrid w:val="0"/>
              <w:jc w:val="center"/>
              <w:rPr>
                <w:rFonts w:eastAsia="仿宋_GB2312"/>
                <w:szCs w:val="21"/>
              </w:rPr>
            </w:pPr>
            <w:r>
              <w:rPr>
                <w:rFonts w:eastAsia="仿宋_GB2312" w:hint="eastAsia"/>
                <w:szCs w:val="21"/>
              </w:rPr>
              <w:t>鼻盘</w:t>
            </w:r>
          </w:p>
        </w:tc>
        <w:tc>
          <w:tcPr>
            <w:tcW w:w="783" w:type="pct"/>
            <w:tcBorders>
              <w:bottom w:val="single" w:sz="8" w:space="0" w:color="auto"/>
            </w:tcBorders>
            <w:vAlign w:val="center"/>
          </w:tcPr>
          <w:p w14:paraId="411AB1D6" w14:textId="77777777" w:rsidR="00153C42" w:rsidRDefault="00597613">
            <w:pPr>
              <w:adjustRightInd w:val="0"/>
              <w:snapToGrid w:val="0"/>
              <w:jc w:val="center"/>
              <w:rPr>
                <w:rFonts w:eastAsia="仿宋_GB2312"/>
                <w:szCs w:val="21"/>
              </w:rPr>
            </w:pPr>
            <w:r>
              <w:rPr>
                <w:rFonts w:eastAsia="仿宋_GB2312" w:hint="eastAsia"/>
                <w:szCs w:val="21"/>
              </w:rPr>
              <w:t>正常</w:t>
            </w:r>
          </w:p>
        </w:tc>
        <w:tc>
          <w:tcPr>
            <w:tcW w:w="1169" w:type="pct"/>
            <w:tcBorders>
              <w:bottom w:val="single" w:sz="8" w:space="0" w:color="auto"/>
            </w:tcBorders>
            <w:vAlign w:val="center"/>
          </w:tcPr>
          <w:p w14:paraId="38252C85" w14:textId="77777777" w:rsidR="00153C42" w:rsidRDefault="00597613">
            <w:pPr>
              <w:adjustRightInd w:val="0"/>
              <w:snapToGrid w:val="0"/>
              <w:jc w:val="center"/>
              <w:rPr>
                <w:rFonts w:eastAsia="仿宋_GB2312"/>
                <w:szCs w:val="21"/>
              </w:rPr>
            </w:pPr>
            <w:r>
              <w:rPr>
                <w:rFonts w:eastAsia="仿宋_GB2312" w:hint="eastAsia"/>
                <w:szCs w:val="21"/>
              </w:rPr>
              <w:t>微微发干</w:t>
            </w:r>
          </w:p>
        </w:tc>
        <w:tc>
          <w:tcPr>
            <w:tcW w:w="1153" w:type="pct"/>
            <w:tcBorders>
              <w:bottom w:val="single" w:sz="8" w:space="0" w:color="auto"/>
            </w:tcBorders>
            <w:vAlign w:val="center"/>
          </w:tcPr>
          <w:p w14:paraId="0529B2A0" w14:textId="77777777" w:rsidR="00153C42" w:rsidRDefault="00597613">
            <w:pPr>
              <w:adjustRightInd w:val="0"/>
              <w:snapToGrid w:val="0"/>
              <w:jc w:val="center"/>
              <w:rPr>
                <w:rFonts w:eastAsia="仿宋_GB2312"/>
                <w:szCs w:val="21"/>
              </w:rPr>
            </w:pPr>
            <w:r>
              <w:rPr>
                <w:rFonts w:eastAsia="仿宋_GB2312" w:hint="eastAsia"/>
                <w:szCs w:val="21"/>
              </w:rPr>
              <w:t>干燥</w:t>
            </w:r>
          </w:p>
        </w:tc>
        <w:tc>
          <w:tcPr>
            <w:tcW w:w="1153" w:type="pct"/>
            <w:tcBorders>
              <w:bottom w:val="single" w:sz="8" w:space="0" w:color="auto"/>
            </w:tcBorders>
            <w:vAlign w:val="center"/>
          </w:tcPr>
          <w:p w14:paraId="2BB66278" w14:textId="77777777" w:rsidR="00153C42" w:rsidRDefault="00597613">
            <w:pPr>
              <w:adjustRightInd w:val="0"/>
              <w:snapToGrid w:val="0"/>
              <w:jc w:val="center"/>
              <w:rPr>
                <w:rFonts w:eastAsia="仿宋_GB2312"/>
                <w:szCs w:val="21"/>
              </w:rPr>
            </w:pPr>
            <w:r>
              <w:rPr>
                <w:rFonts w:eastAsia="仿宋_GB2312" w:hint="eastAsia"/>
                <w:szCs w:val="21"/>
              </w:rPr>
              <w:t>干裂</w:t>
            </w:r>
          </w:p>
        </w:tc>
      </w:tr>
    </w:tbl>
    <w:p w14:paraId="1A7400F0" w14:textId="77777777" w:rsidR="00153C42" w:rsidRDefault="00597613">
      <w:pPr>
        <w:adjustRightInd w:val="0"/>
        <w:snapToGrid w:val="0"/>
        <w:spacing w:line="500" w:lineRule="exact"/>
        <w:ind w:firstLineChars="200" w:firstLine="643"/>
        <w:rPr>
          <w:rFonts w:eastAsia="楷体_GB2312"/>
          <w:b/>
          <w:sz w:val="32"/>
          <w:szCs w:val="32"/>
        </w:rPr>
      </w:pPr>
      <w:r>
        <w:rPr>
          <w:rFonts w:eastAsia="楷体_GB2312" w:hint="eastAsia"/>
          <w:b/>
          <w:sz w:val="32"/>
          <w:szCs w:val="32"/>
        </w:rPr>
        <w:t>（四）受试动物选择</w:t>
      </w:r>
    </w:p>
    <w:p w14:paraId="6F54AF02" w14:textId="79F76B74" w:rsidR="00153C42" w:rsidRDefault="00597613" w:rsidP="006F2EF5">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w:t>
      </w:r>
      <w:r w:rsidR="002D1A06">
        <w:rPr>
          <w:rFonts w:eastAsia="仿宋_GB2312"/>
          <w:b/>
          <w:sz w:val="32"/>
          <w:szCs w:val="32"/>
        </w:rPr>
        <w:t xml:space="preserve"> </w:t>
      </w:r>
      <w:r>
        <w:rPr>
          <w:rFonts w:eastAsia="仿宋_GB2312"/>
          <w:b/>
          <w:sz w:val="32"/>
          <w:szCs w:val="32"/>
        </w:rPr>
        <w:t>纳入标准</w:t>
      </w:r>
    </w:p>
    <w:p w14:paraId="1ECAC5EE"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）猪来源明确，猪场具有检疫合格证；</w:t>
      </w:r>
    </w:p>
    <w:p w14:paraId="64180C02"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09918CAF"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sz w:val="32"/>
          <w:szCs w:val="32"/>
        </w:rPr>
        <w:t>2</w:t>
      </w:r>
      <w:r>
        <w:rPr>
          <w:rFonts w:eastAsia="仿宋_GB2312" w:hint="eastAsia"/>
          <w:sz w:val="32"/>
          <w:szCs w:val="32"/>
        </w:rPr>
        <w:t>周，未接受过除疫苗和消毒剂以外的其他药物的预防或治疗；</w:t>
      </w:r>
    </w:p>
    <w:p w14:paraId="2FCED4E4" w14:textId="2B8F2811"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）患病猪符合脾胃虚弱</w:t>
      </w:r>
      <w:r w:rsidR="00D266EA">
        <w:rPr>
          <w:rFonts w:eastAsia="仿宋_GB2312" w:hint="eastAsia"/>
          <w:sz w:val="32"/>
          <w:szCs w:val="32"/>
        </w:rPr>
        <w:t>证</w:t>
      </w:r>
      <w:r>
        <w:rPr>
          <w:rFonts w:eastAsia="仿宋_GB2312" w:hint="eastAsia"/>
          <w:sz w:val="32"/>
          <w:szCs w:val="32"/>
        </w:rPr>
        <w:t>的临床证候</w:t>
      </w:r>
      <w:r w:rsidR="002D1A06">
        <w:rPr>
          <w:rFonts w:eastAsia="仿宋_GB2312" w:hint="eastAsia"/>
          <w:sz w:val="32"/>
          <w:szCs w:val="32"/>
        </w:rPr>
        <w:t>诊断标准。</w:t>
      </w:r>
    </w:p>
    <w:p w14:paraId="5AC75BCE" w14:textId="72170D88" w:rsidR="00153C42" w:rsidRDefault="00597613">
      <w:pPr>
        <w:adjustRightInd w:val="0"/>
        <w:snapToGrid w:val="0"/>
        <w:spacing w:line="560" w:lineRule="exact"/>
        <w:ind w:firstLineChars="200" w:firstLine="643"/>
        <w:rPr>
          <w:rFonts w:eastAsia="仿宋_GB2312"/>
          <w:b/>
          <w:sz w:val="32"/>
          <w:szCs w:val="32"/>
        </w:rPr>
      </w:pPr>
      <w:r>
        <w:rPr>
          <w:rFonts w:eastAsia="仿宋_GB2312"/>
          <w:b/>
          <w:sz w:val="32"/>
          <w:szCs w:val="32"/>
        </w:rPr>
        <w:lastRenderedPageBreak/>
        <w:t>2.</w:t>
      </w:r>
      <w:r w:rsidR="002D1A06">
        <w:rPr>
          <w:rFonts w:eastAsia="仿宋_GB2312"/>
          <w:b/>
          <w:sz w:val="32"/>
          <w:szCs w:val="32"/>
        </w:rPr>
        <w:t xml:space="preserve"> </w:t>
      </w:r>
      <w:r>
        <w:rPr>
          <w:rFonts w:eastAsia="仿宋_GB2312"/>
          <w:b/>
          <w:sz w:val="32"/>
          <w:szCs w:val="32"/>
        </w:rPr>
        <w:t>排除标准</w:t>
      </w:r>
    </w:p>
    <w:p w14:paraId="2D19D0E5"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）有脾胃虚弱证以外的证候或疾病的病猪；</w:t>
      </w:r>
    </w:p>
    <w:p w14:paraId="526F999D"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）发病后濒临死亡，预后不良，预期难以救治的病猪；</w:t>
      </w:r>
    </w:p>
    <w:p w14:paraId="1E64ED43"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）试验前接受过可影响本试验的药物治疗的病猪；</w:t>
      </w:r>
    </w:p>
    <w:p w14:paraId="20EED2EC" w14:textId="77777777" w:rsidR="00153C42" w:rsidRDefault="00597613">
      <w:pPr>
        <w:adjustRightInd w:val="0"/>
        <w:snapToGrid w:val="0"/>
        <w:spacing w:line="5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）药物治疗后不能持续跟踪观察，数据丢失严重的病猪。</w:t>
      </w:r>
    </w:p>
    <w:p w14:paraId="051E6854" w14:textId="77777777" w:rsidR="00153C42" w:rsidRDefault="00597613">
      <w:pPr>
        <w:adjustRightInd w:val="0"/>
        <w:snapToGrid w:val="0"/>
        <w:spacing w:line="500" w:lineRule="exact"/>
        <w:ind w:firstLineChars="200" w:firstLine="643"/>
        <w:rPr>
          <w:rFonts w:eastAsia="楷体_GB2312"/>
          <w:b/>
          <w:sz w:val="32"/>
          <w:szCs w:val="32"/>
        </w:rPr>
      </w:pPr>
      <w:r>
        <w:rPr>
          <w:rFonts w:eastAsia="楷体_GB2312" w:hint="eastAsia"/>
          <w:b/>
          <w:sz w:val="32"/>
          <w:szCs w:val="32"/>
        </w:rPr>
        <w:t>（五）退出标准</w:t>
      </w:r>
    </w:p>
    <w:p w14:paraId="7A9501A7"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）试验期间出现外因导致的受伤、有生命危险等情况；</w:t>
      </w:r>
    </w:p>
    <w:p w14:paraId="416D6B23"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1DB40724"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1E82B95C" w14:textId="77777777" w:rsidR="00153C42" w:rsidRDefault="00597613" w:rsidP="009F75A5">
      <w:pPr>
        <w:adjustRightInd w:val="0"/>
        <w:snapToGrid w:val="0"/>
        <w:spacing w:line="500" w:lineRule="exact"/>
        <w:ind w:firstLineChars="200" w:firstLine="643"/>
        <w:rPr>
          <w:rFonts w:eastAsia="楷体_GB2312"/>
          <w:b/>
          <w:sz w:val="32"/>
          <w:szCs w:val="32"/>
        </w:rPr>
      </w:pPr>
      <w:r>
        <w:rPr>
          <w:rFonts w:eastAsia="楷体_GB2312" w:hint="eastAsia"/>
          <w:b/>
          <w:sz w:val="32"/>
          <w:szCs w:val="32"/>
        </w:rPr>
        <w:t>（六）</w:t>
      </w:r>
      <w:r>
        <w:rPr>
          <w:rFonts w:eastAsia="楷体_GB2312"/>
          <w:b/>
          <w:sz w:val="32"/>
          <w:szCs w:val="32"/>
        </w:rPr>
        <w:t>试验中止</w:t>
      </w:r>
    </w:p>
    <w:p w14:paraId="180DCAA0"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64232B8C" w14:textId="77777777" w:rsidR="00153C42" w:rsidRDefault="00597613" w:rsidP="009F75A5">
      <w:pPr>
        <w:adjustRightInd w:val="0"/>
        <w:snapToGrid w:val="0"/>
        <w:spacing w:line="500" w:lineRule="exact"/>
        <w:ind w:firstLineChars="200" w:firstLine="643"/>
        <w:rPr>
          <w:rFonts w:eastAsia="楷体_GB2312"/>
          <w:b/>
          <w:sz w:val="32"/>
          <w:szCs w:val="32"/>
        </w:rPr>
      </w:pPr>
      <w:bookmarkStart w:id="4" w:name="_Toc499033911"/>
      <w:r>
        <w:rPr>
          <w:rFonts w:eastAsia="楷体_GB2312" w:hint="eastAsia"/>
          <w:b/>
          <w:sz w:val="32"/>
          <w:szCs w:val="32"/>
        </w:rPr>
        <w:t>（七）试验设计</w:t>
      </w:r>
      <w:bookmarkEnd w:id="4"/>
    </w:p>
    <w:p w14:paraId="344A8861"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）设盲</w:t>
      </w:r>
    </w:p>
    <w:p w14:paraId="2A5EC802"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评估者设计。分组和给药人员不参与疗效评估；疗效评估者不了解试验猪的分组、给药与药物信息；锁定数据后揭盲，对数据进行分析并撰写试验报告。试验期间，除非出现严重不良事件，不对相关人员揭盲。</w:t>
      </w:r>
    </w:p>
    <w:p w14:paraId="112BB53E"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54D4CE0F"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分组遵循随机、对照和重复的原则，药效评价试验设置三个剂量组（即高、中、低剂量组，中剂量为推荐剂量）和药物对照组。药效评价田间试验设置推荐剂量组和药物对照组。</w:t>
      </w:r>
    </w:p>
    <w:p w14:paraId="02F1FAAE"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3</w:t>
      </w:r>
      <w:r>
        <w:rPr>
          <w:rFonts w:eastAsia="仿宋_GB2312" w:hint="eastAsia"/>
          <w:sz w:val="32"/>
          <w:szCs w:val="32"/>
        </w:rPr>
        <w:t>）给药方案</w:t>
      </w:r>
    </w:p>
    <w:p w14:paraId="182AA7E6" w14:textId="77777777" w:rsidR="00153C42" w:rsidRDefault="00597613">
      <w:pPr>
        <w:adjustRightInd w:val="0"/>
        <w:snapToGrid w:val="0"/>
        <w:spacing w:line="500" w:lineRule="exact"/>
        <w:ind w:firstLineChars="200" w:firstLine="640"/>
        <w:rPr>
          <w:rFonts w:eastAsia="仿宋_GB2312"/>
          <w:sz w:val="32"/>
          <w:szCs w:val="32"/>
        </w:rPr>
      </w:pPr>
      <w:r>
        <w:rPr>
          <w:rFonts w:eastAsia="仿宋_GB2312" w:hint="eastAsia"/>
          <w:sz w:val="32"/>
          <w:szCs w:val="32"/>
        </w:rPr>
        <w:t>给药方案包括规范明确的给药途径、给药方法、使用剂量、投药频次，次数、时机及给药疗程。</w:t>
      </w:r>
    </w:p>
    <w:p w14:paraId="3777EF5C" w14:textId="77777777" w:rsidR="00153C42" w:rsidRDefault="00597613" w:rsidP="009F75A5">
      <w:pPr>
        <w:adjustRightInd w:val="0"/>
        <w:snapToGrid w:val="0"/>
        <w:spacing w:line="500" w:lineRule="exact"/>
        <w:ind w:firstLineChars="200" w:firstLine="643"/>
        <w:rPr>
          <w:rFonts w:eastAsia="楷体_GB2312"/>
          <w:b/>
          <w:sz w:val="32"/>
          <w:szCs w:val="32"/>
        </w:rPr>
      </w:pPr>
      <w:r>
        <w:rPr>
          <w:rFonts w:eastAsia="楷体_GB2312" w:hint="eastAsia"/>
          <w:b/>
          <w:sz w:val="32"/>
          <w:szCs w:val="32"/>
        </w:rPr>
        <w:t>（八）对照药物选择</w:t>
      </w:r>
    </w:p>
    <w:p w14:paraId="0F266DDF"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5051C87F"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如没有可选的获得批准文号的合法对照药物，则对照药物可选安慰剂，安慰剂应在剂型、外观、气味、口感、质感等特征性状上与试验药物尽量接近，确保临床研究者在盲态下开展研究。</w:t>
      </w:r>
    </w:p>
    <w:p w14:paraId="6C858AB9" w14:textId="77777777" w:rsidR="00153C42" w:rsidRDefault="00597613" w:rsidP="009F75A5">
      <w:pPr>
        <w:adjustRightInd w:val="0"/>
        <w:snapToGrid w:val="0"/>
        <w:spacing w:line="500" w:lineRule="exact"/>
        <w:ind w:firstLineChars="200" w:firstLine="643"/>
        <w:rPr>
          <w:rFonts w:eastAsia="楷体_GB2312"/>
          <w:b/>
          <w:sz w:val="32"/>
          <w:szCs w:val="32"/>
        </w:rPr>
      </w:pPr>
      <w:r>
        <w:rPr>
          <w:rFonts w:eastAsia="楷体_GB2312" w:hint="eastAsia"/>
          <w:b/>
          <w:sz w:val="32"/>
          <w:szCs w:val="32"/>
        </w:rPr>
        <w:t>（九）疗程及观测时点</w:t>
      </w:r>
    </w:p>
    <w:p w14:paraId="5A27CC33"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根据药物特点和前期研究信息合理设置观测时点及疗程，并根据研究目的的不同，科学设计观测的方法、观测时点、观测内容等。</w:t>
      </w:r>
    </w:p>
    <w:p w14:paraId="43D19712" w14:textId="77777777" w:rsidR="00153C42" w:rsidRDefault="00597613" w:rsidP="009F75A5">
      <w:pPr>
        <w:adjustRightInd w:val="0"/>
        <w:snapToGrid w:val="0"/>
        <w:spacing w:line="500" w:lineRule="exact"/>
        <w:ind w:firstLineChars="200" w:firstLine="643"/>
        <w:rPr>
          <w:rFonts w:eastAsia="楷体_GB2312"/>
          <w:b/>
          <w:sz w:val="32"/>
          <w:szCs w:val="32"/>
        </w:rPr>
      </w:pPr>
      <w:r>
        <w:rPr>
          <w:rFonts w:eastAsia="楷体_GB2312" w:hint="eastAsia"/>
          <w:b/>
          <w:sz w:val="32"/>
          <w:szCs w:val="32"/>
        </w:rPr>
        <w:t>（十）有效性评价</w:t>
      </w:r>
    </w:p>
    <w:p w14:paraId="5A9D5F82"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评价。中兽医证候疗效为复合性指标，包括主症和次症的消除、改善或控制，并可以共同积分的改变进行评价。应重视各指标的权重赋值的合理确定，新兽药治疗猪脾胃虚弱证的具体临床评价指标如下：</w:t>
      </w:r>
    </w:p>
    <w:p w14:paraId="6265F37D"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）治愈：临床证候消除，症状积分减少</w:t>
      </w:r>
      <w:r>
        <w:rPr>
          <w:rFonts w:eastAsia="仿宋_GB2312" w:hint="eastAsia"/>
          <w:sz w:val="32"/>
          <w:szCs w:val="32"/>
        </w:rPr>
        <w:t>100%</w:t>
      </w:r>
      <w:r>
        <w:rPr>
          <w:rFonts w:eastAsia="仿宋_GB2312" w:hint="eastAsia"/>
          <w:sz w:val="32"/>
          <w:szCs w:val="32"/>
        </w:rPr>
        <w:t>。治疗后病猪腹泻症状完全消除，体重恢复增长，膘情良好、精神、</w:t>
      </w:r>
      <w:r>
        <w:rPr>
          <w:rFonts w:eastAsia="仿宋_GB2312" w:hint="eastAsia"/>
          <w:sz w:val="32"/>
          <w:szCs w:val="32"/>
        </w:rPr>
        <w:lastRenderedPageBreak/>
        <w:t>食欲、饮欲、体温等恢复正常，观察期不复发，判为治愈。计算治愈率。</w:t>
      </w:r>
    </w:p>
    <w:p w14:paraId="7C3AE683"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）显效：临床证候明显改善，症状积分减少≥</w:t>
      </w:r>
      <w:r>
        <w:rPr>
          <w:rFonts w:eastAsia="仿宋_GB2312" w:hint="eastAsia"/>
          <w:sz w:val="32"/>
          <w:szCs w:val="32"/>
        </w:rPr>
        <w:t>7</w:t>
      </w:r>
      <w:r>
        <w:rPr>
          <w:rFonts w:eastAsia="仿宋_GB2312"/>
          <w:sz w:val="32"/>
          <w:szCs w:val="32"/>
        </w:rPr>
        <w:t>0</w:t>
      </w:r>
      <w:r>
        <w:rPr>
          <w:rFonts w:eastAsia="仿宋_GB2312" w:hint="eastAsia"/>
          <w:sz w:val="32"/>
          <w:szCs w:val="32"/>
        </w:rPr>
        <w:t>%</w:t>
      </w:r>
      <w:r>
        <w:rPr>
          <w:rFonts w:eastAsia="仿宋_GB2312" w:hint="eastAsia"/>
          <w:sz w:val="32"/>
          <w:szCs w:val="32"/>
        </w:rPr>
        <w:t>。治疗后患病猪腹泻或便秘症状明显减轻，消瘦状态得以改善，精神好转，食欲、饮欲、体温等基本恢复正常；观察期内症状不再加重，判断为显效。计算显效率。</w:t>
      </w:r>
    </w:p>
    <w:p w14:paraId="7AAA2333"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）有效：临床证候部分改善，</w:t>
      </w:r>
      <w:r>
        <w:rPr>
          <w:rFonts w:eastAsia="仿宋_GB2312"/>
          <w:sz w:val="32"/>
          <w:szCs w:val="32"/>
        </w:rPr>
        <w:t>30%</w:t>
      </w:r>
      <w:r>
        <w:rPr>
          <w:rFonts w:eastAsia="仿宋_GB2312" w:hint="eastAsia"/>
          <w:sz w:val="32"/>
          <w:szCs w:val="32"/>
        </w:rPr>
        <w:t>≤症状积分减少＜</w:t>
      </w:r>
      <w:r>
        <w:rPr>
          <w:rFonts w:eastAsia="仿宋_GB2312"/>
          <w:sz w:val="32"/>
          <w:szCs w:val="32"/>
        </w:rPr>
        <w:t>70%</w:t>
      </w:r>
      <w:r>
        <w:rPr>
          <w:rFonts w:eastAsia="仿宋_GB2312" w:hint="eastAsia"/>
          <w:sz w:val="32"/>
          <w:szCs w:val="32"/>
        </w:rPr>
        <w:t>。治疗后病猪腹泻症状略有好转，消瘦状态略有改善，精神、食欲、饮欲、发热等症状略有好转；观察期内症状不再加重，判断为有效。计算有效率。</w:t>
      </w:r>
    </w:p>
    <w:p w14:paraId="6C156638"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）无效：临床证候无明显改善，甚或加重，症状积分减少＜</w:t>
      </w:r>
      <w:r>
        <w:rPr>
          <w:rFonts w:eastAsia="仿宋_GB2312"/>
          <w:sz w:val="32"/>
          <w:szCs w:val="32"/>
        </w:rPr>
        <w:t>30%</w:t>
      </w:r>
      <w:r>
        <w:rPr>
          <w:rFonts w:eastAsia="仿宋_GB2312" w:hint="eastAsia"/>
          <w:sz w:val="32"/>
          <w:szCs w:val="32"/>
        </w:rPr>
        <w:t>。治疗后病猪腹泻症状没有减轻，精神、食欲、饮欲、发热等症状未改善甚至加重或死亡。判为无效。计算无效率</w:t>
      </w:r>
      <w:r>
        <w:rPr>
          <w:rFonts w:eastAsia="仿宋_GB2312"/>
          <w:sz w:val="32"/>
          <w:szCs w:val="32"/>
        </w:rPr>
        <w:t>。</w:t>
      </w:r>
    </w:p>
    <w:p w14:paraId="0BFF5494"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hint="eastAsia"/>
          <w:sz w:val="32"/>
          <w:szCs w:val="32"/>
        </w:rPr>
        <w:t>最后统计总有效率，总有效率为治愈率、显效率、有效率之和。以治愈率、显效率和总有效率为主要指标。</w:t>
      </w:r>
    </w:p>
    <w:p w14:paraId="5D5C6A56" w14:textId="77777777" w:rsidR="00153C42" w:rsidRDefault="00597613" w:rsidP="009F75A5">
      <w:pPr>
        <w:adjustRightInd w:val="0"/>
        <w:snapToGrid w:val="0"/>
        <w:spacing w:line="500" w:lineRule="exact"/>
        <w:ind w:firstLineChars="200" w:firstLine="643"/>
        <w:rPr>
          <w:rFonts w:eastAsia="楷体_GB2312"/>
          <w:b/>
          <w:sz w:val="32"/>
          <w:szCs w:val="32"/>
        </w:rPr>
      </w:pPr>
      <w:bookmarkStart w:id="5" w:name="_Toc499033918"/>
      <w:r>
        <w:rPr>
          <w:rFonts w:eastAsia="楷体_GB2312" w:hint="eastAsia"/>
          <w:b/>
          <w:sz w:val="32"/>
          <w:szCs w:val="32"/>
        </w:rPr>
        <w:t>（十一）试验的质量控制</w:t>
      </w:r>
    </w:p>
    <w:p w14:paraId="3D684467" w14:textId="77777777" w:rsidR="00153C42" w:rsidRDefault="00597613">
      <w:pPr>
        <w:adjustRightInd w:val="0"/>
        <w:snapToGrid w:val="0"/>
        <w:spacing w:line="560" w:lineRule="exact"/>
        <w:ind w:firstLineChars="200" w:firstLine="640"/>
        <w:rPr>
          <w:rFonts w:ascii="等线" w:eastAsia="仿宋_GB2312" w:hAnsi="等线"/>
          <w:sz w:val="32"/>
          <w:szCs w:val="32"/>
        </w:rPr>
      </w:pPr>
      <w:r>
        <w:rPr>
          <w:rFonts w:eastAsia="仿宋_GB2312" w:hint="eastAsia"/>
          <w:sz w:val="32"/>
          <w:szCs w:val="32"/>
        </w:rPr>
        <w:t>试验</w:t>
      </w:r>
      <w:r>
        <w:rPr>
          <w:rFonts w:eastAsia="仿宋_GB2312"/>
          <w:sz w:val="32"/>
          <w:szCs w:val="32"/>
        </w:rPr>
        <w:t>应当选择一种</w:t>
      </w:r>
      <w:r>
        <w:rPr>
          <w:rFonts w:eastAsia="仿宋_GB2312" w:hint="eastAsia"/>
          <w:sz w:val="32"/>
          <w:szCs w:val="32"/>
        </w:rPr>
        <w:t>适当的</w:t>
      </w:r>
      <w:r>
        <w:rPr>
          <w:rFonts w:eastAsia="仿宋_GB2312"/>
          <w:sz w:val="32"/>
          <w:szCs w:val="32"/>
        </w:rPr>
        <w:t>方式，便于评价</w:t>
      </w:r>
      <w:r>
        <w:rPr>
          <w:rFonts w:eastAsia="仿宋_GB2312" w:hint="eastAsia"/>
          <w:sz w:val="32"/>
          <w:szCs w:val="32"/>
        </w:rPr>
        <w:t>患病动物</w:t>
      </w:r>
      <w:r>
        <w:rPr>
          <w:rFonts w:eastAsia="仿宋_GB2312"/>
          <w:sz w:val="32"/>
          <w:szCs w:val="32"/>
        </w:rPr>
        <w:t>在试验过程中每天的症状和体征。</w:t>
      </w:r>
      <w:r>
        <w:rPr>
          <w:rFonts w:ascii="等线" w:eastAsia="仿宋_GB2312" w:hAnsi="等线"/>
          <w:sz w:val="32"/>
          <w:szCs w:val="32"/>
        </w:rPr>
        <w:t>对于主观评价指标，质量控制至关重要。若在试验的某个阶段（如探索性试验阶段）未采取盲法设计，应着重注意保证评价者与数据分析者均处于盲态，降低偏倚性。</w:t>
      </w:r>
    </w:p>
    <w:p w14:paraId="6414F11E" w14:textId="77777777" w:rsidR="00153C42" w:rsidRDefault="00597613" w:rsidP="009F75A5">
      <w:pPr>
        <w:adjustRightInd w:val="0"/>
        <w:snapToGrid w:val="0"/>
        <w:spacing w:line="500" w:lineRule="exact"/>
        <w:ind w:firstLineChars="200" w:firstLine="643"/>
        <w:rPr>
          <w:rFonts w:eastAsia="楷体_GB2312"/>
          <w:b/>
          <w:sz w:val="32"/>
          <w:szCs w:val="32"/>
        </w:rPr>
      </w:pPr>
      <w:r>
        <w:rPr>
          <w:rFonts w:eastAsia="楷体_GB2312" w:hint="eastAsia"/>
          <w:b/>
          <w:sz w:val="32"/>
          <w:szCs w:val="32"/>
        </w:rPr>
        <w:t>（十二）统计方法</w:t>
      </w:r>
      <w:bookmarkEnd w:id="5"/>
    </w:p>
    <w:p w14:paraId="1272F39A" w14:textId="77777777" w:rsidR="00153C42" w:rsidRDefault="00597613">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相关法规或技术规程的要求进行计算统计。</w:t>
      </w:r>
    </w:p>
    <w:sectPr w:rsidR="00153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BE85D" w14:textId="77777777" w:rsidR="00B9563E" w:rsidRDefault="00B9563E" w:rsidP="006F2EF5">
      <w:r>
        <w:separator/>
      </w:r>
    </w:p>
  </w:endnote>
  <w:endnote w:type="continuationSeparator" w:id="0">
    <w:p w14:paraId="460562A1" w14:textId="77777777" w:rsidR="00B9563E" w:rsidRDefault="00B9563E" w:rsidP="006F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581FE" w14:textId="77777777" w:rsidR="00B9563E" w:rsidRDefault="00B9563E" w:rsidP="006F2EF5">
      <w:r>
        <w:separator/>
      </w:r>
    </w:p>
  </w:footnote>
  <w:footnote w:type="continuationSeparator" w:id="0">
    <w:p w14:paraId="2FB99EA6" w14:textId="77777777" w:rsidR="00B9563E" w:rsidRDefault="00B9563E" w:rsidP="006F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035C9"/>
    <w:rsid w:val="0000632E"/>
    <w:rsid w:val="00033529"/>
    <w:rsid w:val="00035F8F"/>
    <w:rsid w:val="000E3C56"/>
    <w:rsid w:val="0011200D"/>
    <w:rsid w:val="0015008C"/>
    <w:rsid w:val="00153C42"/>
    <w:rsid w:val="001872B7"/>
    <w:rsid w:val="001B0F90"/>
    <w:rsid w:val="001B345C"/>
    <w:rsid w:val="001C4C76"/>
    <w:rsid w:val="001D2D34"/>
    <w:rsid w:val="001D4C1D"/>
    <w:rsid w:val="001E0313"/>
    <w:rsid w:val="00242FE8"/>
    <w:rsid w:val="002B44DF"/>
    <w:rsid w:val="002C1760"/>
    <w:rsid w:val="002C2ABB"/>
    <w:rsid w:val="002D1A06"/>
    <w:rsid w:val="002E168B"/>
    <w:rsid w:val="002E2BD7"/>
    <w:rsid w:val="00321243"/>
    <w:rsid w:val="003504A0"/>
    <w:rsid w:val="00355B03"/>
    <w:rsid w:val="0036011F"/>
    <w:rsid w:val="00365AA8"/>
    <w:rsid w:val="003A6527"/>
    <w:rsid w:val="003B5A7E"/>
    <w:rsid w:val="003C1193"/>
    <w:rsid w:val="003C7968"/>
    <w:rsid w:val="003C79E1"/>
    <w:rsid w:val="003D066C"/>
    <w:rsid w:val="003E2001"/>
    <w:rsid w:val="003F4377"/>
    <w:rsid w:val="00424434"/>
    <w:rsid w:val="004379A6"/>
    <w:rsid w:val="0045791E"/>
    <w:rsid w:val="00474F42"/>
    <w:rsid w:val="00493D99"/>
    <w:rsid w:val="004E2BDF"/>
    <w:rsid w:val="004F7F75"/>
    <w:rsid w:val="00517EB6"/>
    <w:rsid w:val="00563CF3"/>
    <w:rsid w:val="00597613"/>
    <w:rsid w:val="005F2034"/>
    <w:rsid w:val="00607034"/>
    <w:rsid w:val="00613703"/>
    <w:rsid w:val="00636B7F"/>
    <w:rsid w:val="0066365D"/>
    <w:rsid w:val="0069300A"/>
    <w:rsid w:val="006A0212"/>
    <w:rsid w:val="006C4215"/>
    <w:rsid w:val="006D39DE"/>
    <w:rsid w:val="006F2EF5"/>
    <w:rsid w:val="007017BB"/>
    <w:rsid w:val="00711B8B"/>
    <w:rsid w:val="00717B77"/>
    <w:rsid w:val="007275A1"/>
    <w:rsid w:val="0075595F"/>
    <w:rsid w:val="007766F9"/>
    <w:rsid w:val="00782AC8"/>
    <w:rsid w:val="007A6D30"/>
    <w:rsid w:val="007B0DAB"/>
    <w:rsid w:val="007B46F6"/>
    <w:rsid w:val="007F17F7"/>
    <w:rsid w:val="007F4EE4"/>
    <w:rsid w:val="00840EF1"/>
    <w:rsid w:val="0085738A"/>
    <w:rsid w:val="0088577C"/>
    <w:rsid w:val="008878C0"/>
    <w:rsid w:val="0089557D"/>
    <w:rsid w:val="0089728E"/>
    <w:rsid w:val="008C1815"/>
    <w:rsid w:val="00906EEF"/>
    <w:rsid w:val="009378C2"/>
    <w:rsid w:val="00967BC5"/>
    <w:rsid w:val="009909E5"/>
    <w:rsid w:val="009D510E"/>
    <w:rsid w:val="009E4882"/>
    <w:rsid w:val="009F1496"/>
    <w:rsid w:val="009F75A5"/>
    <w:rsid w:val="00A144DC"/>
    <w:rsid w:val="00A230BD"/>
    <w:rsid w:val="00A26226"/>
    <w:rsid w:val="00A4605A"/>
    <w:rsid w:val="00A543B5"/>
    <w:rsid w:val="00A8162B"/>
    <w:rsid w:val="00A84E5F"/>
    <w:rsid w:val="00A93888"/>
    <w:rsid w:val="00AE46FA"/>
    <w:rsid w:val="00AF1217"/>
    <w:rsid w:val="00B9563E"/>
    <w:rsid w:val="00BB0921"/>
    <w:rsid w:val="00BF628E"/>
    <w:rsid w:val="00C00A4B"/>
    <w:rsid w:val="00C15984"/>
    <w:rsid w:val="00C30E6F"/>
    <w:rsid w:val="00C5548A"/>
    <w:rsid w:val="00C71D76"/>
    <w:rsid w:val="00C73BCD"/>
    <w:rsid w:val="00C96043"/>
    <w:rsid w:val="00CB05C1"/>
    <w:rsid w:val="00CF7445"/>
    <w:rsid w:val="00D018F3"/>
    <w:rsid w:val="00D15CA2"/>
    <w:rsid w:val="00D266EA"/>
    <w:rsid w:val="00D6194E"/>
    <w:rsid w:val="00DC25ED"/>
    <w:rsid w:val="00E04C11"/>
    <w:rsid w:val="00E26030"/>
    <w:rsid w:val="00E2742C"/>
    <w:rsid w:val="00E27830"/>
    <w:rsid w:val="00E51789"/>
    <w:rsid w:val="00E76BDA"/>
    <w:rsid w:val="00EB5607"/>
    <w:rsid w:val="00ED3A68"/>
    <w:rsid w:val="00F32DB6"/>
    <w:rsid w:val="00F54FA8"/>
    <w:rsid w:val="00F55260"/>
    <w:rsid w:val="00F60245"/>
    <w:rsid w:val="00F679BA"/>
    <w:rsid w:val="00FA6562"/>
    <w:rsid w:val="4A4362E6"/>
    <w:rsid w:val="58CD4D10"/>
    <w:rsid w:val="6A892A53"/>
    <w:rsid w:val="6EBF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0D67E"/>
  <w15:docId w15:val="{F809E55B-5132-4747-A1D6-65C8F0F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uiPriority w:val="99"/>
    <w:semiHidden/>
    <w:unhideWhenUsed/>
    <w:pPr>
      <w:spacing w:after="120"/>
      <w:ind w:leftChars="200" w:left="4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a"/>
    <w:qFormat/>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character" w:customStyle="1" w:styleId="Char1">
    <w:name w:val="批注框文本 Char"/>
    <w:basedOn w:val="a0"/>
    <w:link w:val="a5"/>
    <w:uiPriority w:val="99"/>
    <w:semiHidden/>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Pr>
      <w:rFonts w:ascii="Times New Roman" w:eastAsia="宋体" w:hAnsi="Times New Roman" w:cs="Times New Roman"/>
      <w:kern w:val="2"/>
      <w:sz w:val="21"/>
      <w:szCs w:val="24"/>
    </w:rPr>
  </w:style>
  <w:style w:type="character" w:customStyle="1" w:styleId="Char4">
    <w:name w:val="批注主题 Char"/>
    <w:basedOn w:val="Char"/>
    <w:link w:val="a8"/>
    <w:uiPriority w:val="99"/>
    <w:semiHidden/>
    <w:rPr>
      <w:rFonts w:ascii="Times New Roman" w:eastAsia="宋体" w:hAnsi="Times New Roman" w:cs="Times New Roman"/>
      <w:b/>
      <w:bCs/>
      <w:kern w:val="2"/>
      <w:sz w:val="21"/>
      <w:szCs w:val="24"/>
    </w:rPr>
  </w:style>
  <w:style w:type="paragraph" w:styleId="ab">
    <w:name w:val="Revision"/>
    <w:hidden/>
    <w:uiPriority w:val="99"/>
    <w:semiHidden/>
    <w:rsid w:val="006F2EF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dcterms:created xsi:type="dcterms:W3CDTF">2024-01-25T07:58:00Z</dcterms:created>
  <dcterms:modified xsi:type="dcterms:W3CDTF">2024-01-25T09:21:00Z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A314DBCE161F43D7A053A7407E8A25FD_13</vt:lpwstr>
  </property>
</Properties>
</file>