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8BA24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869E36D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146991A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C6C3F60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FC84A46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1D637C6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2266053" w14:textId="2C126DE8" w:rsidR="00654004" w:rsidRPr="00717DBF" w:rsidRDefault="00B91CC2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用于牛湿热泄泻证</w:t>
      </w:r>
      <w:r w:rsidR="009A204E" w:rsidRPr="00717DBF">
        <w:rPr>
          <w:rFonts w:ascii="黑体" w:eastAsia="黑体" w:hAnsi="黑体" w:cs="黑体" w:hint="eastAsia"/>
          <w:b/>
          <w:bCs/>
          <w:sz w:val="32"/>
          <w:szCs w:val="32"/>
        </w:rPr>
        <w:t>的兽用</w:t>
      </w:r>
      <w:r w:rsidRPr="00717DBF">
        <w:rPr>
          <w:rFonts w:ascii="黑体" w:eastAsia="黑体" w:hAnsi="黑体" w:cs="黑体" w:hint="eastAsia"/>
          <w:b/>
          <w:bCs/>
          <w:sz w:val="32"/>
          <w:szCs w:val="32"/>
        </w:rPr>
        <w:t>中药临床研究技术指导原则</w:t>
      </w:r>
    </w:p>
    <w:p w14:paraId="5A0F2F40" w14:textId="0E0D4F88" w:rsidR="009A204E" w:rsidRPr="00717DBF" w:rsidRDefault="009A204E">
      <w:pPr>
        <w:adjustRightInd w:val="0"/>
        <w:snapToGrid w:val="0"/>
        <w:spacing w:beforeLines="100" w:before="312" w:afterLines="100" w:after="312" w:line="560" w:lineRule="exact"/>
        <w:jc w:val="center"/>
        <w:rPr>
          <w:rFonts w:eastAsia="仿宋_GB2312"/>
          <w:sz w:val="32"/>
          <w:szCs w:val="32"/>
        </w:rPr>
      </w:pPr>
      <w:r w:rsidRPr="00717DBF"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 w:rsidRPr="00717DBF">
        <w:rPr>
          <w:rFonts w:ascii="黑体" w:eastAsia="黑体" w:hAnsi="黑体" w:cs="黑体"/>
          <w:b/>
          <w:bCs/>
          <w:sz w:val="32"/>
          <w:szCs w:val="32"/>
        </w:rPr>
        <w:t>征求意见稿）</w:t>
      </w:r>
    </w:p>
    <w:p w14:paraId="054A2F3E" w14:textId="77777777" w:rsidR="00654004" w:rsidRDefault="00654004">
      <w:pPr>
        <w:adjustRightInd w:val="0"/>
        <w:snapToGrid w:val="0"/>
        <w:spacing w:beforeLines="100" w:before="312" w:afterLines="100" w:after="312" w:line="560" w:lineRule="exact"/>
        <w:jc w:val="center"/>
        <w:rPr>
          <w:rFonts w:eastAsia="仿宋_GB2312"/>
          <w:sz w:val="32"/>
          <w:szCs w:val="32"/>
        </w:rPr>
      </w:pPr>
    </w:p>
    <w:p w14:paraId="0A02FDE5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FD2FFA7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CA66BC1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780ACE6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E75A89B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2D20CDD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F4449DB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9D25303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4C78EFA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6C4F473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CE29B58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C6E6851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2A4D440" w14:textId="77777777" w:rsidR="00654004" w:rsidRDefault="0065400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82CDE7B" w14:textId="77777777" w:rsidR="00654004" w:rsidRPr="00782DCB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82DCB">
        <w:rPr>
          <w:rFonts w:ascii="黑体" w:eastAsia="黑体" w:hAnsi="黑体" w:hint="eastAsia"/>
          <w:b/>
          <w:sz w:val="32"/>
          <w:szCs w:val="32"/>
        </w:rPr>
        <w:lastRenderedPageBreak/>
        <w:t>一、概述</w:t>
      </w:r>
    </w:p>
    <w:p w14:paraId="2C5FF904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充分可靠的临床研究数据是评价所申报产品临床安全性、有效性的重要依据，为保证兽用中药临床试验结论的确实可靠，本指导原则旨在通过科学、系统地分辨牛湿热泄泻证的证候特点及其演变规律，对诊断标准、纳入标准和疗效评价进行了统一，同时，解决中兽医诊断条目缺乏权重等问题，促进其在临床与科研中的应用，为中兽医临床精准辨治牛湿热泄泻证，开展临床安全性、有效性评价提供指导。研究者应根据本指导原则要求，结合牛的地域和品种等因素的影响，在具体实施过程中，可依照实际情况灵活调整。研究应以安全性和有效性为纲，贯穿整个目标适应症研究的始终，增强临床辨治研究的科学性，可靠性和一致性。</w:t>
      </w:r>
    </w:p>
    <w:p w14:paraId="78E0CA3E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湿热泄泻证是临床上常见的一种泄泻证型，表现为蜷缩懒动、食欲不振、鼻镜干，毛发松乱、喜饮而不急饮，尿量减少、体重减轻，腹泻，粪便稀软，色黄，气味腥臭，有部分粪便带黏液或脓血，肛门发红、充血或便后肛门不断努责张合，蹲腰踏地，里急后重，体温升高，舌干或少津，舌色黄红，苔厚腻，白睛黄染，舌底（砚台底）红黄。</w:t>
      </w:r>
    </w:p>
    <w:p w14:paraId="62BBAAC7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主要致病因素是由外感湿热病邪、内伤、或饮食不洁等因素，使湿热病邪结于肠内、清浊不分，传导受损、发为腹泻，在某些感染性腹泻的过程中，可致肠黏膜损伤和炎症，甚伴有全身性炎症而发湿热泄泻的病例。</w:t>
      </w:r>
    </w:p>
    <w:p w14:paraId="549370AE" w14:textId="1730916B" w:rsidR="00654004" w:rsidRPr="00782DCB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82DCB">
        <w:rPr>
          <w:rFonts w:ascii="黑体" w:eastAsia="黑体" w:hAnsi="黑体" w:hint="eastAsia"/>
          <w:b/>
          <w:sz w:val="32"/>
          <w:szCs w:val="32"/>
        </w:rPr>
        <w:t>二、临床研究要点</w:t>
      </w:r>
    </w:p>
    <w:p w14:paraId="37569BA1" w14:textId="32A0C54F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新</w:t>
      </w:r>
      <w:r>
        <w:rPr>
          <w:rFonts w:eastAsia="仿宋_GB2312" w:hint="eastAsia"/>
          <w:sz w:val="32"/>
          <w:szCs w:val="32"/>
        </w:rPr>
        <w:t>兽</w:t>
      </w:r>
      <w:r>
        <w:rPr>
          <w:rFonts w:eastAsia="仿宋_GB2312"/>
          <w:sz w:val="32"/>
          <w:szCs w:val="32"/>
        </w:rPr>
        <w:t>药临床试验的主要目的是通过临床试验确</w:t>
      </w:r>
      <w:r>
        <w:rPr>
          <w:rFonts w:eastAsia="仿宋_GB2312" w:hint="eastAsia"/>
          <w:sz w:val="32"/>
          <w:szCs w:val="32"/>
        </w:rPr>
        <w:t>证</w:t>
      </w:r>
      <w:r>
        <w:rPr>
          <w:rFonts w:eastAsia="仿宋_GB2312"/>
          <w:sz w:val="32"/>
          <w:szCs w:val="32"/>
        </w:rPr>
        <w:t>新</w:t>
      </w:r>
      <w:r>
        <w:rPr>
          <w:rFonts w:eastAsia="仿宋_GB2312" w:hint="eastAsia"/>
          <w:sz w:val="32"/>
          <w:szCs w:val="32"/>
        </w:rPr>
        <w:t>兽</w:t>
      </w:r>
      <w:r>
        <w:rPr>
          <w:rFonts w:eastAsia="仿宋_GB2312"/>
          <w:sz w:val="32"/>
          <w:szCs w:val="32"/>
        </w:rPr>
        <w:lastRenderedPageBreak/>
        <w:t>药对</w:t>
      </w:r>
      <w:r>
        <w:rPr>
          <w:rFonts w:eastAsia="仿宋_GB2312" w:hint="eastAsia"/>
          <w:sz w:val="32"/>
          <w:szCs w:val="32"/>
        </w:rPr>
        <w:t>动物的临床安全性和</w:t>
      </w:r>
      <w:r>
        <w:rPr>
          <w:rFonts w:eastAsia="仿宋_GB2312"/>
          <w:sz w:val="32"/>
          <w:szCs w:val="32"/>
        </w:rPr>
        <w:t>目标适应症的有效性。在开展</w:t>
      </w:r>
      <w:r w:rsidR="00717DBF" w:rsidRPr="00717DBF">
        <w:rPr>
          <w:rFonts w:eastAsia="仿宋_GB2312" w:hint="eastAsia"/>
          <w:sz w:val="32"/>
          <w:szCs w:val="32"/>
        </w:rPr>
        <w:t>兽用中药新药</w:t>
      </w:r>
      <w:r>
        <w:rPr>
          <w:rFonts w:eastAsia="仿宋_GB2312"/>
          <w:sz w:val="32"/>
          <w:szCs w:val="32"/>
        </w:rPr>
        <w:t>的临床试验时，应关注临床试验的目的与定位、疾病诊断标准、纳入</w:t>
      </w:r>
      <w:r>
        <w:rPr>
          <w:rFonts w:eastAsia="仿宋_GB2312" w:hint="eastAsia"/>
          <w:sz w:val="32"/>
          <w:szCs w:val="32"/>
        </w:rPr>
        <w:t>动物情况</w:t>
      </w:r>
      <w:r>
        <w:rPr>
          <w:rFonts w:eastAsia="仿宋_GB2312"/>
          <w:sz w:val="32"/>
          <w:szCs w:val="32"/>
        </w:rPr>
        <w:t>、试验设计与研究方法、给药方案、疗程及疗效观察时点、疗效观察指标、评价</w:t>
      </w:r>
      <w:r>
        <w:rPr>
          <w:rFonts w:eastAsia="仿宋_GB2312" w:hint="eastAsia"/>
          <w:sz w:val="32"/>
          <w:szCs w:val="32"/>
        </w:rPr>
        <w:t>标准</w:t>
      </w:r>
      <w:r>
        <w:rPr>
          <w:rFonts w:eastAsia="仿宋_GB2312"/>
          <w:sz w:val="32"/>
          <w:szCs w:val="32"/>
        </w:rPr>
        <w:t>以及统计学要求等问题。</w:t>
      </w:r>
    </w:p>
    <w:p w14:paraId="109D2FDB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sz w:val="28"/>
          <w:szCs w:val="28"/>
        </w:rPr>
      </w:pPr>
      <w:bookmarkStart w:id="0" w:name="_Toc30966"/>
      <w:r>
        <w:rPr>
          <w:rFonts w:eastAsia="楷体_GB2312"/>
          <w:b/>
          <w:sz w:val="32"/>
          <w:szCs w:val="32"/>
        </w:rPr>
        <w:t>（一）临床试验目的和定位</w:t>
      </w:r>
      <w:bookmarkEnd w:id="0"/>
    </w:p>
    <w:p w14:paraId="79419928" w14:textId="704C5DBE" w:rsidR="00654004" w:rsidRPr="00717DBF" w:rsidRDefault="009A204E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1" w:name="_GoBack"/>
      <w:r w:rsidRPr="00717DBF">
        <w:rPr>
          <w:rFonts w:eastAsia="仿宋_GB2312" w:hint="eastAsia"/>
          <w:sz w:val="32"/>
          <w:szCs w:val="32"/>
        </w:rPr>
        <w:t>兽用中药新药</w:t>
      </w:r>
      <w:r w:rsidR="00B91CC2" w:rsidRPr="00717DBF">
        <w:rPr>
          <w:rFonts w:eastAsia="仿宋_GB2312"/>
          <w:sz w:val="32"/>
          <w:szCs w:val="32"/>
        </w:rPr>
        <w:t>用于</w:t>
      </w:r>
      <w:r w:rsidR="00B91CC2" w:rsidRPr="00717DBF">
        <w:rPr>
          <w:rFonts w:eastAsia="仿宋_GB2312" w:hint="eastAsia"/>
          <w:sz w:val="32"/>
          <w:szCs w:val="32"/>
        </w:rPr>
        <w:t>牛湿热泄泻证的</w:t>
      </w:r>
      <w:r w:rsidR="00B91CC2" w:rsidRPr="00717DBF">
        <w:rPr>
          <w:rFonts w:eastAsia="仿宋_GB2312"/>
          <w:sz w:val="32"/>
          <w:szCs w:val="32"/>
        </w:rPr>
        <w:t>临床试验，应是目标明确、设计科学、质量可控和实施规范的一系列研究过程。开展临床试验的首要问题是根据</w:t>
      </w:r>
      <w:r w:rsidR="00B91CC2" w:rsidRPr="00717DBF">
        <w:rPr>
          <w:rFonts w:eastAsia="仿宋_GB2312" w:hint="eastAsia"/>
          <w:sz w:val="32"/>
          <w:szCs w:val="32"/>
        </w:rPr>
        <w:t>药物特点和临床前研究结果</w:t>
      </w:r>
      <w:r w:rsidR="00B91CC2" w:rsidRPr="00717DBF">
        <w:rPr>
          <w:rFonts w:eastAsia="仿宋_GB2312"/>
          <w:sz w:val="32"/>
          <w:szCs w:val="32"/>
        </w:rPr>
        <w:t>，拟定</w:t>
      </w:r>
      <w:r w:rsidR="00B91CC2" w:rsidRPr="00717DBF">
        <w:rPr>
          <w:rFonts w:eastAsia="仿宋_GB2312" w:hint="eastAsia"/>
          <w:sz w:val="32"/>
          <w:szCs w:val="32"/>
        </w:rPr>
        <w:t>临床</w:t>
      </w:r>
      <w:r w:rsidR="00B91CC2" w:rsidRPr="00717DBF">
        <w:rPr>
          <w:rFonts w:eastAsia="仿宋_GB2312"/>
          <w:sz w:val="32"/>
          <w:szCs w:val="32"/>
        </w:rPr>
        <w:t>研究目的，</w:t>
      </w:r>
      <w:r w:rsidR="00B91CC2" w:rsidRPr="00717DBF">
        <w:rPr>
          <w:rFonts w:eastAsia="仿宋_GB2312" w:hint="eastAsia"/>
          <w:sz w:val="32"/>
          <w:szCs w:val="32"/>
        </w:rPr>
        <w:t>明确</w:t>
      </w:r>
      <w:r w:rsidRPr="00717DBF">
        <w:rPr>
          <w:rFonts w:eastAsia="仿宋_GB2312" w:hint="eastAsia"/>
          <w:sz w:val="32"/>
          <w:szCs w:val="32"/>
        </w:rPr>
        <w:t>兽用中药新药</w:t>
      </w:r>
      <w:r w:rsidR="00B91CC2" w:rsidRPr="00717DBF">
        <w:rPr>
          <w:rFonts w:eastAsia="仿宋_GB2312" w:hint="eastAsia"/>
          <w:sz w:val="32"/>
          <w:szCs w:val="32"/>
        </w:rPr>
        <w:t>的适应症，确定</w:t>
      </w:r>
      <w:r w:rsidRPr="00717DBF">
        <w:rPr>
          <w:rFonts w:eastAsia="仿宋_GB2312" w:hint="eastAsia"/>
          <w:sz w:val="32"/>
          <w:szCs w:val="32"/>
        </w:rPr>
        <w:t>其</w:t>
      </w:r>
      <w:r w:rsidR="00B91CC2" w:rsidRPr="00717DBF">
        <w:rPr>
          <w:rFonts w:eastAsia="仿宋_GB2312" w:hint="eastAsia"/>
          <w:sz w:val="32"/>
          <w:szCs w:val="32"/>
        </w:rPr>
        <w:t>临床应用的功能主治定位。</w:t>
      </w:r>
    </w:p>
    <w:p w14:paraId="649D8100" w14:textId="32F731B2" w:rsidR="00654004" w:rsidRDefault="009A204E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DBF">
        <w:rPr>
          <w:rFonts w:eastAsia="仿宋_GB2312" w:hint="eastAsia"/>
          <w:sz w:val="32"/>
          <w:szCs w:val="32"/>
        </w:rPr>
        <w:t>兽用中药新药</w:t>
      </w:r>
      <w:r w:rsidR="00B91CC2" w:rsidRPr="00717DBF">
        <w:rPr>
          <w:rFonts w:eastAsia="仿宋_GB2312"/>
          <w:sz w:val="32"/>
          <w:szCs w:val="32"/>
        </w:rPr>
        <w:t>用</w:t>
      </w:r>
      <w:bookmarkEnd w:id="1"/>
      <w:r w:rsidR="00B91CC2">
        <w:rPr>
          <w:rFonts w:eastAsia="仿宋_GB2312"/>
          <w:sz w:val="32"/>
          <w:szCs w:val="32"/>
        </w:rPr>
        <w:t>于</w:t>
      </w:r>
      <w:bookmarkStart w:id="2" w:name="_Hlk140913642"/>
      <w:r w:rsidR="00B91CC2">
        <w:rPr>
          <w:rFonts w:eastAsia="仿宋_GB2312" w:hint="eastAsia"/>
          <w:sz w:val="32"/>
          <w:szCs w:val="32"/>
        </w:rPr>
        <w:t>牛湿热泄泻</w:t>
      </w:r>
      <w:bookmarkEnd w:id="2"/>
      <w:r w:rsidR="00B91CC2">
        <w:rPr>
          <w:rFonts w:eastAsia="仿宋_GB2312" w:hint="eastAsia"/>
          <w:sz w:val="32"/>
          <w:szCs w:val="32"/>
        </w:rPr>
        <w:t>证</w:t>
      </w:r>
      <w:r w:rsidR="00B91CC2">
        <w:rPr>
          <w:rFonts w:eastAsia="仿宋_GB2312"/>
          <w:sz w:val="32"/>
          <w:szCs w:val="32"/>
        </w:rPr>
        <w:t>的临床定位一般可从以下几方面考虑：</w:t>
      </w:r>
    </w:p>
    <w:p w14:paraId="096AC561" w14:textId="0C37BE5F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 w:rsidR="00D0689F"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消除或改善病牛证候的主要症状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牛患湿热泄泻证，主要症状为粪便稀薄，混有黏液或脓血、气味腥臭，甚至恶臭等。</w:t>
      </w:r>
    </w:p>
    <w:p w14:paraId="6022CEB0" w14:textId="742F4033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 w:rsidR="00D0689F"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改善患湿热泄泻证病牛的整体状况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通过药物治疗减轻病牛发热，改善尿短赤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 w:hint="eastAsia"/>
          <w:bCs/>
          <w:sz w:val="32"/>
          <w:szCs w:val="32"/>
        </w:rPr>
        <w:t>口色红黄、舌苔厚腻等症状的严重程度等，改善病牛整体状态，</w:t>
      </w:r>
      <w:r>
        <w:rPr>
          <w:rFonts w:eastAsia="仿宋_GB2312" w:hint="eastAsia"/>
          <w:sz w:val="32"/>
          <w:szCs w:val="32"/>
        </w:rPr>
        <w:t>使其精神</w:t>
      </w:r>
      <w:r>
        <w:rPr>
          <w:rFonts w:eastAsia="仿宋_GB2312"/>
          <w:sz w:val="32"/>
          <w:szCs w:val="32"/>
        </w:rPr>
        <w:t>状态</w:t>
      </w:r>
      <w:r>
        <w:rPr>
          <w:rFonts w:eastAsia="仿宋_GB2312" w:hint="eastAsia"/>
          <w:sz w:val="32"/>
          <w:szCs w:val="32"/>
        </w:rPr>
        <w:t>和采食量得以改善</w:t>
      </w:r>
      <w:r>
        <w:rPr>
          <w:rFonts w:eastAsia="仿宋_GB2312" w:hint="eastAsia"/>
          <w:bCs/>
          <w:sz w:val="32"/>
          <w:szCs w:val="32"/>
        </w:rPr>
        <w:t>，病情得以一定或完全控制。改善或提高生产性能。</w:t>
      </w:r>
    </w:p>
    <w:p w14:paraId="32601579" w14:textId="5D53EBF0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 w:rsidR="00D0689F"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控制疾病的进一步发展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牛湿热泄泻证长期反复发作，病牛可能会进一步恶化导致过度脱水，衰竭甚至死亡，用药可以明显控制牛湿热泄泻证进一步的恶化。</w:t>
      </w:r>
    </w:p>
    <w:p w14:paraId="2B248D23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bookmarkStart w:id="3" w:name="_Toc499033908"/>
      <w:r>
        <w:rPr>
          <w:rFonts w:eastAsia="楷体_GB2312" w:hint="eastAsia"/>
          <w:b/>
          <w:sz w:val="32"/>
          <w:szCs w:val="32"/>
        </w:rPr>
        <w:t>（二）</w:t>
      </w:r>
      <w:bookmarkEnd w:id="3"/>
      <w:r>
        <w:rPr>
          <w:rFonts w:eastAsia="楷体_GB2312"/>
          <w:b/>
          <w:sz w:val="32"/>
          <w:szCs w:val="32"/>
        </w:rPr>
        <w:t>证候诊断标准</w:t>
      </w:r>
    </w:p>
    <w:p w14:paraId="34474AD0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中兽医证候诊断标准可以参照有关国家标准、行业标准或团体标准等进行制定，如无适用的诊断标准，可自行制定并经专家论证达成共识。证候诊断构成要素可采用定性或半定量方式，或主次症的方法，可制定具有中兽医特色的证候诊断量表，满足</w:t>
      </w:r>
      <w:r>
        <w:rPr>
          <w:rFonts w:eastAsia="仿宋_GB2312"/>
          <w:sz w:val="32"/>
          <w:szCs w:val="32"/>
        </w:rPr>
        <w:t>科学性、合理性，并具有临床实际可操作性。</w:t>
      </w:r>
      <w:r>
        <w:rPr>
          <w:rFonts w:eastAsia="仿宋_GB2312" w:hint="eastAsia"/>
          <w:sz w:val="32"/>
          <w:szCs w:val="32"/>
        </w:rPr>
        <w:t>牛湿热泄泻证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兽</w:t>
      </w:r>
      <w:r>
        <w:rPr>
          <w:rFonts w:eastAsia="仿宋_GB2312"/>
          <w:sz w:val="32"/>
          <w:szCs w:val="32"/>
        </w:rPr>
        <w:t>医证候诊断标准如下：</w:t>
      </w:r>
    </w:p>
    <w:p w14:paraId="2E0DD1E6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主症：</w:t>
      </w:r>
      <w:r>
        <w:rPr>
          <w:rFonts w:eastAsia="仿宋_GB2312" w:hint="eastAsia"/>
          <w:sz w:val="32"/>
          <w:szCs w:val="32"/>
        </w:rPr>
        <w:t>粪便稀薄，排便次数增加，大便偶混有黏液或脓血，气味腥臭甚至恶臭；舌色红黄，苔厚腻；口渴喜饮而不急饮，口津干枯发黏。</w:t>
      </w:r>
    </w:p>
    <w:p w14:paraId="633A3134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次症：</w:t>
      </w:r>
      <w:r>
        <w:rPr>
          <w:rFonts w:eastAsia="仿宋_GB2312" w:hint="eastAsia"/>
          <w:sz w:val="32"/>
          <w:szCs w:val="32"/>
        </w:rPr>
        <w:t>精神不振甚或沉郁；食欲不振；便后不爽，蹲腰踏地，肛门频频努责，或见回头顾腹，轻微腹痛；尿短赤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体温升高；脉沉数。</w:t>
      </w:r>
    </w:p>
    <w:p w14:paraId="4A7E9120" w14:textId="4D5A8181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诊断标准</w:t>
      </w:r>
      <w:r>
        <w:rPr>
          <w:rFonts w:eastAsia="仿宋_GB2312" w:hint="eastAsia"/>
          <w:b/>
          <w:bCs/>
          <w:sz w:val="32"/>
          <w:szCs w:val="32"/>
        </w:rPr>
        <w:t>：</w:t>
      </w:r>
      <w:r w:rsidR="00C60DD1" w:rsidRPr="00C60DD1">
        <w:rPr>
          <w:rFonts w:eastAsia="仿宋_GB2312" w:hint="eastAsia"/>
          <w:bCs/>
          <w:sz w:val="32"/>
          <w:szCs w:val="32"/>
        </w:rPr>
        <w:t>具备</w:t>
      </w:r>
      <w:r w:rsidRPr="00C60DD1"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上全部主证和至少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项次症，即可辨证为牛湿热泄泻证。</w:t>
      </w:r>
    </w:p>
    <w:p w14:paraId="74924E6A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（三）</w:t>
      </w:r>
      <w:bookmarkStart w:id="4" w:name="_Hlk140918227"/>
      <w:r>
        <w:rPr>
          <w:rFonts w:eastAsia="楷体_GB2312" w:hint="eastAsia"/>
          <w:b/>
          <w:sz w:val="32"/>
          <w:szCs w:val="32"/>
        </w:rPr>
        <w:t>症状评分</w:t>
      </w:r>
      <w:bookmarkEnd w:id="4"/>
      <w:r>
        <w:rPr>
          <w:rFonts w:eastAsia="楷体_GB2312" w:hint="eastAsia"/>
          <w:b/>
          <w:sz w:val="32"/>
          <w:szCs w:val="32"/>
        </w:rPr>
        <w:t>赋值</w:t>
      </w:r>
    </w:p>
    <w:p w14:paraId="2BD737E3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5" w:name="_Hlk148513082"/>
      <w:r>
        <w:rPr>
          <w:rFonts w:eastAsia="仿宋_GB2312" w:hint="eastAsia"/>
          <w:sz w:val="32"/>
          <w:szCs w:val="32"/>
        </w:rPr>
        <w:t>根据牛湿热泄泻证症状的严重程度制定症状评分，见表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、表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。</w:t>
      </w:r>
    </w:p>
    <w:p w14:paraId="7A87D135" w14:textId="0CF97B00" w:rsidR="00654004" w:rsidRDefault="00B91CC2" w:rsidP="00D0689F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1 </w:t>
      </w:r>
      <w:r>
        <w:rPr>
          <w:rFonts w:eastAsia="仿宋_GB2312" w:hint="eastAsia"/>
          <w:sz w:val="32"/>
          <w:szCs w:val="32"/>
        </w:rPr>
        <w:t>牛湿热泄泻证主症评分标准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447"/>
        <w:gridCol w:w="1959"/>
        <w:gridCol w:w="1869"/>
        <w:gridCol w:w="1978"/>
      </w:tblGrid>
      <w:tr w:rsidR="00654004" w:rsidRPr="00D0689F" w14:paraId="0E3A12B5" w14:textId="77777777" w:rsidTr="00782DCB">
        <w:trPr>
          <w:trHeight w:val="348"/>
          <w:jc w:val="center"/>
        </w:trPr>
        <w:tc>
          <w:tcPr>
            <w:tcW w:w="63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71E4FA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bookmarkStart w:id="6" w:name="_Hlk62648815"/>
            <w:bookmarkStart w:id="7" w:name="_Hlk101510500"/>
            <w:r w:rsidRPr="00D0689F">
              <w:rPr>
                <w:rFonts w:eastAsia="仿宋_GB2312" w:hint="eastAsia"/>
                <w:b/>
                <w:szCs w:val="21"/>
              </w:rPr>
              <w:t>指标</w:t>
            </w:r>
          </w:p>
        </w:tc>
        <w:tc>
          <w:tcPr>
            <w:tcW w:w="87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6A1512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正常（</w:t>
            </w:r>
            <w:r w:rsidRPr="00D0689F">
              <w:rPr>
                <w:rFonts w:eastAsia="仿宋_GB2312"/>
                <w:b/>
                <w:szCs w:val="21"/>
              </w:rPr>
              <w:t>0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7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B753F7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轻度（</w:t>
            </w:r>
            <w:r w:rsidRPr="00D0689F">
              <w:rPr>
                <w:rFonts w:eastAsia="仿宋_GB2312"/>
                <w:b/>
                <w:szCs w:val="21"/>
              </w:rPr>
              <w:t>2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2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1D1176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中度（</w:t>
            </w:r>
            <w:r w:rsidRPr="00D0689F">
              <w:rPr>
                <w:rFonts w:eastAsia="仿宋_GB2312"/>
                <w:b/>
                <w:szCs w:val="21"/>
              </w:rPr>
              <w:t>4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9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339078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重度（</w:t>
            </w:r>
            <w:r w:rsidRPr="00D0689F">
              <w:rPr>
                <w:rFonts w:eastAsia="仿宋_GB2312"/>
                <w:b/>
                <w:szCs w:val="21"/>
              </w:rPr>
              <w:t>6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</w:tr>
      <w:tr w:rsidR="00654004" w14:paraId="1E50AD2F" w14:textId="77777777">
        <w:trPr>
          <w:trHeight w:val="921"/>
          <w:jc w:val="center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14:paraId="64EC5C52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粪便</w:t>
            </w:r>
          </w:p>
          <w:p w14:paraId="5A9E97AE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形态</w:t>
            </w:r>
          </w:p>
        </w:tc>
        <w:tc>
          <w:tcPr>
            <w:tcW w:w="871" w:type="pct"/>
            <w:tcBorders>
              <w:top w:val="nil"/>
              <w:bottom w:val="nil"/>
            </w:tcBorders>
            <w:vAlign w:val="center"/>
          </w:tcPr>
          <w:p w14:paraId="112DE74C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正常</w:t>
            </w:r>
          </w:p>
        </w:tc>
        <w:tc>
          <w:tcPr>
            <w:tcW w:w="1179" w:type="pct"/>
            <w:tcBorders>
              <w:top w:val="nil"/>
              <w:bottom w:val="nil"/>
            </w:tcBorders>
            <w:vAlign w:val="center"/>
          </w:tcPr>
          <w:p w14:paraId="290F167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大便气味浓烈，不成形</w:t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42DDB47D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粪黄色秽臭，粪稀塘，带黏液，排便次数增加</w:t>
            </w:r>
          </w:p>
        </w:tc>
        <w:tc>
          <w:tcPr>
            <w:tcW w:w="1192" w:type="pct"/>
            <w:tcBorders>
              <w:top w:val="nil"/>
              <w:bottom w:val="nil"/>
            </w:tcBorders>
            <w:vAlign w:val="center"/>
          </w:tcPr>
          <w:p w14:paraId="4E61F06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粪黄恶臭，排便次数增加且粪少或偶混黏液或脓血，便后努责</w:t>
            </w:r>
          </w:p>
        </w:tc>
      </w:tr>
      <w:bookmarkEnd w:id="6"/>
      <w:bookmarkEnd w:id="7"/>
      <w:tr w:rsidR="00654004" w14:paraId="4AAAAABB" w14:textId="77777777">
        <w:trPr>
          <w:trHeight w:val="508"/>
          <w:jc w:val="center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14:paraId="1810B107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舌色、舌苔</w:t>
            </w:r>
          </w:p>
        </w:tc>
        <w:tc>
          <w:tcPr>
            <w:tcW w:w="871" w:type="pct"/>
            <w:tcBorders>
              <w:top w:val="nil"/>
              <w:bottom w:val="nil"/>
            </w:tcBorders>
            <w:vAlign w:val="center"/>
          </w:tcPr>
          <w:p w14:paraId="536421EC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淡红舌，薄白苔</w:t>
            </w:r>
          </w:p>
        </w:tc>
        <w:tc>
          <w:tcPr>
            <w:tcW w:w="1179" w:type="pct"/>
            <w:tcBorders>
              <w:top w:val="nil"/>
              <w:bottom w:val="nil"/>
            </w:tcBorders>
            <w:vAlign w:val="center"/>
          </w:tcPr>
          <w:p w14:paraId="4376466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舌色偏红黄，少量黄腻苔</w:t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2B77DE4C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舌色发红，较多黄腻苔</w:t>
            </w:r>
          </w:p>
        </w:tc>
        <w:tc>
          <w:tcPr>
            <w:tcW w:w="1192" w:type="pct"/>
            <w:tcBorders>
              <w:top w:val="nil"/>
              <w:bottom w:val="nil"/>
            </w:tcBorders>
            <w:vAlign w:val="center"/>
          </w:tcPr>
          <w:p w14:paraId="3097CD45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舌色深红、厚厚的苔黄腻</w:t>
            </w:r>
          </w:p>
        </w:tc>
      </w:tr>
      <w:tr w:rsidR="00654004" w14:paraId="7E3CCBA3" w14:textId="77777777">
        <w:trPr>
          <w:trHeight w:val="508"/>
          <w:jc w:val="center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14:paraId="10649989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口津</w:t>
            </w:r>
          </w:p>
        </w:tc>
        <w:tc>
          <w:tcPr>
            <w:tcW w:w="871" w:type="pct"/>
            <w:tcBorders>
              <w:top w:val="nil"/>
              <w:bottom w:val="nil"/>
            </w:tcBorders>
            <w:vAlign w:val="center"/>
          </w:tcPr>
          <w:p w14:paraId="7E62C8D3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正常</w:t>
            </w:r>
          </w:p>
        </w:tc>
        <w:tc>
          <w:tcPr>
            <w:tcW w:w="1179" w:type="pct"/>
            <w:tcBorders>
              <w:top w:val="nil"/>
              <w:bottom w:val="nil"/>
            </w:tcBorders>
            <w:vAlign w:val="center"/>
          </w:tcPr>
          <w:p w14:paraId="2EBF3F5D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鼻镜干，口津稍干</w:t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79EE9E3C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鼻镜干，口津干少成丝状</w:t>
            </w:r>
          </w:p>
        </w:tc>
        <w:tc>
          <w:tcPr>
            <w:tcW w:w="1192" w:type="pct"/>
            <w:tcBorders>
              <w:top w:val="nil"/>
              <w:bottom w:val="nil"/>
            </w:tcBorders>
            <w:vAlign w:val="center"/>
          </w:tcPr>
          <w:p w14:paraId="523960A0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鼻镜干裂，口津干枯或发黏</w:t>
            </w:r>
          </w:p>
        </w:tc>
      </w:tr>
      <w:tr w:rsidR="00654004" w14:paraId="11BDE502" w14:textId="77777777" w:rsidTr="00782DCB">
        <w:trPr>
          <w:trHeight w:val="508"/>
          <w:jc w:val="center"/>
        </w:trPr>
        <w:tc>
          <w:tcPr>
            <w:tcW w:w="634" w:type="pct"/>
            <w:tcBorders>
              <w:top w:val="nil"/>
              <w:bottom w:val="single" w:sz="8" w:space="0" w:color="auto"/>
            </w:tcBorders>
            <w:vAlign w:val="center"/>
          </w:tcPr>
          <w:p w14:paraId="7D5D338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饮水</w:t>
            </w:r>
          </w:p>
        </w:tc>
        <w:tc>
          <w:tcPr>
            <w:tcW w:w="871" w:type="pct"/>
            <w:tcBorders>
              <w:top w:val="nil"/>
              <w:bottom w:val="single" w:sz="8" w:space="0" w:color="auto"/>
            </w:tcBorders>
            <w:vAlign w:val="center"/>
          </w:tcPr>
          <w:p w14:paraId="7B8EEA67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正常</w:t>
            </w:r>
          </w:p>
        </w:tc>
        <w:tc>
          <w:tcPr>
            <w:tcW w:w="1179" w:type="pct"/>
            <w:tcBorders>
              <w:top w:val="nil"/>
              <w:bottom w:val="single" w:sz="8" w:space="0" w:color="auto"/>
            </w:tcBorders>
            <w:vAlign w:val="center"/>
          </w:tcPr>
          <w:p w14:paraId="34C37751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饮水次数和饮水量少量增加</w:t>
            </w:r>
          </w:p>
        </w:tc>
        <w:tc>
          <w:tcPr>
            <w:tcW w:w="1125" w:type="pct"/>
            <w:tcBorders>
              <w:top w:val="nil"/>
              <w:bottom w:val="single" w:sz="8" w:space="0" w:color="auto"/>
            </w:tcBorders>
            <w:vAlign w:val="center"/>
          </w:tcPr>
          <w:p w14:paraId="49C528AE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饮水次数和饮水量明显增加</w:t>
            </w:r>
          </w:p>
        </w:tc>
        <w:tc>
          <w:tcPr>
            <w:tcW w:w="1192" w:type="pct"/>
            <w:tcBorders>
              <w:top w:val="nil"/>
              <w:bottom w:val="single" w:sz="8" w:space="0" w:color="auto"/>
            </w:tcBorders>
            <w:vAlign w:val="center"/>
          </w:tcPr>
          <w:p w14:paraId="2BB67547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频频饮水和饮水量明显增加</w:t>
            </w:r>
          </w:p>
        </w:tc>
      </w:tr>
    </w:tbl>
    <w:p w14:paraId="3D074AC1" w14:textId="74BE05A0" w:rsidR="00654004" w:rsidRDefault="00B91CC2" w:rsidP="00782DCB">
      <w:pPr>
        <w:adjustRightInd w:val="0"/>
        <w:snapToGrid w:val="0"/>
        <w:spacing w:line="560" w:lineRule="exact"/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/>
          <w:sz w:val="32"/>
          <w:szCs w:val="32"/>
        </w:rPr>
        <w:t xml:space="preserve">2 </w:t>
      </w:r>
      <w:r>
        <w:rPr>
          <w:rFonts w:eastAsia="仿宋_GB2312" w:hint="eastAsia"/>
          <w:sz w:val="32"/>
          <w:szCs w:val="32"/>
        </w:rPr>
        <w:t>牛湿热泄泻证次症评分标准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67"/>
        <w:gridCol w:w="1985"/>
        <w:gridCol w:w="1894"/>
        <w:gridCol w:w="1894"/>
      </w:tblGrid>
      <w:tr w:rsidR="00654004" w:rsidRPr="009E67C3" w14:paraId="6C290AFE" w14:textId="77777777" w:rsidTr="00782DCB">
        <w:trPr>
          <w:trHeight w:val="416"/>
          <w:jc w:val="center"/>
        </w:trPr>
        <w:tc>
          <w:tcPr>
            <w:tcW w:w="64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CB9D76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指标</w:t>
            </w:r>
          </w:p>
        </w:tc>
        <w:tc>
          <w:tcPr>
            <w:tcW w:w="88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649F6B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正常（</w:t>
            </w:r>
            <w:r w:rsidRPr="00D0689F">
              <w:rPr>
                <w:rFonts w:eastAsia="仿宋_GB2312"/>
                <w:b/>
                <w:szCs w:val="21"/>
              </w:rPr>
              <w:t>0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44A6C3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轻度（</w:t>
            </w:r>
            <w:r w:rsidRPr="00D0689F">
              <w:rPr>
                <w:rFonts w:eastAsia="仿宋_GB2312"/>
                <w:b/>
                <w:szCs w:val="21"/>
              </w:rPr>
              <w:t>1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4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BE46FA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中度（</w:t>
            </w:r>
            <w:r w:rsidRPr="00D0689F">
              <w:rPr>
                <w:rFonts w:eastAsia="仿宋_GB2312"/>
                <w:b/>
                <w:szCs w:val="21"/>
              </w:rPr>
              <w:t>2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114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B5D13E" w14:textId="77777777" w:rsidR="00654004" w:rsidRPr="00D0689F" w:rsidRDefault="00B91CC2" w:rsidP="00782DCB">
            <w:pPr>
              <w:jc w:val="center"/>
              <w:rPr>
                <w:rFonts w:eastAsia="仿宋_GB2312"/>
                <w:b/>
                <w:szCs w:val="21"/>
              </w:rPr>
            </w:pPr>
            <w:r w:rsidRPr="00D0689F">
              <w:rPr>
                <w:rFonts w:eastAsia="仿宋_GB2312" w:hint="eastAsia"/>
                <w:b/>
                <w:szCs w:val="21"/>
              </w:rPr>
              <w:t>重度（</w:t>
            </w:r>
            <w:r w:rsidRPr="00D0689F">
              <w:rPr>
                <w:rFonts w:eastAsia="仿宋_GB2312"/>
                <w:b/>
                <w:szCs w:val="21"/>
              </w:rPr>
              <w:t>2</w:t>
            </w:r>
            <w:r w:rsidRPr="00D0689F">
              <w:rPr>
                <w:rFonts w:eastAsia="仿宋_GB2312" w:hint="eastAsia"/>
                <w:b/>
                <w:szCs w:val="21"/>
              </w:rPr>
              <w:t>分）</w:t>
            </w:r>
            <w:r w:rsidRPr="00D0689F">
              <w:rPr>
                <w:rFonts w:eastAsia="仿宋_GB2312"/>
                <w:b/>
                <w:szCs w:val="21"/>
              </w:rPr>
              <w:t xml:space="preserve">   </w:t>
            </w:r>
          </w:p>
        </w:tc>
      </w:tr>
      <w:tr w:rsidR="00654004" w14:paraId="674BA4C5" w14:textId="77777777">
        <w:trPr>
          <w:trHeight w:val="590"/>
          <w:jc w:val="center"/>
        </w:trPr>
        <w:tc>
          <w:tcPr>
            <w:tcW w:w="642" w:type="pct"/>
            <w:vAlign w:val="center"/>
          </w:tcPr>
          <w:p w14:paraId="7D979972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精神</w:t>
            </w:r>
          </w:p>
        </w:tc>
        <w:tc>
          <w:tcPr>
            <w:tcW w:w="883" w:type="pct"/>
            <w:vAlign w:val="center"/>
          </w:tcPr>
          <w:p w14:paraId="3BE6AF43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精神正常</w:t>
            </w:r>
          </w:p>
        </w:tc>
        <w:tc>
          <w:tcPr>
            <w:tcW w:w="1195" w:type="pct"/>
            <w:vAlign w:val="center"/>
          </w:tcPr>
          <w:p w14:paraId="1BDE7921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精神不振，疲倦乏力</w:t>
            </w:r>
          </w:p>
        </w:tc>
        <w:tc>
          <w:tcPr>
            <w:tcW w:w="1140" w:type="pct"/>
            <w:vAlign w:val="center"/>
          </w:tcPr>
          <w:p w14:paraId="40D9AE05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头低耳耷，喜卧懒动</w:t>
            </w:r>
          </w:p>
        </w:tc>
        <w:tc>
          <w:tcPr>
            <w:tcW w:w="1140" w:type="pct"/>
            <w:vAlign w:val="center"/>
          </w:tcPr>
          <w:p w14:paraId="79F5D725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精神沉郁、反应迟钝</w:t>
            </w:r>
          </w:p>
        </w:tc>
      </w:tr>
      <w:tr w:rsidR="00654004" w14:paraId="551B204F" w14:textId="77777777">
        <w:trPr>
          <w:trHeight w:val="590"/>
          <w:jc w:val="center"/>
        </w:trPr>
        <w:tc>
          <w:tcPr>
            <w:tcW w:w="642" w:type="pct"/>
            <w:vAlign w:val="center"/>
          </w:tcPr>
          <w:p w14:paraId="5BFCFCFF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食欲</w:t>
            </w:r>
          </w:p>
        </w:tc>
        <w:tc>
          <w:tcPr>
            <w:tcW w:w="883" w:type="pct"/>
            <w:vAlign w:val="center"/>
          </w:tcPr>
          <w:p w14:paraId="13829DE7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食欲正常</w:t>
            </w:r>
          </w:p>
        </w:tc>
        <w:tc>
          <w:tcPr>
            <w:tcW w:w="1195" w:type="pct"/>
            <w:vAlign w:val="center"/>
          </w:tcPr>
          <w:p w14:paraId="14F0638A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食欲不振</w:t>
            </w:r>
          </w:p>
        </w:tc>
        <w:tc>
          <w:tcPr>
            <w:tcW w:w="1140" w:type="pct"/>
            <w:vAlign w:val="center"/>
          </w:tcPr>
          <w:p w14:paraId="65275695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食欲明显减少</w:t>
            </w:r>
          </w:p>
        </w:tc>
        <w:tc>
          <w:tcPr>
            <w:tcW w:w="1140" w:type="pct"/>
            <w:vAlign w:val="center"/>
          </w:tcPr>
          <w:p w14:paraId="31318DD6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食欲废绝</w:t>
            </w:r>
          </w:p>
        </w:tc>
      </w:tr>
      <w:tr w:rsidR="00654004" w14:paraId="5EFCE1FE" w14:textId="77777777">
        <w:trPr>
          <w:trHeight w:val="590"/>
          <w:jc w:val="center"/>
        </w:trPr>
        <w:tc>
          <w:tcPr>
            <w:tcW w:w="642" w:type="pct"/>
            <w:vAlign w:val="center"/>
          </w:tcPr>
          <w:p w14:paraId="0CB3612D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腹痛</w:t>
            </w:r>
          </w:p>
        </w:tc>
        <w:tc>
          <w:tcPr>
            <w:tcW w:w="883" w:type="pct"/>
            <w:vAlign w:val="center"/>
          </w:tcPr>
          <w:p w14:paraId="58A3B31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无</w:t>
            </w:r>
          </w:p>
        </w:tc>
        <w:tc>
          <w:tcPr>
            <w:tcW w:w="1195" w:type="pct"/>
            <w:vAlign w:val="center"/>
          </w:tcPr>
          <w:p w14:paraId="1B1A7EF5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轻微腹痛</w:t>
            </w:r>
          </w:p>
        </w:tc>
        <w:tc>
          <w:tcPr>
            <w:tcW w:w="1140" w:type="pct"/>
            <w:vAlign w:val="center"/>
          </w:tcPr>
          <w:p w14:paraId="62852B4F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腹痛明显</w:t>
            </w:r>
          </w:p>
        </w:tc>
        <w:tc>
          <w:tcPr>
            <w:tcW w:w="1140" w:type="pct"/>
            <w:vAlign w:val="center"/>
          </w:tcPr>
          <w:p w14:paraId="29DB594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回头顾腹，不时哀</w:t>
            </w:r>
            <w:r>
              <w:rPr>
                <w:rFonts w:ascii="仿宋_GB2312" w:eastAsia="仿宋_GB2312" w:hint="eastAsia"/>
                <w:szCs w:val="21"/>
              </w:rPr>
              <w:t>哞</w:t>
            </w:r>
          </w:p>
        </w:tc>
      </w:tr>
      <w:tr w:rsidR="00654004" w14:paraId="736F19BA" w14:textId="77777777">
        <w:trPr>
          <w:trHeight w:val="590"/>
          <w:jc w:val="center"/>
        </w:trPr>
        <w:tc>
          <w:tcPr>
            <w:tcW w:w="642" w:type="pct"/>
            <w:tcBorders>
              <w:bottom w:val="nil"/>
            </w:tcBorders>
            <w:vAlign w:val="center"/>
          </w:tcPr>
          <w:p w14:paraId="2676A803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尿液</w:t>
            </w:r>
          </w:p>
        </w:tc>
        <w:tc>
          <w:tcPr>
            <w:tcW w:w="883" w:type="pct"/>
            <w:tcBorders>
              <w:bottom w:val="nil"/>
            </w:tcBorders>
            <w:vAlign w:val="center"/>
          </w:tcPr>
          <w:p w14:paraId="311853A8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正常</w:t>
            </w:r>
          </w:p>
        </w:tc>
        <w:tc>
          <w:tcPr>
            <w:tcW w:w="1195" w:type="pct"/>
            <w:tcBorders>
              <w:bottom w:val="nil"/>
            </w:tcBorders>
            <w:vAlign w:val="center"/>
          </w:tcPr>
          <w:p w14:paraId="0D4E2256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颜色加深</w:t>
            </w:r>
          </w:p>
        </w:tc>
        <w:tc>
          <w:tcPr>
            <w:tcW w:w="1140" w:type="pct"/>
            <w:tcBorders>
              <w:bottom w:val="nil"/>
            </w:tcBorders>
            <w:vAlign w:val="center"/>
          </w:tcPr>
          <w:p w14:paraId="0987E99A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尿黄，量略少</w:t>
            </w:r>
          </w:p>
        </w:tc>
        <w:tc>
          <w:tcPr>
            <w:tcW w:w="1140" w:type="pct"/>
            <w:tcBorders>
              <w:bottom w:val="nil"/>
            </w:tcBorders>
            <w:vAlign w:val="center"/>
          </w:tcPr>
          <w:p w14:paraId="3E1980CD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尿短赤</w:t>
            </w:r>
          </w:p>
        </w:tc>
      </w:tr>
      <w:tr w:rsidR="00654004" w14:paraId="13C6D8AB" w14:textId="77777777">
        <w:trPr>
          <w:trHeight w:val="590"/>
          <w:jc w:val="center"/>
        </w:trPr>
        <w:tc>
          <w:tcPr>
            <w:tcW w:w="642" w:type="pct"/>
            <w:tcBorders>
              <w:top w:val="nil"/>
              <w:bottom w:val="nil"/>
            </w:tcBorders>
            <w:vAlign w:val="center"/>
          </w:tcPr>
          <w:p w14:paraId="083AEBEF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脉象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5779F0F0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正常，</w:t>
            </w: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次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分钟</w:t>
            </w:r>
          </w:p>
        </w:tc>
        <w:tc>
          <w:tcPr>
            <w:tcW w:w="1195" w:type="pct"/>
            <w:tcBorders>
              <w:top w:val="nil"/>
              <w:bottom w:val="nil"/>
            </w:tcBorders>
            <w:vAlign w:val="center"/>
          </w:tcPr>
          <w:p w14:paraId="7C1CFB1B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90</w:t>
            </w:r>
            <w:r>
              <w:rPr>
                <w:rFonts w:eastAsia="仿宋_GB2312" w:hint="eastAsia"/>
                <w:szCs w:val="21"/>
              </w:rPr>
              <w:t>次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分钟</w:t>
            </w:r>
          </w:p>
        </w:tc>
        <w:tc>
          <w:tcPr>
            <w:tcW w:w="1140" w:type="pct"/>
            <w:tcBorders>
              <w:top w:val="nil"/>
              <w:bottom w:val="nil"/>
            </w:tcBorders>
            <w:vAlign w:val="center"/>
          </w:tcPr>
          <w:p w14:paraId="7EDA256E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脉沉，且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-1</w:t>
            </w:r>
            <w:r>
              <w:rPr>
                <w:rFonts w:eastAsia="仿宋_GB2312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次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分钟</w:t>
            </w:r>
          </w:p>
        </w:tc>
        <w:tc>
          <w:tcPr>
            <w:tcW w:w="1140" w:type="pct"/>
            <w:tcBorders>
              <w:top w:val="nil"/>
              <w:bottom w:val="nil"/>
            </w:tcBorders>
            <w:vAlign w:val="center"/>
          </w:tcPr>
          <w:p w14:paraId="11DAD916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脉沉，且大于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00</w:t>
            </w:r>
            <w:r>
              <w:rPr>
                <w:rFonts w:eastAsia="仿宋_GB2312" w:hint="eastAsia"/>
                <w:szCs w:val="21"/>
              </w:rPr>
              <w:t>次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分钟</w:t>
            </w:r>
          </w:p>
        </w:tc>
      </w:tr>
      <w:tr w:rsidR="00654004" w14:paraId="6F980DE4" w14:textId="77777777" w:rsidTr="00782DCB">
        <w:trPr>
          <w:trHeight w:val="590"/>
          <w:jc w:val="center"/>
        </w:trPr>
        <w:tc>
          <w:tcPr>
            <w:tcW w:w="642" w:type="pct"/>
            <w:tcBorders>
              <w:top w:val="nil"/>
              <w:bottom w:val="single" w:sz="8" w:space="0" w:color="auto"/>
            </w:tcBorders>
            <w:vAlign w:val="center"/>
          </w:tcPr>
          <w:p w14:paraId="4E72CA06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体温</w:t>
            </w:r>
          </w:p>
        </w:tc>
        <w:tc>
          <w:tcPr>
            <w:tcW w:w="883" w:type="pct"/>
            <w:tcBorders>
              <w:top w:val="nil"/>
              <w:bottom w:val="single" w:sz="8" w:space="0" w:color="auto"/>
            </w:tcBorders>
            <w:vAlign w:val="center"/>
          </w:tcPr>
          <w:p w14:paraId="24BD20F9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7.5</w:t>
            </w:r>
            <w:r>
              <w:rPr>
                <w:rFonts w:eastAsia="仿宋_GB2312" w:hint="eastAsia"/>
                <w:szCs w:val="21"/>
              </w:rPr>
              <w:t>~</w:t>
            </w:r>
            <w:r>
              <w:rPr>
                <w:rFonts w:eastAsia="仿宋_GB2312"/>
                <w:szCs w:val="21"/>
              </w:rPr>
              <w:t>38.5</w:t>
            </w:r>
            <w:r>
              <w:rPr>
                <w:rFonts w:eastAsia="仿宋_GB2312" w:hint="eastAsia"/>
                <w:szCs w:val="21"/>
              </w:rPr>
              <w:t>℃</w:t>
            </w:r>
          </w:p>
        </w:tc>
        <w:tc>
          <w:tcPr>
            <w:tcW w:w="1195" w:type="pct"/>
            <w:tcBorders>
              <w:top w:val="nil"/>
              <w:bottom w:val="single" w:sz="8" w:space="0" w:color="auto"/>
            </w:tcBorders>
            <w:vAlign w:val="center"/>
          </w:tcPr>
          <w:p w14:paraId="06A6AD4D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超过正常体温</w:t>
            </w:r>
          </w:p>
          <w:p w14:paraId="43532955" w14:textId="38EAC76F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≤</w:t>
            </w:r>
            <w:r w:rsidR="0004240E">
              <w:rPr>
                <w:rFonts w:ascii="仿宋_GB2312" w:eastAsia="仿宋_GB2312" w:hint="eastAsia"/>
                <w:szCs w:val="21"/>
              </w:rPr>
              <w:t>Δ</w:t>
            </w: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eastAsia="仿宋_GB2312" w:hint="eastAsia"/>
                <w:szCs w:val="21"/>
              </w:rPr>
              <w:t>＜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℃</w:t>
            </w:r>
          </w:p>
        </w:tc>
        <w:tc>
          <w:tcPr>
            <w:tcW w:w="1140" w:type="pct"/>
            <w:tcBorders>
              <w:top w:val="nil"/>
              <w:bottom w:val="single" w:sz="8" w:space="0" w:color="auto"/>
            </w:tcBorders>
            <w:vAlign w:val="center"/>
          </w:tcPr>
          <w:p w14:paraId="68656ADB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超过正常体温</w:t>
            </w:r>
          </w:p>
          <w:p w14:paraId="15C1509E" w14:textId="21F1ADFD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≤</w:t>
            </w:r>
            <w:r w:rsidR="0004240E">
              <w:rPr>
                <w:rFonts w:ascii="仿宋_GB2312" w:eastAsia="仿宋_GB2312" w:hint="eastAsia"/>
                <w:szCs w:val="21"/>
              </w:rPr>
              <w:t>Δ</w:t>
            </w: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eastAsia="仿宋_GB2312" w:hint="eastAsia"/>
                <w:szCs w:val="21"/>
              </w:rPr>
              <w:t>＜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℃</w:t>
            </w:r>
          </w:p>
        </w:tc>
        <w:tc>
          <w:tcPr>
            <w:tcW w:w="1140" w:type="pct"/>
            <w:tcBorders>
              <w:top w:val="nil"/>
              <w:bottom w:val="single" w:sz="8" w:space="0" w:color="auto"/>
            </w:tcBorders>
            <w:vAlign w:val="center"/>
          </w:tcPr>
          <w:p w14:paraId="343E76F2" w14:textId="77777777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超过正常体温</w:t>
            </w:r>
          </w:p>
          <w:p w14:paraId="5B65E892" w14:textId="4FAC9362" w:rsidR="00654004" w:rsidRDefault="00B91CC2" w:rsidP="00782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≤</w:t>
            </w:r>
            <w:r w:rsidR="0004240E">
              <w:rPr>
                <w:rFonts w:ascii="仿宋_GB2312" w:eastAsia="仿宋_GB2312" w:hint="eastAsia"/>
                <w:szCs w:val="21"/>
              </w:rPr>
              <w:t>Δ</w:t>
            </w: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eastAsia="仿宋_GB2312" w:hint="eastAsia"/>
                <w:szCs w:val="21"/>
              </w:rPr>
              <w:t>＜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℃</w:t>
            </w:r>
          </w:p>
        </w:tc>
      </w:tr>
    </w:tbl>
    <w:bookmarkEnd w:id="5"/>
    <w:p w14:paraId="3759D066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（四）受试动物选择</w:t>
      </w:r>
    </w:p>
    <w:p w14:paraId="0B9CBA8A" w14:textId="2A9EF39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.</w:t>
      </w:r>
      <w:r w:rsidR="00D0689F"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纳入标准</w:t>
      </w:r>
    </w:p>
    <w:p w14:paraId="16ACFFAD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bookmarkStart w:id="8" w:name="_Hlk148513266"/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）牛来源明确，牛场具有检疫合格证；</w:t>
      </w:r>
    </w:p>
    <w:p w14:paraId="05D94487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）试验场地负责人知情且同意；</w:t>
      </w:r>
    </w:p>
    <w:p w14:paraId="7B2696C0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）试验前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周，未接受过除疫苗和消毒剂以外的其他药物预防或治疗；</w:t>
      </w:r>
    </w:p>
    <w:p w14:paraId="4632678A" w14:textId="4C103AEE" w:rsidR="00654004" w:rsidRDefault="00B91CC2" w:rsidP="00C60DD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）患病牛符合湿热泄泻证的临床证候</w:t>
      </w:r>
      <w:r w:rsidR="00D0689F">
        <w:rPr>
          <w:rFonts w:eastAsia="仿宋_GB2312" w:hint="eastAsia"/>
          <w:sz w:val="32"/>
          <w:szCs w:val="32"/>
        </w:rPr>
        <w:t>诊断标准</w:t>
      </w:r>
      <w:r w:rsidR="00C60DD1">
        <w:rPr>
          <w:rFonts w:eastAsia="仿宋_GB2312" w:hint="eastAsia"/>
          <w:sz w:val="32"/>
          <w:szCs w:val="32"/>
        </w:rPr>
        <w:t>。</w:t>
      </w:r>
      <w:bookmarkEnd w:id="8"/>
    </w:p>
    <w:p w14:paraId="16BB003D" w14:textId="2E93C672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 w:rsidR="00D0689F"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排除标准</w:t>
      </w:r>
    </w:p>
    <w:p w14:paraId="1F04D53E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）有湿热泄泻以外的证候或疾病的病牛；</w:t>
      </w:r>
    </w:p>
    <w:p w14:paraId="17755E07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）发病后濒临死亡，预后不良，预期难以救治的病牛；</w:t>
      </w:r>
    </w:p>
    <w:p w14:paraId="0CA4F65B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）试验前接受过可影响本试验的药物治疗的病牛；</w:t>
      </w:r>
    </w:p>
    <w:p w14:paraId="2F8BC34C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）药物治疗后不能持续跟踪观察，或数据严重丢失的病牛。</w:t>
      </w:r>
    </w:p>
    <w:p w14:paraId="1FD003F7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bookmarkStart w:id="9" w:name="_Toc499033910"/>
      <w:r>
        <w:rPr>
          <w:rFonts w:eastAsia="楷体_GB2312" w:hint="eastAsia"/>
          <w:b/>
          <w:sz w:val="32"/>
          <w:szCs w:val="32"/>
        </w:rPr>
        <w:t>（五）退出标准</w:t>
      </w:r>
      <w:bookmarkEnd w:id="9"/>
    </w:p>
    <w:p w14:paraId="0A34EDE8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）整个试验期间出现外因导致受伤、有生命危险等情况；</w:t>
      </w:r>
    </w:p>
    <w:p w14:paraId="2B978239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）试验期间使用了影响本试验的其他药物；</w:t>
      </w:r>
    </w:p>
    <w:p w14:paraId="6E6B8D3C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）试验过程中发生重大偏离。</w:t>
      </w:r>
    </w:p>
    <w:p w14:paraId="2F163068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（六）</w:t>
      </w:r>
      <w:r>
        <w:rPr>
          <w:rFonts w:eastAsia="楷体_GB2312"/>
          <w:b/>
          <w:sz w:val="32"/>
          <w:szCs w:val="32"/>
        </w:rPr>
        <w:t>试验中止</w:t>
      </w:r>
    </w:p>
    <w:p w14:paraId="014BD822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</w:t>
      </w:r>
      <w:r>
        <w:rPr>
          <w:rFonts w:eastAsia="仿宋_GB2312"/>
          <w:sz w:val="32"/>
          <w:szCs w:val="32"/>
        </w:rPr>
        <w:t>研究者认为受试</w:t>
      </w:r>
      <w:r>
        <w:rPr>
          <w:rFonts w:eastAsia="仿宋_GB2312" w:hint="eastAsia"/>
          <w:sz w:val="32"/>
          <w:szCs w:val="32"/>
        </w:rPr>
        <w:t>动物</w:t>
      </w:r>
      <w:r>
        <w:rPr>
          <w:rFonts w:eastAsia="仿宋_GB2312"/>
          <w:sz w:val="32"/>
          <w:szCs w:val="32"/>
        </w:rPr>
        <w:t>安全性受到</w:t>
      </w:r>
      <w:r>
        <w:rPr>
          <w:rFonts w:eastAsia="仿宋_GB2312" w:hint="eastAsia"/>
          <w:sz w:val="32"/>
          <w:szCs w:val="32"/>
        </w:rPr>
        <w:t>较大</w:t>
      </w:r>
      <w:r>
        <w:rPr>
          <w:rFonts w:eastAsia="仿宋_GB2312"/>
          <w:sz w:val="32"/>
          <w:szCs w:val="32"/>
        </w:rPr>
        <w:t>损害</w:t>
      </w:r>
      <w:r>
        <w:rPr>
          <w:rFonts w:eastAsia="仿宋_GB2312" w:hint="eastAsia"/>
          <w:sz w:val="32"/>
          <w:szCs w:val="32"/>
        </w:rPr>
        <w:t>或者</w:t>
      </w:r>
      <w:r>
        <w:rPr>
          <w:rFonts w:eastAsia="仿宋_GB2312"/>
          <w:sz w:val="32"/>
          <w:szCs w:val="32"/>
        </w:rPr>
        <w:t>在试验中发现临床试验方案有重大失误，难以评价药物效应</w:t>
      </w:r>
      <w:r>
        <w:rPr>
          <w:rFonts w:eastAsia="仿宋_GB2312" w:hint="eastAsia"/>
          <w:sz w:val="32"/>
          <w:szCs w:val="32"/>
        </w:rPr>
        <w:t>等，</w:t>
      </w:r>
      <w:r>
        <w:rPr>
          <w:rFonts w:eastAsia="仿宋_GB2312"/>
          <w:sz w:val="32"/>
          <w:szCs w:val="32"/>
        </w:rPr>
        <w:t>应及时中止临床试验。</w:t>
      </w:r>
    </w:p>
    <w:p w14:paraId="55AF355D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bookmarkStart w:id="10" w:name="_Toc499033911"/>
      <w:r>
        <w:rPr>
          <w:rFonts w:eastAsia="楷体_GB2312" w:hint="eastAsia"/>
          <w:b/>
          <w:sz w:val="32"/>
          <w:szCs w:val="32"/>
        </w:rPr>
        <w:t>（七）试验设计</w:t>
      </w:r>
      <w:bookmarkEnd w:id="10"/>
    </w:p>
    <w:p w14:paraId="3D9F26A6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）设盲</w:t>
      </w:r>
    </w:p>
    <w:p w14:paraId="1D9A88E5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试验采用给药者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评估者设计。分组和给药人员不参与疗效评估；疗效评估者不了解试验牛的分组、给药与药物信息；锁定数据后揭盲，对数据进行分析并撰写试验报告。试验期间，除非出现严重不良事件，不对相关人员揭盲。</w:t>
      </w:r>
    </w:p>
    <w:p w14:paraId="4C8283D2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）分组</w:t>
      </w:r>
    </w:p>
    <w:p w14:paraId="4607E5D5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分组遵循随机、对照和重复的原则，药效评价试验设置三个剂量组（即高、中、低剂量组，中剂量一般选为推荐剂量）和阳性药物对照组或安慰剂（不治疗）对照组。药效评价田间试验仅设置推荐剂量组和阳性药物对照组，或推荐剂量组和药物安慰剂（不治疗）对照组。</w:t>
      </w:r>
    </w:p>
    <w:p w14:paraId="3808EE5A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）给药方案</w:t>
      </w:r>
    </w:p>
    <w:p w14:paraId="49ACC198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给药方案包括规范明确的给药途径、给药方法、使用剂量、投药频次，次数、时机及给药疗程。</w:t>
      </w:r>
    </w:p>
    <w:p w14:paraId="038BC854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（八）对照药物选择</w:t>
      </w:r>
    </w:p>
    <w:p w14:paraId="2490E568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对照药物应采用合法产品，选择时应遵循同类可比、公认有效的原则。在试验方案及报告中应阐明对照药物选择的</w:t>
      </w:r>
      <w:r>
        <w:rPr>
          <w:rFonts w:eastAsia="仿宋_GB2312" w:hint="eastAsia"/>
          <w:sz w:val="32"/>
          <w:szCs w:val="32"/>
        </w:rPr>
        <w:lastRenderedPageBreak/>
        <w:t>依据，对二者在功能以及适应证上的可比性进行分析，并明确其通用名称、含量、规格批号、生产企业、有效期及质量标准推荐的用法用量等。对照药物使用的途径、用法、用量应与质量标准规定的内容一致</w:t>
      </w:r>
      <w:r>
        <w:rPr>
          <w:rFonts w:eastAsia="仿宋_GB2312"/>
          <w:sz w:val="32"/>
          <w:szCs w:val="32"/>
        </w:rPr>
        <w:t>。</w:t>
      </w:r>
    </w:p>
    <w:p w14:paraId="65BD84AC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如没有可选的已获得批准文号的合法对照药物，则对照药物可选安慰剂，安慰剂应在剂型、外观、气味、口感、质感等性状特征上与试验药物尽量接近，确保临床研究者在盲态下开展研究。</w:t>
      </w:r>
    </w:p>
    <w:p w14:paraId="329795AC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（九）疗程及观测时点</w:t>
      </w:r>
    </w:p>
    <w:p w14:paraId="7C55C37E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根据药物特点和前期研究信息合理设置观测时点及疗程，并根据研究目的的不同，科学设计观测的方法、观测时点、观测内容等。</w:t>
      </w:r>
    </w:p>
    <w:p w14:paraId="0139BB14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bookmarkStart w:id="11" w:name="_Toc499033914"/>
      <w:r>
        <w:rPr>
          <w:rFonts w:eastAsia="楷体_GB2312" w:hint="eastAsia"/>
          <w:b/>
          <w:sz w:val="32"/>
          <w:szCs w:val="32"/>
        </w:rPr>
        <w:t>（十）有效性评价</w:t>
      </w:r>
      <w:bookmarkEnd w:id="11"/>
    </w:p>
    <w:p w14:paraId="1ECA9CF3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证候疗效评定标准进行有效性评价。中兽医证候疗效为复合性指标，包括主症和次症的消除、改善或控制，并可通过共同积分的改变进行评价。应重视各指标的权重赋值的合理性，新兽药治疗牛湿热泄泻证的具体临床评价指标如下：</w:t>
      </w:r>
    </w:p>
    <w:p w14:paraId="5DF3CFF9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12" w:name="_Hlk142051896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）治愈：</w:t>
      </w:r>
      <w:bookmarkStart w:id="13" w:name="_Hlk62718055"/>
      <w:r>
        <w:rPr>
          <w:rFonts w:eastAsia="仿宋_GB2312" w:hint="eastAsia"/>
          <w:sz w:val="32"/>
          <w:szCs w:val="32"/>
        </w:rPr>
        <w:t>临床证候消除。症状积分减少</w:t>
      </w:r>
      <w:r>
        <w:rPr>
          <w:rFonts w:eastAsia="仿宋_GB2312" w:hint="eastAsia"/>
          <w:sz w:val="32"/>
          <w:szCs w:val="32"/>
        </w:rPr>
        <w:t>100%</w:t>
      </w:r>
      <w:r>
        <w:rPr>
          <w:rFonts w:eastAsia="仿宋_GB2312" w:hint="eastAsia"/>
          <w:sz w:val="32"/>
          <w:szCs w:val="32"/>
        </w:rPr>
        <w:t>。治疗后</w:t>
      </w:r>
      <w:bookmarkEnd w:id="13"/>
      <w:r>
        <w:rPr>
          <w:rFonts w:eastAsia="仿宋_GB2312" w:hint="eastAsia"/>
          <w:sz w:val="32"/>
          <w:szCs w:val="32"/>
        </w:rPr>
        <w:t>病牛腹泻症状完全消除、精神、食欲、饮欲、体温等均恢复正常，观察期不复发，判为治愈。计算治愈率。</w:t>
      </w:r>
    </w:p>
    <w:p w14:paraId="6D7E638D" w14:textId="08A4CD4C" w:rsidR="00654004" w:rsidRDefault="00B91CC2" w:rsidP="00782DCB">
      <w:pPr>
        <w:pStyle w:val="ab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）显效：临床证候明显改善，症状积分减少≥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。治疗后病牛腹泻症状明显减轻，精神好转，食欲、体温等基本恢复正常；观察期内症状不再加重，判断为显效。计算显效率。</w:t>
      </w:r>
    </w:p>
    <w:p w14:paraId="24BE0386" w14:textId="356497CE" w:rsidR="00654004" w:rsidRDefault="00B91CC2" w:rsidP="00782DCB">
      <w:pPr>
        <w:pStyle w:val="ab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）有效：临床证候部分改善，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 w:hint="eastAsia"/>
          <w:sz w:val="32"/>
          <w:szCs w:val="32"/>
        </w:rPr>
        <w:t>≤症状积分减少＜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 w:hint="eastAsia"/>
          <w:sz w:val="32"/>
          <w:szCs w:val="32"/>
        </w:rPr>
        <w:t>。治疗后病牛腹泻症状略有好转，精神、食欲、发热等症状略有好转；观察期内症状不再加重，判断为有效，计算有效率。</w:t>
      </w:r>
    </w:p>
    <w:p w14:paraId="2899E35A" w14:textId="6F208057" w:rsidR="00654004" w:rsidRDefault="00B91CC2" w:rsidP="00782DCB">
      <w:pPr>
        <w:pStyle w:val="ab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）无效：临床证候无明显改善，甚或加重，症状积分减少＜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 w:hint="eastAsia"/>
          <w:sz w:val="32"/>
          <w:szCs w:val="32"/>
        </w:rPr>
        <w:t>。治疗后病牛腹泻症状没有减轻，精神、食欲、发热等症状未改善甚至加重或死亡。判为无效</w:t>
      </w:r>
      <w:r w:rsidR="009E67C3"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计算无效率。</w:t>
      </w:r>
    </w:p>
    <w:p w14:paraId="32B3CBF6" w14:textId="77777777" w:rsidR="00654004" w:rsidRDefault="00B91CC2" w:rsidP="00782DC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最后统计总有效率，总有效率为治愈率、显效率、有效率之和。以治愈率、显效率和总有效率为主要指标</w:t>
      </w:r>
      <w:r w:rsidRPr="00782DCB">
        <w:rPr>
          <w:rFonts w:eastAsia="仿宋_GB2312" w:hint="eastAsia"/>
          <w:sz w:val="32"/>
          <w:szCs w:val="32"/>
        </w:rPr>
        <w:t>，综合评价受试药物对牛湿热泄泻证的治疗效果</w:t>
      </w:r>
      <w:r>
        <w:rPr>
          <w:rFonts w:eastAsia="仿宋_GB2312" w:hint="eastAsia"/>
          <w:sz w:val="32"/>
          <w:szCs w:val="32"/>
        </w:rPr>
        <w:t>。</w:t>
      </w:r>
    </w:p>
    <w:p w14:paraId="36A47528" w14:textId="77777777" w:rsidR="00654004" w:rsidRPr="009E67C3" w:rsidRDefault="00B91CC2" w:rsidP="009E67C3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bookmarkStart w:id="14" w:name="_Toc499033918"/>
      <w:bookmarkEnd w:id="12"/>
      <w:r w:rsidRPr="009E67C3">
        <w:rPr>
          <w:rFonts w:eastAsia="楷体_GB2312" w:hint="eastAsia"/>
          <w:b/>
          <w:sz w:val="32"/>
          <w:szCs w:val="32"/>
        </w:rPr>
        <w:t>（十一）试验的质量控制</w:t>
      </w:r>
    </w:p>
    <w:p w14:paraId="5E2F62BC" w14:textId="77777777" w:rsidR="00654004" w:rsidRDefault="00B91CC2" w:rsidP="009E67C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申办方应当选择一种</w:t>
      </w:r>
      <w:r>
        <w:rPr>
          <w:rFonts w:eastAsia="仿宋_GB2312" w:hint="eastAsia"/>
          <w:sz w:val="32"/>
          <w:szCs w:val="32"/>
        </w:rPr>
        <w:t>适当的</w:t>
      </w:r>
      <w:r>
        <w:rPr>
          <w:rFonts w:eastAsia="仿宋_GB2312"/>
          <w:sz w:val="32"/>
          <w:szCs w:val="32"/>
        </w:rPr>
        <w:t>方式，便于评价</w:t>
      </w:r>
      <w:r>
        <w:rPr>
          <w:rFonts w:eastAsia="仿宋_GB2312" w:hint="eastAsia"/>
          <w:sz w:val="32"/>
          <w:szCs w:val="32"/>
        </w:rPr>
        <w:t>患病动物</w:t>
      </w:r>
      <w:r>
        <w:rPr>
          <w:rFonts w:eastAsia="仿宋_GB2312"/>
          <w:sz w:val="32"/>
          <w:szCs w:val="32"/>
        </w:rPr>
        <w:t>在试验过程中每天的症状和体征。</w:t>
      </w:r>
    </w:p>
    <w:p w14:paraId="5AEBB304" w14:textId="77777777" w:rsidR="00654004" w:rsidRDefault="00B91CC2" w:rsidP="009E67C3">
      <w:pPr>
        <w:adjustRightInd w:val="0"/>
        <w:snapToGrid w:val="0"/>
        <w:spacing w:line="560" w:lineRule="exact"/>
        <w:ind w:firstLineChars="200" w:firstLine="640"/>
        <w:rPr>
          <w:rFonts w:ascii="等线" w:eastAsia="仿宋_GB2312" w:hAnsi="等线"/>
          <w:sz w:val="32"/>
          <w:szCs w:val="32"/>
        </w:rPr>
      </w:pPr>
      <w:r>
        <w:rPr>
          <w:rFonts w:ascii="等线" w:eastAsia="仿宋_GB2312" w:hAnsi="等线"/>
          <w:sz w:val="32"/>
          <w:szCs w:val="32"/>
        </w:rPr>
        <w:t>对于主观评价指标，质量控制至关重要。若在试验的某个阶段（如探索性试验阶段）未采取盲法设计，应着重注意保证评价者与数据分析者均处于盲态，降低偏倚性。</w:t>
      </w:r>
    </w:p>
    <w:p w14:paraId="1F3F8FCD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（十二）统计方法</w:t>
      </w:r>
      <w:bookmarkEnd w:id="14"/>
    </w:p>
    <w:p w14:paraId="647C5BCD" w14:textId="77777777" w:rsidR="00654004" w:rsidRDefault="00B91CC2" w:rsidP="00782DC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应符合统计学的一般要求。病例数的设计应根据统计学</w:t>
      </w:r>
      <w:r>
        <w:rPr>
          <w:rFonts w:eastAsia="仿宋_GB2312" w:hint="eastAsia"/>
          <w:sz w:val="32"/>
          <w:szCs w:val="32"/>
        </w:rPr>
        <w:t>相关法规或技术规程的要求进行计算统计。</w:t>
      </w:r>
    </w:p>
    <w:sectPr w:rsidR="0065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CB73E" w14:textId="77777777" w:rsidR="00471487" w:rsidRDefault="00471487" w:rsidP="009E67C3">
      <w:r>
        <w:separator/>
      </w:r>
    </w:p>
  </w:endnote>
  <w:endnote w:type="continuationSeparator" w:id="0">
    <w:p w14:paraId="310CF44F" w14:textId="77777777" w:rsidR="00471487" w:rsidRDefault="00471487" w:rsidP="009E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2C91C" w14:textId="77777777" w:rsidR="00471487" w:rsidRDefault="00471487" w:rsidP="009E67C3">
      <w:r>
        <w:separator/>
      </w:r>
    </w:p>
  </w:footnote>
  <w:footnote w:type="continuationSeparator" w:id="0">
    <w:p w14:paraId="58C752AA" w14:textId="77777777" w:rsidR="00471487" w:rsidRDefault="00471487" w:rsidP="009E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NTRlODhkM2E2NDVmMTlhZDc3ZWQwMGY2MWJhMDgifQ=="/>
  </w:docVars>
  <w:rsids>
    <w:rsidRoot w:val="00AE46FA"/>
    <w:rsid w:val="00000495"/>
    <w:rsid w:val="00026AC3"/>
    <w:rsid w:val="00035F8F"/>
    <w:rsid w:val="0004240E"/>
    <w:rsid w:val="000451DF"/>
    <w:rsid w:val="00047B83"/>
    <w:rsid w:val="000676E1"/>
    <w:rsid w:val="00085D9D"/>
    <w:rsid w:val="000C684F"/>
    <w:rsid w:val="000D383E"/>
    <w:rsid w:val="000F357C"/>
    <w:rsid w:val="001251E7"/>
    <w:rsid w:val="00140A5F"/>
    <w:rsid w:val="00195BBB"/>
    <w:rsid w:val="001E3BAD"/>
    <w:rsid w:val="0020462C"/>
    <w:rsid w:val="0020734C"/>
    <w:rsid w:val="00224EC4"/>
    <w:rsid w:val="00242FE8"/>
    <w:rsid w:val="002553EA"/>
    <w:rsid w:val="00277CEE"/>
    <w:rsid w:val="00280F9E"/>
    <w:rsid w:val="002831F1"/>
    <w:rsid w:val="002A103D"/>
    <w:rsid w:val="002D4D00"/>
    <w:rsid w:val="002D52CE"/>
    <w:rsid w:val="002F169D"/>
    <w:rsid w:val="00306FA6"/>
    <w:rsid w:val="00343EE8"/>
    <w:rsid w:val="003C1193"/>
    <w:rsid w:val="003D066C"/>
    <w:rsid w:val="003F2032"/>
    <w:rsid w:val="003F38BB"/>
    <w:rsid w:val="0040269B"/>
    <w:rsid w:val="00454089"/>
    <w:rsid w:val="00467A74"/>
    <w:rsid w:val="00471487"/>
    <w:rsid w:val="00485ECB"/>
    <w:rsid w:val="00494D4B"/>
    <w:rsid w:val="004A753F"/>
    <w:rsid w:val="00527133"/>
    <w:rsid w:val="00557493"/>
    <w:rsid w:val="00574279"/>
    <w:rsid w:val="005B42C5"/>
    <w:rsid w:val="005F2034"/>
    <w:rsid w:val="005F5F83"/>
    <w:rsid w:val="00600E12"/>
    <w:rsid w:val="00612185"/>
    <w:rsid w:val="00631F03"/>
    <w:rsid w:val="006360EF"/>
    <w:rsid w:val="006432F1"/>
    <w:rsid w:val="00651208"/>
    <w:rsid w:val="00654004"/>
    <w:rsid w:val="00670F15"/>
    <w:rsid w:val="006A0212"/>
    <w:rsid w:val="006D39DE"/>
    <w:rsid w:val="006D73C6"/>
    <w:rsid w:val="006E272C"/>
    <w:rsid w:val="00714754"/>
    <w:rsid w:val="00714E8B"/>
    <w:rsid w:val="00716D9F"/>
    <w:rsid w:val="00717DBF"/>
    <w:rsid w:val="00725C44"/>
    <w:rsid w:val="00760980"/>
    <w:rsid w:val="00773712"/>
    <w:rsid w:val="00782DCB"/>
    <w:rsid w:val="007A6D30"/>
    <w:rsid w:val="007B7287"/>
    <w:rsid w:val="008878C0"/>
    <w:rsid w:val="008B0C4A"/>
    <w:rsid w:val="008C6914"/>
    <w:rsid w:val="008F0C47"/>
    <w:rsid w:val="0095657C"/>
    <w:rsid w:val="00961FB4"/>
    <w:rsid w:val="0096430D"/>
    <w:rsid w:val="00974B3C"/>
    <w:rsid w:val="00975083"/>
    <w:rsid w:val="009A204E"/>
    <w:rsid w:val="009A38EF"/>
    <w:rsid w:val="009E67C3"/>
    <w:rsid w:val="009F4FEA"/>
    <w:rsid w:val="009F5A64"/>
    <w:rsid w:val="00A13D63"/>
    <w:rsid w:val="00A17887"/>
    <w:rsid w:val="00A21A53"/>
    <w:rsid w:val="00A317CE"/>
    <w:rsid w:val="00A45631"/>
    <w:rsid w:val="00A52BCF"/>
    <w:rsid w:val="00A947ED"/>
    <w:rsid w:val="00AD72E4"/>
    <w:rsid w:val="00AE46FA"/>
    <w:rsid w:val="00AF1217"/>
    <w:rsid w:val="00B254CE"/>
    <w:rsid w:val="00B27FC8"/>
    <w:rsid w:val="00B30313"/>
    <w:rsid w:val="00B706E8"/>
    <w:rsid w:val="00B90446"/>
    <w:rsid w:val="00B91CC2"/>
    <w:rsid w:val="00BB72C4"/>
    <w:rsid w:val="00C013B4"/>
    <w:rsid w:val="00C23907"/>
    <w:rsid w:val="00C34906"/>
    <w:rsid w:val="00C52F51"/>
    <w:rsid w:val="00C60D10"/>
    <w:rsid w:val="00C60DD1"/>
    <w:rsid w:val="00CE6FA0"/>
    <w:rsid w:val="00D0689F"/>
    <w:rsid w:val="00D37394"/>
    <w:rsid w:val="00D63A2B"/>
    <w:rsid w:val="00D84416"/>
    <w:rsid w:val="00DB5F4C"/>
    <w:rsid w:val="00DC25ED"/>
    <w:rsid w:val="00DF4154"/>
    <w:rsid w:val="00E07B60"/>
    <w:rsid w:val="00E87D29"/>
    <w:rsid w:val="00E93BBC"/>
    <w:rsid w:val="00F53D9F"/>
    <w:rsid w:val="00F54FA8"/>
    <w:rsid w:val="00F74605"/>
    <w:rsid w:val="00F85995"/>
    <w:rsid w:val="00FA3B70"/>
    <w:rsid w:val="00FD2726"/>
    <w:rsid w:val="00FF0040"/>
    <w:rsid w:val="49DD6582"/>
    <w:rsid w:val="5CF26E67"/>
    <w:rsid w:val="7E9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C4ABA"/>
  <w15:docId w15:val="{DBF759AC-D892-4C9E-9256-C86C271F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uiPriority w:val="99"/>
    <w:semiHidden/>
    <w:unhideWhenUsed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paragraph" w:styleId="20">
    <w:name w:val="Body Text First Indent 2"/>
    <w:basedOn w:val="a4"/>
    <w:link w:val="2Char0"/>
    <w:unhideWhenUsed/>
    <w:qFormat/>
    <w:pPr>
      <w:spacing w:line="360" w:lineRule="auto"/>
      <w:ind w:firstLineChars="200" w:firstLine="420"/>
    </w:pPr>
    <w:rPr>
      <w:szCs w:val="21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楷体_GB2312" w:hAnsi="Cambria" w:cs="Times New Roman"/>
      <w:bCs/>
      <w:sz w:val="32"/>
      <w:szCs w:val="32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0"/>
    <w:link w:val="20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正文仿宋三号 Char"/>
    <w:link w:val="aa"/>
    <w:qFormat/>
    <w:rPr>
      <w:rFonts w:eastAsia="仿宋_GB2312"/>
      <w:sz w:val="32"/>
      <w:szCs w:val="32"/>
    </w:rPr>
  </w:style>
  <w:style w:type="paragraph" w:customStyle="1" w:styleId="aa">
    <w:name w:val="正文仿宋三号"/>
    <w:basedOn w:val="a"/>
    <w:link w:val="Char5"/>
    <w:qFormat/>
    <w:pPr>
      <w:widowControl/>
      <w:spacing w:line="360" w:lineRule="auto"/>
      <w:ind w:firstLineChars="200" w:firstLine="640"/>
    </w:pPr>
    <w:rPr>
      <w:rFonts w:asciiTheme="minorHAnsi" w:eastAsia="仿宋_GB2312" w:hAnsiTheme="minorHAnsi" w:cstheme="minorBidi"/>
      <w:sz w:val="32"/>
      <w:szCs w:val="32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styleId="ab">
    <w:name w:val="List Paragraph"/>
    <w:basedOn w:val="a"/>
    <w:link w:val="Char6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6">
    <w:name w:val="列出段落 Char"/>
    <w:link w:val="ab"/>
    <w:uiPriority w:val="34"/>
    <w:qFormat/>
    <w:rPr>
      <w:rFonts w:ascii="等线" w:eastAsia="等线" w:hAnsi="等线" w:cs="Times New Roman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unhideWhenUsed/>
    <w:rsid w:val="009E67C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48623</dc:creator>
  <cp:lastModifiedBy>刘自扬</cp:lastModifiedBy>
  <cp:revision>3</cp:revision>
  <dcterms:created xsi:type="dcterms:W3CDTF">2024-01-25T07:54:00Z</dcterms:created>
  <dcterms:modified xsi:type="dcterms:W3CDTF">2024-01-25T09:20:00Z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E669B882E6EE4DDF900B1AE865BC0B6C_13</vt:lpwstr>
  </property>
</Properties>
</file>