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FA540" w14:textId="77777777" w:rsidR="00093494" w:rsidRPr="00706680" w:rsidRDefault="00E23530" w:rsidP="00E23530">
      <w:pPr>
        <w:pStyle w:val="Chatperno"/>
        <w:tabs>
          <w:tab w:val="clear" w:pos="-720"/>
        </w:tabs>
        <w:rPr>
          <w:lang w:val="en-IE"/>
        </w:rPr>
      </w:pPr>
      <w:r w:rsidRPr="009C122D">
        <w:t xml:space="preserve">Chapter </w:t>
      </w:r>
      <w:r w:rsidR="000F3880">
        <w:rPr>
          <w:lang w:val="en-IE"/>
        </w:rPr>
        <w:t>3</w:t>
      </w:r>
      <w:r w:rsidR="00093494" w:rsidRPr="00706680">
        <w:rPr>
          <w:lang w:val="en-IE"/>
        </w:rPr>
        <w:t>.</w:t>
      </w:r>
      <w:r w:rsidR="002A5F70" w:rsidRPr="00706680">
        <w:rPr>
          <w:lang w:val="en-IE"/>
        </w:rPr>
        <w:t>4.</w:t>
      </w:r>
      <w:r w:rsidR="004F49A4">
        <w:rPr>
          <w:lang w:val="en-IE"/>
        </w:rPr>
        <w:t>8</w:t>
      </w:r>
      <w:r w:rsidR="00093494" w:rsidRPr="00706680">
        <w:rPr>
          <w:lang w:val="en-IE"/>
        </w:rPr>
        <w:t>.</w:t>
      </w:r>
    </w:p>
    <w:p w14:paraId="048364F1" w14:textId="77777777" w:rsidR="00093494" w:rsidRPr="004F49A4" w:rsidRDefault="00093494">
      <w:pPr>
        <w:pStyle w:val="Chaptertitle"/>
        <w:rPr>
          <w:szCs w:val="32"/>
          <w:lang w:val="en-IE"/>
        </w:rPr>
      </w:pPr>
      <w:r w:rsidRPr="004F49A4">
        <w:rPr>
          <w:szCs w:val="32"/>
          <w:lang w:val="en-IE"/>
        </w:rPr>
        <w:t>contagious bovine pleuropneumonia</w:t>
      </w:r>
      <w:r w:rsidR="004F49A4" w:rsidRPr="004F49A4">
        <w:rPr>
          <w:szCs w:val="32"/>
          <w:lang w:val="en-IE"/>
        </w:rPr>
        <w:t xml:space="preserve"> </w:t>
      </w:r>
      <w:r w:rsidR="004F49A4" w:rsidRPr="004F49A4">
        <w:rPr>
          <w:szCs w:val="32"/>
        </w:rPr>
        <w:t>(</w:t>
      </w:r>
      <w:r w:rsidR="004F49A4" w:rsidRPr="004F49A4">
        <w:rPr>
          <w:rFonts w:cs="Arial"/>
          <w:szCs w:val="32"/>
          <w:lang w:val="en-IE" w:eastAsia="en-IE"/>
        </w:rPr>
        <w:t xml:space="preserve">infection with </w:t>
      </w:r>
      <w:r w:rsidR="004F49A4" w:rsidRPr="004F49A4">
        <w:rPr>
          <w:rFonts w:cs="Arial"/>
          <w:i/>
          <w:iCs/>
          <w:szCs w:val="32"/>
          <w:lang w:val="en-IE" w:eastAsia="en-IE"/>
        </w:rPr>
        <w:t>Mycoplasma mycoides</w:t>
      </w:r>
      <w:r w:rsidR="004F49A4" w:rsidRPr="004F49A4">
        <w:rPr>
          <w:rFonts w:cs="Arial"/>
          <w:szCs w:val="32"/>
          <w:lang w:val="en-IE" w:eastAsia="en-IE"/>
        </w:rPr>
        <w:t xml:space="preserve"> subsp. </w:t>
      </w:r>
      <w:r w:rsidR="004F49A4" w:rsidRPr="004F49A4">
        <w:rPr>
          <w:rFonts w:cs="Arial"/>
          <w:i/>
          <w:iCs/>
          <w:szCs w:val="32"/>
          <w:lang w:val="en-IE" w:eastAsia="en-IE"/>
        </w:rPr>
        <w:t>mycoides</w:t>
      </w:r>
      <w:r w:rsidR="004F49A4" w:rsidRPr="000902A2">
        <w:rPr>
          <w:rFonts w:cs="Arial"/>
          <w:strike/>
          <w:szCs w:val="32"/>
          <w:lang w:val="en-IE" w:eastAsia="en-IE"/>
        </w:rPr>
        <w:t xml:space="preserve"> SC</w:t>
      </w:r>
      <w:r w:rsidR="004F49A4" w:rsidRPr="004F49A4">
        <w:rPr>
          <w:rFonts w:cs="Arial"/>
          <w:szCs w:val="32"/>
          <w:lang w:val="en-IE" w:eastAsia="en-IE"/>
        </w:rPr>
        <w:t>)</w:t>
      </w:r>
      <w:r w:rsidR="00543273">
        <w:rPr>
          <w:rStyle w:val="Appelnotedebasdep"/>
          <w:rFonts w:cs="Arial"/>
          <w:szCs w:val="32"/>
          <w:lang w:val="en-IE" w:eastAsia="en-IE"/>
        </w:rPr>
        <w:footnoteReference w:id="1"/>
      </w:r>
    </w:p>
    <w:p w14:paraId="3FC4191D" w14:textId="77777777" w:rsidR="00093494" w:rsidRPr="00706680" w:rsidRDefault="00093494">
      <w:pPr>
        <w:pStyle w:val="Summarytitle"/>
        <w:rPr>
          <w:lang w:val="en-IE"/>
        </w:rPr>
      </w:pPr>
      <w:r w:rsidRPr="00706680">
        <w:rPr>
          <w:lang w:val="en-IE"/>
        </w:rPr>
        <w:t>SUMMARY</w:t>
      </w:r>
    </w:p>
    <w:p w14:paraId="610443C7" w14:textId="77777777" w:rsidR="00093494" w:rsidRPr="00706680" w:rsidRDefault="00093494" w:rsidP="00A504E2">
      <w:pPr>
        <w:pStyle w:val="sumtexte"/>
        <w:spacing w:after="100"/>
        <w:rPr>
          <w:lang w:val="en-IE"/>
        </w:rPr>
      </w:pPr>
      <w:r w:rsidRPr="00706680">
        <w:rPr>
          <w:lang w:val="en-IE"/>
        </w:rPr>
        <w:t xml:space="preserve">Contagious bovine pleuropneumonia </w:t>
      </w:r>
      <w:r w:rsidRPr="00706680">
        <w:rPr>
          <w:i w:val="0"/>
          <w:iCs w:val="0"/>
          <w:lang w:val="en-IE"/>
        </w:rPr>
        <w:t>(</w:t>
      </w:r>
      <w:r w:rsidRPr="00706680">
        <w:rPr>
          <w:lang w:val="en-IE"/>
        </w:rPr>
        <w:t>CBPP</w:t>
      </w:r>
      <w:r w:rsidRPr="00706680">
        <w:rPr>
          <w:i w:val="0"/>
          <w:iCs w:val="0"/>
          <w:lang w:val="en-IE"/>
        </w:rPr>
        <w:t>)</w:t>
      </w:r>
      <w:r w:rsidRPr="00706680">
        <w:rPr>
          <w:lang w:val="en-IE"/>
        </w:rPr>
        <w:t xml:space="preserve"> is a disease of </w:t>
      </w:r>
      <w:r w:rsidR="002941BE" w:rsidRPr="00706680">
        <w:rPr>
          <w:lang w:val="en-IE"/>
        </w:rPr>
        <w:t xml:space="preserve">ruminants </w:t>
      </w:r>
      <w:r w:rsidR="002941BE" w:rsidRPr="00706680">
        <w:rPr>
          <w:i w:val="0"/>
          <w:lang w:val="en-IE"/>
        </w:rPr>
        <w:t xml:space="preserve">(Bos </w:t>
      </w:r>
      <w:r w:rsidR="002941BE" w:rsidRPr="00706680">
        <w:rPr>
          <w:lang w:val="en-IE"/>
        </w:rPr>
        <w:t>and</w:t>
      </w:r>
      <w:r w:rsidR="002941BE" w:rsidRPr="00706680">
        <w:rPr>
          <w:i w:val="0"/>
          <w:lang w:val="en-IE"/>
        </w:rPr>
        <w:t xml:space="preserve"> Bubalus </w:t>
      </w:r>
      <w:r w:rsidR="002941BE" w:rsidRPr="00706680">
        <w:rPr>
          <w:lang w:val="en-IE"/>
        </w:rPr>
        <w:t>genuses</w:t>
      </w:r>
      <w:r w:rsidR="002941BE" w:rsidRPr="00706680">
        <w:rPr>
          <w:i w:val="0"/>
          <w:lang w:val="en-IE"/>
        </w:rPr>
        <w:t xml:space="preserve">) </w:t>
      </w:r>
      <w:r w:rsidRPr="00706680">
        <w:rPr>
          <w:lang w:val="en-IE"/>
        </w:rPr>
        <w:t xml:space="preserve">caused by </w:t>
      </w:r>
      <w:r w:rsidRPr="00706680">
        <w:rPr>
          <w:i w:val="0"/>
          <w:lang w:val="en-IE"/>
        </w:rPr>
        <w:t>Mycoplasma</w:t>
      </w:r>
      <w:r w:rsidRPr="00706680">
        <w:rPr>
          <w:lang w:val="en-IE"/>
        </w:rPr>
        <w:t xml:space="preserve"> </w:t>
      </w:r>
      <w:r w:rsidRPr="00706680">
        <w:rPr>
          <w:i w:val="0"/>
          <w:lang w:val="en-IE"/>
        </w:rPr>
        <w:t>mycoides</w:t>
      </w:r>
      <w:r w:rsidRPr="00706680">
        <w:rPr>
          <w:lang w:val="en-IE"/>
        </w:rPr>
        <w:t xml:space="preserve"> subsp. </w:t>
      </w:r>
      <w:r w:rsidRPr="00706680">
        <w:rPr>
          <w:i w:val="0"/>
          <w:lang w:val="en-IE"/>
        </w:rPr>
        <w:t>mycoides</w:t>
      </w:r>
      <w:r w:rsidRPr="00706680">
        <w:rPr>
          <w:lang w:val="en-IE"/>
        </w:rPr>
        <w:t xml:space="preserve"> </w:t>
      </w:r>
      <w:r w:rsidRPr="000902A2">
        <w:rPr>
          <w:strike/>
          <w:lang w:val="en-IE"/>
        </w:rPr>
        <w:t>SC</w:t>
      </w:r>
      <w:r w:rsidRPr="000902A2">
        <w:rPr>
          <w:i w:val="0"/>
          <w:iCs w:val="0"/>
          <w:strike/>
          <w:lang w:val="en-IE"/>
        </w:rPr>
        <w:t xml:space="preserve"> </w:t>
      </w:r>
      <w:r w:rsidRPr="00706680">
        <w:rPr>
          <w:i w:val="0"/>
          <w:iCs w:val="0"/>
          <w:lang w:val="en-IE"/>
        </w:rPr>
        <w:t>(</w:t>
      </w:r>
      <w:r w:rsidR="00584D9B" w:rsidRPr="00706680">
        <w:rPr>
          <w:i w:val="0"/>
          <w:iCs w:val="0"/>
          <w:lang w:val="en-IE"/>
        </w:rPr>
        <w:t>Mmm</w:t>
      </w:r>
      <w:r w:rsidR="00584D9B" w:rsidRPr="000902A2">
        <w:rPr>
          <w:strike/>
          <w:lang w:val="en-IE"/>
        </w:rPr>
        <w:t>SC; SC = small colony</w:t>
      </w:r>
      <w:r w:rsidRPr="00706680">
        <w:rPr>
          <w:i w:val="0"/>
          <w:iCs w:val="0"/>
          <w:lang w:val="en-IE"/>
        </w:rPr>
        <w:t>)</w:t>
      </w:r>
      <w:r w:rsidRPr="00706680">
        <w:rPr>
          <w:lang w:val="en-IE"/>
        </w:rPr>
        <w:t>. It is manifested by anorexia, fever and respiratory signs such as dyspnoea, polypnoea, cough and nasal discharges</w:t>
      </w:r>
      <w:r w:rsidR="004E6C8C" w:rsidRPr="00706680">
        <w:rPr>
          <w:lang w:val="en-IE"/>
        </w:rPr>
        <w:t xml:space="preserve"> in bovines</w:t>
      </w:r>
      <w:r w:rsidRPr="00706680">
        <w:rPr>
          <w:lang w:val="en-IE"/>
        </w:rPr>
        <w:t xml:space="preserve">. </w:t>
      </w:r>
      <w:r w:rsidRPr="000902A2">
        <w:rPr>
          <w:u w:val="double"/>
          <w:lang w:val="en-IE"/>
        </w:rPr>
        <w:t>D</w:t>
      </w:r>
      <w:r w:rsidR="00F22C33" w:rsidRPr="000902A2">
        <w:rPr>
          <w:u w:val="double"/>
          <w:lang w:val="en-IE"/>
        </w:rPr>
        <w:t>efinite</w:t>
      </w:r>
      <w:r w:rsidR="00F22C33">
        <w:rPr>
          <w:lang w:val="en-IE"/>
        </w:rPr>
        <w:t xml:space="preserve"> d</w:t>
      </w:r>
      <w:r w:rsidRPr="00706680">
        <w:rPr>
          <w:lang w:val="en-IE"/>
        </w:rPr>
        <w:t xml:space="preserve">iagnosis </w:t>
      </w:r>
      <w:r w:rsidR="00245C0D" w:rsidRPr="00706680">
        <w:rPr>
          <w:lang w:val="en-IE"/>
        </w:rPr>
        <w:t>requires</w:t>
      </w:r>
      <w:r w:rsidRPr="00706680">
        <w:rPr>
          <w:lang w:val="en-IE"/>
        </w:rPr>
        <w:t xml:space="preserve"> the isolation</w:t>
      </w:r>
      <w:r w:rsidR="00F22C33">
        <w:rPr>
          <w:lang w:val="en-IE"/>
        </w:rPr>
        <w:t xml:space="preserve"> </w:t>
      </w:r>
      <w:r w:rsidR="00F22C33" w:rsidRPr="000902A2">
        <w:rPr>
          <w:u w:val="double"/>
          <w:lang w:val="en-IE"/>
        </w:rPr>
        <w:t>or detection</w:t>
      </w:r>
      <w:r w:rsidRPr="00706680">
        <w:rPr>
          <w:lang w:val="en-IE"/>
        </w:rPr>
        <w:t xml:space="preserve"> of the aetiological agent. The main problems for control or eradication are the frequent occurrence of subacute or </w:t>
      </w:r>
      <w:r w:rsidR="00A504E2" w:rsidRPr="00706680">
        <w:rPr>
          <w:lang w:val="en-IE"/>
        </w:rPr>
        <w:t>subclinical</w:t>
      </w:r>
      <w:r w:rsidRPr="00706680">
        <w:rPr>
          <w:lang w:val="en-IE"/>
        </w:rPr>
        <w:t xml:space="preserve"> infections</w:t>
      </w:r>
      <w:r w:rsidR="00245C0D" w:rsidRPr="00706680">
        <w:rPr>
          <w:lang w:val="en-IE"/>
        </w:rPr>
        <w:t>,</w:t>
      </w:r>
      <w:r w:rsidRPr="00706680">
        <w:rPr>
          <w:lang w:val="en-IE"/>
        </w:rPr>
        <w:t xml:space="preserve"> the persistence of chronic carriers after the clinical phase</w:t>
      </w:r>
      <w:r w:rsidR="00245C0D" w:rsidRPr="00706680">
        <w:rPr>
          <w:lang w:val="en-IE"/>
        </w:rPr>
        <w:t xml:space="preserve"> and the lack of extensive vaccine coverage</w:t>
      </w:r>
      <w:r w:rsidRPr="00706680">
        <w:rPr>
          <w:lang w:val="en-IE"/>
        </w:rPr>
        <w:t>.</w:t>
      </w:r>
    </w:p>
    <w:p w14:paraId="7BA905C0" w14:textId="77777777" w:rsidR="00093494" w:rsidRPr="00706680" w:rsidRDefault="00093494">
      <w:pPr>
        <w:pStyle w:val="sumtexte"/>
        <w:spacing w:after="100"/>
        <w:rPr>
          <w:lang w:val="en-IE"/>
        </w:rPr>
      </w:pPr>
      <w:r w:rsidRPr="00706680">
        <w:rPr>
          <w:b/>
          <w:lang w:val="en-IE"/>
        </w:rPr>
        <w:t xml:space="preserve">Identification of the agent: </w:t>
      </w:r>
      <w:r w:rsidRPr="00706680">
        <w:rPr>
          <w:lang w:val="en-IE"/>
        </w:rPr>
        <w:t xml:space="preserve">Samples to be taken from live animals are nasal swabs and/or broncho-alveolar washings or pleural fluid obtained by puncture. Samples to be taken at necropsy are lung lesions, lymph nodes, pleural fluid and synovial fluid from those animals with arthritis. </w:t>
      </w:r>
    </w:p>
    <w:p w14:paraId="1E4E9C80" w14:textId="77777777" w:rsidR="00093494" w:rsidRPr="00706680" w:rsidRDefault="00093494">
      <w:pPr>
        <w:pStyle w:val="sumtexte"/>
        <w:spacing w:after="100"/>
        <w:rPr>
          <w:lang w:val="en-IE"/>
        </w:rPr>
      </w:pPr>
      <w:r w:rsidRPr="00706680">
        <w:rPr>
          <w:lang w:val="en-IE"/>
        </w:rPr>
        <w:t xml:space="preserve">For cultivation of the pathogen, the tissues are ground in </w:t>
      </w:r>
      <w:r w:rsidR="002941BE" w:rsidRPr="00706680">
        <w:rPr>
          <w:lang w:val="en-IE"/>
        </w:rPr>
        <w:t xml:space="preserve">buffered solution </w:t>
      </w:r>
      <w:r w:rsidRPr="00706680">
        <w:rPr>
          <w:lang w:val="en-IE"/>
        </w:rPr>
        <w:t xml:space="preserve">and inoculated into </w:t>
      </w:r>
      <w:r w:rsidR="002941BE" w:rsidRPr="00706680">
        <w:rPr>
          <w:lang w:val="en-IE"/>
        </w:rPr>
        <w:t xml:space="preserve">selective broth and solid </w:t>
      </w:r>
      <w:r w:rsidRPr="00706680">
        <w:rPr>
          <w:lang w:val="en-IE"/>
        </w:rPr>
        <w:t xml:space="preserve">media </w:t>
      </w:r>
      <w:r w:rsidR="002941BE" w:rsidRPr="00706680">
        <w:rPr>
          <w:lang w:val="en-IE"/>
        </w:rPr>
        <w:t xml:space="preserve">with antibiotics or other </w:t>
      </w:r>
      <w:r w:rsidRPr="00706680">
        <w:rPr>
          <w:lang w:val="en-IE"/>
        </w:rPr>
        <w:t xml:space="preserve">inhibitors to prevent the growth of </w:t>
      </w:r>
      <w:r w:rsidR="00245C0D" w:rsidRPr="00706680">
        <w:rPr>
          <w:lang w:val="en-IE"/>
        </w:rPr>
        <w:t xml:space="preserve">cell-walled </w:t>
      </w:r>
      <w:r w:rsidRPr="00706680">
        <w:rPr>
          <w:lang w:val="en-IE"/>
        </w:rPr>
        <w:t xml:space="preserve">bacteria. The growth of </w:t>
      </w:r>
      <w:r w:rsidRPr="00706680">
        <w:rPr>
          <w:i w:val="0"/>
          <w:lang w:val="en-IE"/>
        </w:rPr>
        <w:t>Mmm</w:t>
      </w:r>
      <w:r w:rsidR="002941BE" w:rsidRPr="00706680">
        <w:rPr>
          <w:iCs w:val="0"/>
          <w:lang w:val="en-IE"/>
        </w:rPr>
        <w:t xml:space="preserve"> </w:t>
      </w:r>
      <w:r w:rsidR="002941BE" w:rsidRPr="00706680">
        <w:rPr>
          <w:lang w:val="en-IE"/>
        </w:rPr>
        <w:t xml:space="preserve">can take up to 10 days, depending upon the type of sample and </w:t>
      </w:r>
      <w:r w:rsidR="00727174" w:rsidRPr="00706680">
        <w:rPr>
          <w:lang w:val="en-IE"/>
        </w:rPr>
        <w:t>the mycoplasma titre</w:t>
      </w:r>
      <w:r w:rsidRPr="00706680">
        <w:rPr>
          <w:lang w:val="en-IE"/>
        </w:rPr>
        <w:t>.</w:t>
      </w:r>
    </w:p>
    <w:p w14:paraId="48D696D1" w14:textId="77777777" w:rsidR="00093494" w:rsidRPr="00706680" w:rsidRDefault="00093494">
      <w:pPr>
        <w:pStyle w:val="sumtexte"/>
        <w:spacing w:after="100"/>
        <w:rPr>
          <w:lang w:val="en-IE"/>
        </w:rPr>
      </w:pPr>
      <w:r w:rsidRPr="00706680">
        <w:rPr>
          <w:lang w:val="en-IE"/>
        </w:rPr>
        <w:t xml:space="preserve">In broth, growth is visible as a homogeneous cloudiness </w:t>
      </w:r>
      <w:r w:rsidR="00830CFC" w:rsidRPr="00706680">
        <w:rPr>
          <w:lang w:val="en-IE"/>
        </w:rPr>
        <w:t xml:space="preserve">which forms swirls </w:t>
      </w:r>
      <w:r w:rsidRPr="00706680">
        <w:rPr>
          <w:lang w:val="en-IE"/>
        </w:rPr>
        <w:t xml:space="preserve">when shaken; on agar, small colonies develop, 1 mm in diameter, with the classical ‘fried-egg’ appearance. The biochemical characteristics of </w:t>
      </w:r>
      <w:r w:rsidRPr="00706680">
        <w:rPr>
          <w:i w:val="0"/>
          <w:iCs w:val="0"/>
          <w:lang w:val="en-IE"/>
        </w:rPr>
        <w:t>Mmm</w:t>
      </w:r>
      <w:r w:rsidRPr="00706680">
        <w:rPr>
          <w:lang w:val="en-IE"/>
        </w:rPr>
        <w:t xml:space="preserve"> are the following: sensitivity to digitonin, reduction of tetrazolium salts,</w:t>
      </w:r>
      <w:r w:rsidR="005926EA" w:rsidRPr="00706680">
        <w:rPr>
          <w:lang w:val="en-IE"/>
        </w:rPr>
        <w:t xml:space="preserve"> fermentation </w:t>
      </w:r>
      <w:r w:rsidRPr="00706680">
        <w:rPr>
          <w:lang w:val="en-IE"/>
        </w:rPr>
        <w:t xml:space="preserve">of glucose, absence of arginine hydrolysis, and the absence of </w:t>
      </w:r>
      <w:r w:rsidR="00576BA5" w:rsidRPr="00706680">
        <w:rPr>
          <w:lang w:val="en-IE"/>
        </w:rPr>
        <w:t xml:space="preserve">or very slight </w:t>
      </w:r>
      <w:r w:rsidRPr="00706680">
        <w:rPr>
          <w:lang w:val="en-IE"/>
        </w:rPr>
        <w:t xml:space="preserve">phosphatase and proteolytic activities. Special media have been described that are recommended for these tests. Diagnosis </w:t>
      </w:r>
      <w:r w:rsidRPr="000902A2">
        <w:rPr>
          <w:strike/>
          <w:lang w:val="en-IE"/>
        </w:rPr>
        <w:t xml:space="preserve">is </w:t>
      </w:r>
      <w:r w:rsidR="00F22C33" w:rsidRPr="000902A2">
        <w:rPr>
          <w:u w:val="double"/>
          <w:lang w:val="en-IE"/>
        </w:rPr>
        <w:t>may be</w:t>
      </w:r>
      <w:r w:rsidR="00F22C33">
        <w:rPr>
          <w:lang w:val="en-IE"/>
        </w:rPr>
        <w:t xml:space="preserve"> </w:t>
      </w:r>
      <w:r w:rsidRPr="00706680">
        <w:rPr>
          <w:lang w:val="en-IE"/>
        </w:rPr>
        <w:t xml:space="preserve">confirmed by immunological tests, such as the growth inhibition and immunofluorescence tests </w:t>
      </w:r>
      <w:r w:rsidRPr="00706680">
        <w:rPr>
          <w:i w:val="0"/>
          <w:iCs w:val="0"/>
          <w:lang w:val="en-IE"/>
        </w:rPr>
        <w:t>(</w:t>
      </w:r>
      <w:r w:rsidRPr="00706680">
        <w:rPr>
          <w:lang w:val="en-IE"/>
        </w:rPr>
        <w:t>both use hyperimmune sera</w:t>
      </w:r>
      <w:r w:rsidRPr="00706680">
        <w:rPr>
          <w:i w:val="0"/>
          <w:iCs w:val="0"/>
          <w:lang w:val="en-IE"/>
        </w:rPr>
        <w:t>).</w:t>
      </w:r>
      <w:r w:rsidRPr="00706680">
        <w:rPr>
          <w:lang w:val="en-IE"/>
        </w:rPr>
        <w:t xml:space="preserve"> The polymerase chain reaction is a rapid, specific, sensitive and easy</w:t>
      </w:r>
      <w:r w:rsidR="00D80372" w:rsidRPr="00706680">
        <w:rPr>
          <w:lang w:val="en-IE"/>
        </w:rPr>
        <w:t>-</w:t>
      </w:r>
      <w:r w:rsidRPr="00706680">
        <w:rPr>
          <w:lang w:val="en-IE"/>
        </w:rPr>
        <w:t>to</w:t>
      </w:r>
      <w:r w:rsidR="00D80372" w:rsidRPr="00706680">
        <w:rPr>
          <w:lang w:val="en-IE"/>
        </w:rPr>
        <w:t>-</w:t>
      </w:r>
      <w:r w:rsidRPr="00706680">
        <w:rPr>
          <w:lang w:val="en-IE"/>
        </w:rPr>
        <w:t>use test.</w:t>
      </w:r>
    </w:p>
    <w:p w14:paraId="6B64B23B" w14:textId="77777777" w:rsidR="00093494" w:rsidRPr="00706680" w:rsidRDefault="00093494">
      <w:pPr>
        <w:pStyle w:val="sumtexte"/>
        <w:spacing w:after="100"/>
        <w:rPr>
          <w:lang w:val="en-IE"/>
        </w:rPr>
      </w:pPr>
      <w:r w:rsidRPr="00706680">
        <w:rPr>
          <w:b/>
          <w:lang w:val="en-IE"/>
        </w:rPr>
        <w:t>Serological tests:</w:t>
      </w:r>
      <w:r w:rsidRPr="00706680">
        <w:rPr>
          <w:lang w:val="en-IE"/>
        </w:rPr>
        <w:t xml:space="preserve"> For diagnosis, the modified Campbell &amp; Turner complement fixation test remains </w:t>
      </w:r>
      <w:r w:rsidR="006A731E" w:rsidRPr="00706680">
        <w:rPr>
          <w:lang w:val="en-IE"/>
        </w:rPr>
        <w:t xml:space="preserve">a </w:t>
      </w:r>
      <w:r w:rsidR="0036648E">
        <w:rPr>
          <w:lang w:val="en-IE"/>
        </w:rPr>
        <w:t>suitable</w:t>
      </w:r>
      <w:r w:rsidRPr="00706680">
        <w:rPr>
          <w:lang w:val="en-IE"/>
        </w:rPr>
        <w:t xml:space="preserve"> test </w:t>
      </w:r>
      <w:r w:rsidR="0036648E" w:rsidRPr="00666169">
        <w:t>for certifying individual animals prior to movement, including</w:t>
      </w:r>
      <w:r w:rsidR="0036648E">
        <w:t xml:space="preserve"> </w:t>
      </w:r>
      <w:r w:rsidR="0036648E" w:rsidRPr="008E0B8A">
        <w:rPr>
          <w:lang w:val="en-IE"/>
        </w:rPr>
        <w:t>for international trade</w:t>
      </w:r>
      <w:r w:rsidRPr="00706680">
        <w:rPr>
          <w:lang w:val="en-IE"/>
        </w:rPr>
        <w:t xml:space="preserve">. The competitive enzyme-linked immunosorbent assay </w:t>
      </w:r>
      <w:r w:rsidR="00727174" w:rsidRPr="00706680">
        <w:rPr>
          <w:lang w:val="en-IE"/>
        </w:rPr>
        <w:t xml:space="preserve">is also </w:t>
      </w:r>
      <w:r w:rsidR="0036648E">
        <w:rPr>
          <w:lang w:val="en-IE"/>
        </w:rPr>
        <w:t>a suitable</w:t>
      </w:r>
      <w:r w:rsidRPr="00706680">
        <w:rPr>
          <w:lang w:val="en-IE"/>
        </w:rPr>
        <w:t xml:space="preserve"> test </w:t>
      </w:r>
      <w:r w:rsidR="0036648E" w:rsidRPr="00666169">
        <w:t>for certifying individual animals prior to movement</w:t>
      </w:r>
      <w:r w:rsidRPr="00706680">
        <w:rPr>
          <w:lang w:val="en-IE"/>
        </w:rPr>
        <w:t>. An immunoblotting test has undergone evaluation and is highly specific and sensitive.</w:t>
      </w:r>
    </w:p>
    <w:p w14:paraId="11166744" w14:textId="77777777" w:rsidR="00093494" w:rsidRPr="00706680" w:rsidRDefault="00093494" w:rsidP="00CB3D90">
      <w:pPr>
        <w:pStyle w:val="sumtexte"/>
        <w:spacing w:after="440"/>
        <w:rPr>
          <w:lang w:val="en-IE"/>
        </w:rPr>
      </w:pPr>
      <w:r w:rsidRPr="00706680">
        <w:rPr>
          <w:b/>
          <w:lang w:val="en-IE"/>
        </w:rPr>
        <w:t>Requirements for vaccines:</w:t>
      </w:r>
      <w:r w:rsidRPr="00706680">
        <w:rPr>
          <w:lang w:val="en-IE"/>
        </w:rPr>
        <w:t xml:space="preserve"> </w:t>
      </w:r>
      <w:r w:rsidR="0013729B" w:rsidRPr="00706680">
        <w:rPr>
          <w:lang w:val="en-IE"/>
        </w:rPr>
        <w:t>The a</w:t>
      </w:r>
      <w:r w:rsidRPr="00706680">
        <w:rPr>
          <w:lang w:val="en-IE"/>
        </w:rPr>
        <w:t>ttenuated strain</w:t>
      </w:r>
      <w:r w:rsidR="006C75CF" w:rsidRPr="00706680">
        <w:rPr>
          <w:lang w:val="en-IE"/>
        </w:rPr>
        <w:t>s</w:t>
      </w:r>
      <w:r w:rsidRPr="00706680">
        <w:rPr>
          <w:lang w:val="en-IE"/>
        </w:rPr>
        <w:t xml:space="preserve"> </w:t>
      </w:r>
      <w:r w:rsidR="0013729B" w:rsidRPr="00706680">
        <w:rPr>
          <w:lang w:val="en-IE"/>
        </w:rPr>
        <w:t xml:space="preserve">T1/44 and T1sr are </w:t>
      </w:r>
      <w:r w:rsidRPr="00706680">
        <w:rPr>
          <w:lang w:val="en-IE"/>
        </w:rPr>
        <w:t>now recommended for vaccine production. The minimal</w:t>
      </w:r>
      <w:r w:rsidR="002941BE" w:rsidRPr="00706680">
        <w:rPr>
          <w:lang w:val="en-IE"/>
        </w:rPr>
        <w:t xml:space="preserve"> requ</w:t>
      </w:r>
      <w:r w:rsidR="00E02672" w:rsidRPr="00706680">
        <w:rPr>
          <w:lang w:val="en-IE"/>
        </w:rPr>
        <w:t>ir</w:t>
      </w:r>
      <w:r w:rsidR="002941BE" w:rsidRPr="00706680">
        <w:rPr>
          <w:lang w:val="en-IE"/>
        </w:rPr>
        <w:t>ed</w:t>
      </w:r>
      <w:r w:rsidRPr="00706680">
        <w:rPr>
          <w:lang w:val="en-IE"/>
        </w:rPr>
        <w:t xml:space="preserve"> titre is 10</w:t>
      </w:r>
      <w:r w:rsidRPr="00C44BA7">
        <w:rPr>
          <w:vertAlign w:val="superscript"/>
          <w:lang w:val="en-IE"/>
        </w:rPr>
        <w:t>7</w:t>
      </w:r>
      <w:r w:rsidR="005926EA" w:rsidRPr="00706680">
        <w:rPr>
          <w:lang w:val="en-IE"/>
        </w:rPr>
        <w:t xml:space="preserve"> </w:t>
      </w:r>
      <w:r w:rsidRPr="00706680">
        <w:rPr>
          <w:lang w:val="en-IE"/>
        </w:rPr>
        <w:t>mycoplasmas per vaccin</w:t>
      </w:r>
      <w:r w:rsidR="002941BE" w:rsidRPr="00706680">
        <w:rPr>
          <w:lang w:val="en-IE"/>
        </w:rPr>
        <w:t xml:space="preserve">e </w:t>
      </w:r>
      <w:r w:rsidR="005926EA" w:rsidRPr="00706680">
        <w:rPr>
          <w:lang w:val="en-IE"/>
        </w:rPr>
        <w:t>dose, but higher titres of at least 10</w:t>
      </w:r>
      <w:r w:rsidR="005926EA" w:rsidRPr="00C44BA7">
        <w:rPr>
          <w:vertAlign w:val="superscript"/>
          <w:lang w:val="en-IE"/>
        </w:rPr>
        <w:t>8</w:t>
      </w:r>
      <w:r w:rsidR="00CB3D90" w:rsidRPr="00706680">
        <w:rPr>
          <w:lang w:val="en-IE"/>
        </w:rPr>
        <w:t xml:space="preserve"> </w:t>
      </w:r>
      <w:r w:rsidR="005926EA" w:rsidRPr="00706680">
        <w:rPr>
          <w:lang w:val="en-IE"/>
        </w:rPr>
        <w:t>are recommended.</w:t>
      </w:r>
    </w:p>
    <w:p w14:paraId="2384497D" w14:textId="77777777" w:rsidR="00093494" w:rsidRPr="00706680" w:rsidRDefault="00093494">
      <w:pPr>
        <w:pStyle w:val="A0"/>
        <w:outlineLvl w:val="0"/>
        <w:rPr>
          <w:lang w:val="en-IE"/>
        </w:rPr>
      </w:pPr>
      <w:r w:rsidRPr="00706680">
        <w:rPr>
          <w:lang w:val="en-IE"/>
        </w:rPr>
        <w:t>A.  introduction</w:t>
      </w:r>
    </w:p>
    <w:p w14:paraId="2503F337" w14:textId="77777777" w:rsidR="000B7CE5" w:rsidRPr="00706680" w:rsidRDefault="00093494" w:rsidP="000B7CE5">
      <w:pPr>
        <w:pStyle w:val="paraA0"/>
        <w:rPr>
          <w:lang w:val="en-IE"/>
        </w:rPr>
      </w:pPr>
      <w:r w:rsidRPr="00706680">
        <w:rPr>
          <w:lang w:val="en-IE"/>
        </w:rPr>
        <w:t xml:space="preserve">Contagious bovine pleuropneumonia (CBPP) is </w:t>
      </w:r>
      <w:r w:rsidR="000B7CE5" w:rsidRPr="00706680">
        <w:rPr>
          <w:lang w:val="en-IE"/>
        </w:rPr>
        <w:t xml:space="preserve">an infectious and </w:t>
      </w:r>
      <w:r w:rsidRPr="00706680">
        <w:rPr>
          <w:lang w:val="en-IE"/>
        </w:rPr>
        <w:t xml:space="preserve">contagious </w:t>
      </w:r>
      <w:r w:rsidR="000B7CE5" w:rsidRPr="00706680">
        <w:rPr>
          <w:lang w:val="en-IE"/>
        </w:rPr>
        <w:t xml:space="preserve">respiratory </w:t>
      </w:r>
      <w:r w:rsidRPr="00706680">
        <w:rPr>
          <w:lang w:val="en-IE"/>
        </w:rPr>
        <w:t xml:space="preserve">disease of </w:t>
      </w:r>
      <w:r w:rsidR="00E02672" w:rsidRPr="00706680">
        <w:rPr>
          <w:i/>
          <w:lang w:val="en-IE"/>
        </w:rPr>
        <w:t>B</w:t>
      </w:r>
      <w:r w:rsidR="000B7CE5" w:rsidRPr="00706680">
        <w:rPr>
          <w:i/>
          <w:lang w:val="en-IE"/>
        </w:rPr>
        <w:t>ovidae</w:t>
      </w:r>
      <w:r w:rsidR="000B7CE5" w:rsidRPr="00706680">
        <w:rPr>
          <w:lang w:val="en-IE"/>
        </w:rPr>
        <w:t xml:space="preserve"> </w:t>
      </w:r>
      <w:r w:rsidRPr="00706680">
        <w:rPr>
          <w:lang w:val="en-IE"/>
        </w:rPr>
        <w:t xml:space="preserve">caused by </w:t>
      </w:r>
      <w:r w:rsidRPr="00706680">
        <w:rPr>
          <w:i/>
          <w:iCs/>
          <w:lang w:val="en-IE"/>
        </w:rPr>
        <w:t>Mycoplasma mycoides</w:t>
      </w:r>
      <w:r w:rsidRPr="00706680">
        <w:rPr>
          <w:lang w:val="en-IE"/>
        </w:rPr>
        <w:t xml:space="preserve"> subsp. </w:t>
      </w:r>
      <w:r w:rsidRPr="00706680">
        <w:rPr>
          <w:i/>
          <w:iCs/>
          <w:lang w:val="en-IE"/>
        </w:rPr>
        <w:t>mycoides</w:t>
      </w:r>
      <w:r w:rsidRPr="00706680">
        <w:rPr>
          <w:lang w:val="en-IE"/>
        </w:rPr>
        <w:t xml:space="preserve"> </w:t>
      </w:r>
      <w:r w:rsidR="000B7CE5" w:rsidRPr="000902A2">
        <w:rPr>
          <w:strike/>
          <w:lang w:val="en-IE"/>
        </w:rPr>
        <w:t>“small colon</w:t>
      </w:r>
      <w:r w:rsidR="00E02672" w:rsidRPr="000902A2">
        <w:rPr>
          <w:strike/>
          <w:lang w:val="en-IE"/>
        </w:rPr>
        <w:t>y</w:t>
      </w:r>
      <w:r w:rsidR="000B7CE5" w:rsidRPr="000902A2">
        <w:rPr>
          <w:strike/>
          <w:lang w:val="en-IE"/>
        </w:rPr>
        <w:t xml:space="preserve">” </w:t>
      </w:r>
      <w:r w:rsidR="00C23716" w:rsidRPr="00706680">
        <w:rPr>
          <w:lang w:val="en-IE"/>
        </w:rPr>
        <w:t>(</w:t>
      </w:r>
      <w:r w:rsidR="00C23716" w:rsidRPr="00706680">
        <w:rPr>
          <w:i/>
          <w:lang w:val="en-IE"/>
        </w:rPr>
        <w:t>Mmm</w:t>
      </w:r>
      <w:r w:rsidRPr="000902A2">
        <w:rPr>
          <w:strike/>
          <w:lang w:val="en-IE"/>
        </w:rPr>
        <w:t>SC</w:t>
      </w:r>
      <w:r w:rsidR="00C23716" w:rsidRPr="00706680">
        <w:rPr>
          <w:lang w:val="en-IE"/>
        </w:rPr>
        <w:t>)</w:t>
      </w:r>
      <w:r w:rsidRPr="00706680">
        <w:rPr>
          <w:lang w:val="en-IE"/>
        </w:rPr>
        <w:t xml:space="preserve"> </w:t>
      </w:r>
      <w:r w:rsidR="000B7CE5" w:rsidRPr="00706680">
        <w:rPr>
          <w:lang w:val="en-IE"/>
        </w:rPr>
        <w:t xml:space="preserve">with a major impact on livestock production and a potential for rapid spread. As a result, CBPP-infected countries are excluded from </w:t>
      </w:r>
      <w:r w:rsidRPr="00706680">
        <w:rPr>
          <w:lang w:val="en-IE"/>
        </w:rPr>
        <w:t xml:space="preserve">international trade </w:t>
      </w:r>
      <w:r w:rsidR="000B7CE5" w:rsidRPr="00706680">
        <w:rPr>
          <w:lang w:val="en-IE"/>
        </w:rPr>
        <w:t>of</w:t>
      </w:r>
      <w:r w:rsidRPr="00706680">
        <w:rPr>
          <w:lang w:val="en-IE"/>
        </w:rPr>
        <w:t xml:space="preserve"> live </w:t>
      </w:r>
      <w:r w:rsidR="000B7CE5" w:rsidRPr="00706680">
        <w:rPr>
          <w:lang w:val="en-IE"/>
        </w:rPr>
        <w:t>animals</w:t>
      </w:r>
      <w:r w:rsidRPr="00706680">
        <w:rPr>
          <w:lang w:val="en-IE"/>
        </w:rPr>
        <w:t xml:space="preserve">. </w:t>
      </w:r>
    </w:p>
    <w:p w14:paraId="23963E4D" w14:textId="77777777" w:rsidR="000B7CE5" w:rsidRPr="00A304D2" w:rsidRDefault="000B7CE5" w:rsidP="00234D03">
      <w:pPr>
        <w:pStyle w:val="paraA0"/>
        <w:keepLines/>
        <w:rPr>
          <w:lang w:val="en-IE"/>
        </w:rPr>
      </w:pPr>
      <w:r w:rsidRPr="00706680">
        <w:rPr>
          <w:i/>
          <w:lang w:val="en-IE"/>
        </w:rPr>
        <w:lastRenderedPageBreak/>
        <w:t>Mmm</w:t>
      </w:r>
      <w:r w:rsidRPr="000902A2">
        <w:rPr>
          <w:strike/>
          <w:lang w:val="en-IE"/>
        </w:rPr>
        <w:t>SC</w:t>
      </w:r>
      <w:r w:rsidRPr="00706680">
        <w:rPr>
          <w:lang w:val="en-IE"/>
        </w:rPr>
        <w:t xml:space="preserve"> is a mycoplasma, i.e. a wall-less bacteria (mollicute), belonging to the so-called “mycoides cluster” that groups five mycoplasma species that are ruminant pathogens (</w:t>
      </w:r>
      <w:r w:rsidRPr="00A304D2">
        <w:rPr>
          <w:lang w:val="en-IE"/>
        </w:rPr>
        <w:t>Manso-Silv</w:t>
      </w:r>
      <w:r w:rsidR="00A304D2" w:rsidRPr="00A304D2">
        <w:rPr>
          <w:lang w:val="en-IE"/>
        </w:rPr>
        <w:t>a</w:t>
      </w:r>
      <w:r w:rsidRPr="00A304D2">
        <w:rPr>
          <w:lang w:val="en-IE"/>
        </w:rPr>
        <w:t xml:space="preserve">n </w:t>
      </w:r>
      <w:r w:rsidRPr="00A304D2">
        <w:rPr>
          <w:i/>
          <w:lang w:val="en-IE"/>
        </w:rPr>
        <w:t>et al</w:t>
      </w:r>
      <w:r w:rsidRPr="00A304D2">
        <w:rPr>
          <w:lang w:val="en-IE"/>
        </w:rPr>
        <w:t xml:space="preserve">., 2009). These five mycoplasmas share phenotypic and genotypic characteristics that cause cross-reactions in conventional </w:t>
      </w:r>
      <w:r w:rsidR="00D80372" w:rsidRPr="00A304D2">
        <w:rPr>
          <w:lang w:val="en-IE"/>
        </w:rPr>
        <w:t xml:space="preserve">diagnostic </w:t>
      </w:r>
      <w:r w:rsidRPr="00A304D2">
        <w:rPr>
          <w:lang w:val="en-IE"/>
        </w:rPr>
        <w:t xml:space="preserve">techniques. The closest relative to </w:t>
      </w:r>
      <w:r w:rsidR="003163B1" w:rsidRPr="00A304D2">
        <w:rPr>
          <w:i/>
          <w:lang w:val="en-IE"/>
        </w:rPr>
        <w:t>Mmm</w:t>
      </w:r>
      <w:r w:rsidR="003163B1" w:rsidRPr="00A304D2">
        <w:rPr>
          <w:strike/>
          <w:lang w:val="en-IE"/>
        </w:rPr>
        <w:t>SC</w:t>
      </w:r>
      <w:r w:rsidR="00A71320" w:rsidRPr="00A304D2">
        <w:rPr>
          <w:lang w:val="en-IE"/>
        </w:rPr>
        <w:t xml:space="preserve"> </w:t>
      </w:r>
      <w:r w:rsidRPr="00A304D2">
        <w:rPr>
          <w:lang w:val="en-IE"/>
        </w:rPr>
        <w:t xml:space="preserve">is </w:t>
      </w:r>
      <w:r w:rsidRPr="00A304D2">
        <w:rPr>
          <w:i/>
          <w:lang w:val="en-IE"/>
        </w:rPr>
        <w:t>M. mycoides</w:t>
      </w:r>
      <w:r w:rsidRPr="00A304D2">
        <w:rPr>
          <w:lang w:val="en-IE"/>
        </w:rPr>
        <w:t xml:space="preserve"> su</w:t>
      </w:r>
      <w:r w:rsidR="00B72562">
        <w:rPr>
          <w:lang w:val="en-IE"/>
        </w:rPr>
        <w:t>b</w:t>
      </w:r>
      <w:r w:rsidRPr="00A304D2">
        <w:rPr>
          <w:lang w:val="en-IE"/>
        </w:rPr>
        <w:t xml:space="preserve">sp </w:t>
      </w:r>
      <w:r w:rsidRPr="00A304D2">
        <w:rPr>
          <w:i/>
          <w:lang w:val="en-IE"/>
        </w:rPr>
        <w:t>capri</w:t>
      </w:r>
      <w:r w:rsidRPr="00A304D2">
        <w:rPr>
          <w:lang w:val="en-IE"/>
        </w:rPr>
        <w:t xml:space="preserve"> (</w:t>
      </w:r>
      <w:r w:rsidRPr="00A304D2">
        <w:rPr>
          <w:i/>
          <w:lang w:val="en-IE"/>
        </w:rPr>
        <w:t>Mmc</w:t>
      </w:r>
      <w:r w:rsidRPr="00A304D2">
        <w:rPr>
          <w:lang w:val="en-IE"/>
        </w:rPr>
        <w:t>)</w:t>
      </w:r>
      <w:r w:rsidR="006D1AEE" w:rsidRPr="00A304D2">
        <w:rPr>
          <w:lang w:val="en-IE"/>
        </w:rPr>
        <w:t>,</w:t>
      </w:r>
      <w:r w:rsidRPr="00A304D2">
        <w:rPr>
          <w:lang w:val="en-IE"/>
        </w:rPr>
        <w:t xml:space="preserve"> which is usually found in goats.</w:t>
      </w:r>
    </w:p>
    <w:p w14:paraId="55E0E816" w14:textId="77777777" w:rsidR="00B66E48" w:rsidRPr="00706680" w:rsidRDefault="00093494" w:rsidP="00B66E48">
      <w:pPr>
        <w:pStyle w:val="paraA0"/>
        <w:rPr>
          <w:lang w:val="en-IE"/>
        </w:rPr>
      </w:pPr>
      <w:r w:rsidRPr="00A304D2">
        <w:rPr>
          <w:lang w:val="en-IE"/>
        </w:rPr>
        <w:t xml:space="preserve">In natural conditions, </w:t>
      </w:r>
      <w:r w:rsidR="003163B1" w:rsidRPr="00A304D2">
        <w:rPr>
          <w:i/>
          <w:lang w:val="en-IE"/>
        </w:rPr>
        <w:t>Mmm</w:t>
      </w:r>
      <w:r w:rsidR="003163B1" w:rsidRPr="00A304D2">
        <w:rPr>
          <w:strike/>
          <w:lang w:val="en-IE"/>
        </w:rPr>
        <w:t>SC</w:t>
      </w:r>
      <w:r w:rsidR="00A71320" w:rsidRPr="00A304D2">
        <w:rPr>
          <w:lang w:val="en-IE"/>
        </w:rPr>
        <w:t xml:space="preserve"> </w:t>
      </w:r>
      <w:r w:rsidRPr="00A304D2">
        <w:rPr>
          <w:lang w:val="en-IE"/>
        </w:rPr>
        <w:t xml:space="preserve">affects only the ruminants of the </w:t>
      </w:r>
      <w:r w:rsidRPr="00A304D2">
        <w:rPr>
          <w:i/>
          <w:iCs/>
          <w:lang w:val="en-IE"/>
        </w:rPr>
        <w:t>Bos</w:t>
      </w:r>
      <w:r w:rsidRPr="00A304D2">
        <w:rPr>
          <w:lang w:val="en-IE"/>
        </w:rPr>
        <w:t xml:space="preserve"> genus, i.e. mainly bovine and zebu cattle</w:t>
      </w:r>
      <w:r w:rsidR="00F67919" w:rsidRPr="00A304D2">
        <w:rPr>
          <w:lang w:val="en-IE"/>
        </w:rPr>
        <w:t xml:space="preserve"> but also the yak (</w:t>
      </w:r>
      <w:r w:rsidR="00F67919" w:rsidRPr="00A304D2">
        <w:rPr>
          <w:rStyle w:val="googqs-tidbitgoogqs-tidbit-0"/>
          <w:i/>
          <w:iCs/>
          <w:lang w:val="en-IE"/>
        </w:rPr>
        <w:t>Bos grunniens</w:t>
      </w:r>
      <w:r w:rsidR="00F67919" w:rsidRPr="00A304D2">
        <w:rPr>
          <w:rStyle w:val="googqs-tidbitgoogqs-tidbit-0"/>
          <w:iCs/>
          <w:lang w:val="en-IE"/>
        </w:rPr>
        <w:t>)</w:t>
      </w:r>
      <w:r w:rsidRPr="00A304D2">
        <w:rPr>
          <w:lang w:val="en-IE"/>
        </w:rPr>
        <w:t xml:space="preserve"> </w:t>
      </w:r>
      <w:r w:rsidR="006D1AEE" w:rsidRPr="00A304D2">
        <w:rPr>
          <w:lang w:val="en-IE"/>
        </w:rPr>
        <w:t xml:space="preserve">and water </w:t>
      </w:r>
      <w:r w:rsidRPr="00A304D2">
        <w:rPr>
          <w:lang w:val="en-IE"/>
        </w:rPr>
        <w:t>buffaloes (</w:t>
      </w:r>
      <w:r w:rsidR="00F67919" w:rsidRPr="00A304D2">
        <w:rPr>
          <w:i/>
          <w:iCs/>
          <w:lang w:val="en-IE"/>
        </w:rPr>
        <w:t>Bubalus bubali</w:t>
      </w:r>
      <w:r w:rsidRPr="00A304D2">
        <w:rPr>
          <w:i/>
          <w:iCs/>
          <w:lang w:val="en-IE"/>
        </w:rPr>
        <w:t>s</w:t>
      </w:r>
      <w:r w:rsidRPr="00A304D2">
        <w:rPr>
          <w:lang w:val="en-IE"/>
        </w:rPr>
        <w:t>) (</w:t>
      </w:r>
      <w:r w:rsidR="00FB285F" w:rsidRPr="00A304D2">
        <w:rPr>
          <w:lang w:val="en-IE"/>
        </w:rPr>
        <w:t xml:space="preserve">Santini </w:t>
      </w:r>
      <w:r w:rsidR="00656C3D" w:rsidRPr="00A304D2">
        <w:rPr>
          <w:i/>
          <w:lang w:val="en-IE"/>
        </w:rPr>
        <w:t>et al</w:t>
      </w:r>
      <w:r w:rsidR="00FB285F" w:rsidRPr="00A304D2">
        <w:rPr>
          <w:lang w:val="en-IE"/>
        </w:rPr>
        <w:t>., 1992</w:t>
      </w:r>
      <w:r w:rsidRPr="00A304D2">
        <w:rPr>
          <w:lang w:val="en-IE"/>
        </w:rPr>
        <w:t>)</w:t>
      </w:r>
      <w:r w:rsidR="006D1AEE" w:rsidRPr="00A304D2">
        <w:rPr>
          <w:lang w:val="en-IE"/>
        </w:rPr>
        <w:t>.</w:t>
      </w:r>
      <w:r w:rsidRPr="00A304D2">
        <w:rPr>
          <w:lang w:val="en-IE"/>
        </w:rPr>
        <w:t xml:space="preserve"> </w:t>
      </w:r>
      <w:r w:rsidR="003163B1" w:rsidRPr="00A304D2">
        <w:rPr>
          <w:i/>
          <w:lang w:val="en-IE"/>
        </w:rPr>
        <w:t>Mmm</w:t>
      </w:r>
      <w:r w:rsidR="003163B1" w:rsidRPr="00A304D2">
        <w:rPr>
          <w:strike/>
          <w:lang w:val="en-IE"/>
        </w:rPr>
        <w:t>SC</w:t>
      </w:r>
      <w:r w:rsidR="00A71320" w:rsidRPr="00A304D2">
        <w:rPr>
          <w:lang w:val="en-IE"/>
        </w:rPr>
        <w:t xml:space="preserve"> </w:t>
      </w:r>
      <w:r w:rsidR="006D1AEE" w:rsidRPr="00A304D2">
        <w:rPr>
          <w:lang w:val="en-IE"/>
        </w:rPr>
        <w:t xml:space="preserve">has been isolated </w:t>
      </w:r>
      <w:r w:rsidRPr="00A304D2">
        <w:rPr>
          <w:lang w:val="en-IE"/>
        </w:rPr>
        <w:t>from sheep and goats in Africa</w:t>
      </w:r>
      <w:r w:rsidR="006D1AEE" w:rsidRPr="00A304D2">
        <w:rPr>
          <w:lang w:val="en-IE"/>
        </w:rPr>
        <w:t>,</w:t>
      </w:r>
      <w:r w:rsidRPr="00A304D2">
        <w:rPr>
          <w:lang w:val="en-IE"/>
        </w:rPr>
        <w:t xml:space="preserve"> in Portugal</w:t>
      </w:r>
      <w:r w:rsidR="00E53738" w:rsidRPr="00A304D2">
        <w:rPr>
          <w:lang w:val="en-IE"/>
        </w:rPr>
        <w:t xml:space="preserve"> and in India (</w:t>
      </w:r>
      <w:r w:rsidR="00FB285F" w:rsidRPr="00A304D2">
        <w:rPr>
          <w:lang w:val="en-IE"/>
        </w:rPr>
        <w:t xml:space="preserve">Srivastava </w:t>
      </w:r>
      <w:r w:rsidR="00656C3D" w:rsidRPr="00A304D2">
        <w:rPr>
          <w:i/>
          <w:lang w:val="en-IE"/>
        </w:rPr>
        <w:t>et al</w:t>
      </w:r>
      <w:r w:rsidR="00FB285F" w:rsidRPr="00A304D2">
        <w:rPr>
          <w:lang w:val="en-IE"/>
        </w:rPr>
        <w:t>., 2000</w:t>
      </w:r>
      <w:r w:rsidR="00E53738" w:rsidRPr="00A304D2">
        <w:rPr>
          <w:lang w:val="en-IE"/>
        </w:rPr>
        <w:t>)</w:t>
      </w:r>
      <w:r w:rsidR="005926EA" w:rsidRPr="00A304D2">
        <w:rPr>
          <w:lang w:val="en-IE"/>
        </w:rPr>
        <w:t xml:space="preserve">. </w:t>
      </w:r>
      <w:r w:rsidRPr="00A304D2">
        <w:rPr>
          <w:lang w:val="en-IE"/>
        </w:rPr>
        <w:t>Among</w:t>
      </w:r>
      <w:r w:rsidRPr="00706680">
        <w:rPr>
          <w:lang w:val="en-IE"/>
        </w:rPr>
        <w:t xml:space="preserve"> wild animals, one single case has been reported in American buffaloes (</w:t>
      </w:r>
      <w:r w:rsidRPr="00706680">
        <w:rPr>
          <w:i/>
          <w:iCs/>
          <w:lang w:val="en-IE"/>
        </w:rPr>
        <w:t>Bison bison</w:t>
      </w:r>
      <w:r w:rsidRPr="00706680">
        <w:rPr>
          <w:lang w:val="en-IE"/>
        </w:rPr>
        <w:t>) and none in African buffaloes (</w:t>
      </w:r>
      <w:r w:rsidRPr="00706680">
        <w:rPr>
          <w:i/>
          <w:iCs/>
          <w:lang w:val="en-IE"/>
        </w:rPr>
        <w:t>Syncerus caffer</w:t>
      </w:r>
      <w:r w:rsidRPr="00706680">
        <w:rPr>
          <w:lang w:val="en-IE"/>
        </w:rPr>
        <w:t xml:space="preserve">) or other wild ruminants. </w:t>
      </w:r>
      <w:r w:rsidR="00B66E48" w:rsidRPr="00706680">
        <w:rPr>
          <w:lang w:val="en-IE"/>
        </w:rPr>
        <w:t xml:space="preserve">Small ruminants and wild </w:t>
      </w:r>
      <w:r w:rsidRPr="00706680">
        <w:rPr>
          <w:lang w:val="en-IE"/>
        </w:rPr>
        <w:t>animals do not play a role in the epidemiology of the disease</w:t>
      </w:r>
      <w:r w:rsidR="00B66E48" w:rsidRPr="00706680">
        <w:rPr>
          <w:lang w:val="en-IE"/>
        </w:rPr>
        <w:t>, and CBPP is not a zoonotic agent</w:t>
      </w:r>
      <w:r w:rsidRPr="00706680">
        <w:rPr>
          <w:lang w:val="en-IE"/>
        </w:rPr>
        <w:t>.</w:t>
      </w:r>
    </w:p>
    <w:p w14:paraId="30348536" w14:textId="77777777" w:rsidR="00B66E48" w:rsidRPr="00706680" w:rsidRDefault="00B66E48" w:rsidP="00B66E48">
      <w:pPr>
        <w:pStyle w:val="paraA0"/>
        <w:rPr>
          <w:lang w:val="en-IE"/>
        </w:rPr>
      </w:pPr>
      <w:r w:rsidRPr="00706680">
        <w:rPr>
          <w:lang w:val="en-IE"/>
        </w:rPr>
        <w:t>The incubation period for naturally infected animals can range from 3 weeks to 6 months. The clinical manifestations in cattle range from hyperacute through acute, subacute and chronic forms.</w:t>
      </w:r>
    </w:p>
    <w:p w14:paraId="69E72DB3" w14:textId="1C1F270E" w:rsidR="00B66E48" w:rsidRPr="00706680" w:rsidRDefault="00093494" w:rsidP="00B66E48">
      <w:pPr>
        <w:pStyle w:val="paraA0"/>
        <w:rPr>
          <w:lang w:val="en-IE"/>
        </w:rPr>
      </w:pPr>
      <w:r w:rsidRPr="00706680">
        <w:rPr>
          <w:lang w:val="en-IE"/>
        </w:rPr>
        <w:t>CBPP is manifested by anorexia, fever and respiratory signs, such as dyspnoea, polypn</w:t>
      </w:r>
      <w:r w:rsidR="00DF5A70">
        <w:rPr>
          <w:lang w:val="en-IE"/>
        </w:rPr>
        <w:t>o</w:t>
      </w:r>
      <w:r w:rsidRPr="00706680">
        <w:rPr>
          <w:lang w:val="en-IE"/>
        </w:rPr>
        <w:t xml:space="preserve">ea, cough and nasal discharges </w:t>
      </w:r>
      <w:r w:rsidR="00B66E48" w:rsidRPr="00706680">
        <w:rPr>
          <w:lang w:val="en-IE"/>
        </w:rPr>
        <w:t>during the acute stage of the disease</w:t>
      </w:r>
      <w:r w:rsidR="00706680">
        <w:rPr>
          <w:lang w:val="en-IE"/>
        </w:rPr>
        <w:t xml:space="preserve"> </w:t>
      </w:r>
      <w:r w:rsidR="00796BE4" w:rsidRPr="00706680">
        <w:rPr>
          <w:lang w:val="en-IE"/>
        </w:rPr>
        <w:t>when the causative agent can</w:t>
      </w:r>
      <w:r w:rsidR="00CA05A7" w:rsidRPr="00706680">
        <w:rPr>
          <w:lang w:val="en-IE"/>
        </w:rPr>
        <w:t xml:space="preserve"> spread </w:t>
      </w:r>
      <w:r w:rsidR="00B66E48" w:rsidRPr="00706680">
        <w:rPr>
          <w:lang w:val="en-IE"/>
        </w:rPr>
        <w:t>rapid</w:t>
      </w:r>
      <w:r w:rsidR="00CA05A7" w:rsidRPr="00706680">
        <w:rPr>
          <w:lang w:val="en-IE"/>
        </w:rPr>
        <w:t>ly</w:t>
      </w:r>
      <w:r w:rsidR="00C91D95" w:rsidRPr="00706680">
        <w:rPr>
          <w:lang w:val="en-IE"/>
        </w:rPr>
        <w:t>; in the chronic stage there may be</w:t>
      </w:r>
      <w:r w:rsidR="00B66E48" w:rsidRPr="00706680">
        <w:rPr>
          <w:lang w:val="en-IE"/>
        </w:rPr>
        <w:t xml:space="preserve"> long-term persistence </w:t>
      </w:r>
      <w:r w:rsidR="00CA05A7" w:rsidRPr="00706680">
        <w:rPr>
          <w:lang w:val="en-IE"/>
        </w:rPr>
        <w:t xml:space="preserve">of the </w:t>
      </w:r>
      <w:r w:rsidR="00C91D95" w:rsidRPr="00706680">
        <w:rPr>
          <w:lang w:val="en-IE"/>
        </w:rPr>
        <w:t>agent</w:t>
      </w:r>
      <w:r w:rsidR="00B66E48" w:rsidRPr="00706680">
        <w:rPr>
          <w:lang w:val="en-IE"/>
        </w:rPr>
        <w:t xml:space="preserve">. Typical lesions include a unilateral pneumonia associated with pleurisy. During the chronic stage of the disease, clinical signs wane and infected animals are more difficult to </w:t>
      </w:r>
      <w:r w:rsidR="00D80372" w:rsidRPr="00706680">
        <w:rPr>
          <w:lang w:val="en-IE"/>
        </w:rPr>
        <w:t>identify</w:t>
      </w:r>
      <w:r w:rsidR="00B66E48" w:rsidRPr="00706680">
        <w:rPr>
          <w:lang w:val="en-IE"/>
        </w:rPr>
        <w:t>. In th</w:t>
      </w:r>
      <w:r w:rsidR="00D80372" w:rsidRPr="00706680">
        <w:rPr>
          <w:lang w:val="en-IE"/>
        </w:rPr>
        <w:t>e</w:t>
      </w:r>
      <w:r w:rsidR="00B66E48" w:rsidRPr="00706680">
        <w:rPr>
          <w:lang w:val="en-IE"/>
        </w:rPr>
        <w:t>se cases</w:t>
      </w:r>
      <w:r w:rsidR="00D80372" w:rsidRPr="00706680">
        <w:rPr>
          <w:lang w:val="en-IE"/>
        </w:rPr>
        <w:t>,</w:t>
      </w:r>
      <w:r w:rsidR="00B66E48" w:rsidRPr="00706680">
        <w:rPr>
          <w:lang w:val="en-IE"/>
        </w:rPr>
        <w:t xml:space="preserve"> lungs may contain </w:t>
      </w:r>
      <w:r w:rsidRPr="00706680">
        <w:rPr>
          <w:lang w:val="en-IE"/>
        </w:rPr>
        <w:t xml:space="preserve">typical encapsulated lesions called sequestra. These </w:t>
      </w:r>
      <w:r w:rsidR="00D80372" w:rsidRPr="00706680">
        <w:rPr>
          <w:lang w:val="en-IE"/>
        </w:rPr>
        <w:t>‘</w:t>
      </w:r>
      <w:r w:rsidR="00B66E48" w:rsidRPr="00706680">
        <w:rPr>
          <w:lang w:val="en-IE"/>
        </w:rPr>
        <w:t>silent</w:t>
      </w:r>
      <w:r w:rsidR="00D80372" w:rsidRPr="00706680">
        <w:rPr>
          <w:lang w:val="en-IE"/>
        </w:rPr>
        <w:t>’</w:t>
      </w:r>
      <w:r w:rsidR="00B66E48" w:rsidRPr="00706680">
        <w:rPr>
          <w:lang w:val="en-IE"/>
        </w:rPr>
        <w:t xml:space="preserve"> carriers </w:t>
      </w:r>
      <w:r w:rsidR="00C91D95" w:rsidRPr="00706680">
        <w:rPr>
          <w:lang w:val="en-IE"/>
        </w:rPr>
        <w:t xml:space="preserve">may be </w:t>
      </w:r>
      <w:r w:rsidR="00B66E48" w:rsidRPr="00706680">
        <w:rPr>
          <w:lang w:val="en-IE"/>
        </w:rPr>
        <w:t xml:space="preserve">infectious and </w:t>
      </w:r>
      <w:r w:rsidR="00C91D95" w:rsidRPr="00706680">
        <w:rPr>
          <w:lang w:val="en-IE"/>
        </w:rPr>
        <w:t>thus</w:t>
      </w:r>
      <w:r w:rsidRPr="00706680">
        <w:rPr>
          <w:lang w:val="en-IE"/>
        </w:rPr>
        <w:t xml:space="preserve"> responsible for unnoticed persistence of the infection in a herd</w:t>
      </w:r>
      <w:r w:rsidR="00D80372" w:rsidRPr="00706680">
        <w:rPr>
          <w:lang w:val="en-IE"/>
        </w:rPr>
        <w:t>;</w:t>
      </w:r>
      <w:r w:rsidRPr="00706680">
        <w:rPr>
          <w:lang w:val="en-IE"/>
        </w:rPr>
        <w:t xml:space="preserve"> </w:t>
      </w:r>
      <w:r w:rsidR="00D80372" w:rsidRPr="00706680">
        <w:rPr>
          <w:lang w:val="en-IE"/>
        </w:rPr>
        <w:t>they</w:t>
      </w:r>
      <w:r w:rsidRPr="00706680">
        <w:rPr>
          <w:lang w:val="en-IE"/>
        </w:rPr>
        <w:t xml:space="preserve"> play an important role in the </w:t>
      </w:r>
      <w:r w:rsidR="00B66E48" w:rsidRPr="00706680">
        <w:rPr>
          <w:lang w:val="en-IE"/>
        </w:rPr>
        <w:t xml:space="preserve">maintenance and in the </w:t>
      </w:r>
      <w:r w:rsidRPr="00706680">
        <w:rPr>
          <w:lang w:val="en-IE"/>
        </w:rPr>
        <w:t xml:space="preserve">epidemiology of the disease. </w:t>
      </w:r>
    </w:p>
    <w:p w14:paraId="64D117FF" w14:textId="77777777" w:rsidR="00667E31" w:rsidRPr="00706680" w:rsidRDefault="00667E31" w:rsidP="00667E31">
      <w:pPr>
        <w:pStyle w:val="paraA0"/>
        <w:rPr>
          <w:lang w:val="en-IE"/>
        </w:rPr>
      </w:pPr>
      <w:r w:rsidRPr="00706680">
        <w:rPr>
          <w:lang w:val="en-IE"/>
        </w:rPr>
        <w:t xml:space="preserve">CBPP has been unequivocally identified in Europe since the 18th century and it gained a world-wide distribution during the second half of the 19th century </w:t>
      </w:r>
      <w:r w:rsidR="00093494" w:rsidRPr="00706680">
        <w:rPr>
          <w:lang w:val="en-IE"/>
        </w:rPr>
        <w:t xml:space="preserve">through </w:t>
      </w:r>
      <w:r w:rsidRPr="00706680">
        <w:rPr>
          <w:lang w:val="en-IE"/>
        </w:rPr>
        <w:t xml:space="preserve">cattle trade. CBPP was eradicated from many countries at the beginning of the 20th century, mostly through stamping-out strategies (UK, USA) or by </w:t>
      </w:r>
      <w:r w:rsidR="00093494" w:rsidRPr="00706680">
        <w:rPr>
          <w:lang w:val="en-IE"/>
        </w:rPr>
        <w:t xml:space="preserve">vaccination campaigns </w:t>
      </w:r>
      <w:r w:rsidRPr="00706680">
        <w:rPr>
          <w:lang w:val="en-IE"/>
        </w:rPr>
        <w:t>followed by stamping-out strategies (Australia). Today</w:t>
      </w:r>
      <w:r w:rsidR="00D80372" w:rsidRPr="00706680">
        <w:rPr>
          <w:lang w:val="en-IE"/>
        </w:rPr>
        <w:t>,</w:t>
      </w:r>
      <w:r w:rsidRPr="00706680">
        <w:rPr>
          <w:lang w:val="en-IE"/>
        </w:rPr>
        <w:t xml:space="preserve"> CBPP remains enzootic in many Sub-Saharan African countries</w:t>
      </w:r>
      <w:r w:rsidR="00D80372" w:rsidRPr="00706680">
        <w:rPr>
          <w:lang w:val="en-IE"/>
        </w:rPr>
        <w:t>,</w:t>
      </w:r>
      <w:r w:rsidRPr="00706680">
        <w:rPr>
          <w:lang w:val="en-IE"/>
        </w:rPr>
        <w:t xml:space="preserve"> while in Europe the last CBPP cases were observed in Portugal in 1999. The situation in some Asian countries is unclear. </w:t>
      </w:r>
    </w:p>
    <w:p w14:paraId="44928806" w14:textId="77777777" w:rsidR="00667E31" w:rsidRPr="00706680" w:rsidRDefault="003E3DA9" w:rsidP="00667E31">
      <w:pPr>
        <w:pStyle w:val="paraA0"/>
        <w:rPr>
          <w:lang w:val="en-IE"/>
        </w:rPr>
      </w:pPr>
      <w:r w:rsidRPr="00706680">
        <w:rPr>
          <w:lang w:val="en-IE"/>
        </w:rPr>
        <w:t>I</w:t>
      </w:r>
      <w:r w:rsidR="00667E31" w:rsidRPr="00706680">
        <w:rPr>
          <w:lang w:val="en-IE"/>
        </w:rPr>
        <w:t xml:space="preserve">n the field, CBPP might be confused with other diseases causing respiratory </w:t>
      </w:r>
      <w:r w:rsidR="00FC636A" w:rsidRPr="00706680">
        <w:rPr>
          <w:lang w:val="en-IE"/>
        </w:rPr>
        <w:t>problems</w:t>
      </w:r>
      <w:r w:rsidR="00667E31" w:rsidRPr="00706680">
        <w:rPr>
          <w:lang w:val="en-IE"/>
        </w:rPr>
        <w:t xml:space="preserve"> such as pasteurellosis or other mycoplasmosis. The ab</w:t>
      </w:r>
      <w:r w:rsidR="003C1C49" w:rsidRPr="00706680">
        <w:rPr>
          <w:lang w:val="en-IE"/>
        </w:rPr>
        <w:t>sence of confirmatory diagnosis</w:t>
      </w:r>
      <w:r w:rsidR="00667E31" w:rsidRPr="00706680">
        <w:rPr>
          <w:lang w:val="en-IE"/>
        </w:rPr>
        <w:t xml:space="preserve"> may lead to</w:t>
      </w:r>
      <w:r w:rsidR="00093494" w:rsidRPr="00706680">
        <w:rPr>
          <w:lang w:val="en-IE"/>
        </w:rPr>
        <w:t xml:space="preserve"> antibiotic treatments </w:t>
      </w:r>
      <w:r w:rsidR="00667E31" w:rsidRPr="00706680">
        <w:rPr>
          <w:lang w:val="en-IE"/>
        </w:rPr>
        <w:t xml:space="preserve">being used in the case of CBPP outbreaks. </w:t>
      </w:r>
    </w:p>
    <w:p w14:paraId="447927B8" w14:textId="77777777" w:rsidR="00667E31" w:rsidRPr="00706680" w:rsidRDefault="003E3DA9" w:rsidP="00D80372">
      <w:pPr>
        <w:pStyle w:val="paraA0"/>
        <w:spacing w:after="480"/>
        <w:rPr>
          <w:lang w:val="en-IE"/>
        </w:rPr>
      </w:pPr>
      <w:r w:rsidRPr="00706680">
        <w:t xml:space="preserve">There is no known risk of human infection with </w:t>
      </w:r>
      <w:r w:rsidRPr="00706680">
        <w:rPr>
          <w:i/>
        </w:rPr>
        <w:t>Mmm</w:t>
      </w:r>
      <w:r w:rsidRPr="00706680">
        <w:t>. Biocontainment measures should be determined by risk analysis as described in Chapter 1.1</w:t>
      </w:r>
      <w:r w:rsidR="004F49A4">
        <w:t>.4</w:t>
      </w:r>
      <w:r w:rsidRPr="00706680">
        <w:t xml:space="preserve"> </w:t>
      </w:r>
      <w:r w:rsidR="004F49A4" w:rsidRPr="004F49A4">
        <w:rPr>
          <w:i/>
          <w:lang w:val="en-IE"/>
        </w:rPr>
        <w:t xml:space="preserve">Biosafety and biosecurity: </w:t>
      </w:r>
      <w:r w:rsidR="004F49A4" w:rsidRPr="004F49A4">
        <w:rPr>
          <w:i/>
          <w:iCs/>
        </w:rPr>
        <w:t>Standard for managing biological risk in the veterinary laboratory and animal facilities</w:t>
      </w:r>
      <w:r w:rsidRPr="004F49A4">
        <w:rPr>
          <w:i/>
        </w:rPr>
        <w:t>.</w:t>
      </w:r>
      <w:r w:rsidRPr="00706680">
        <w:t xml:space="preserve"> </w:t>
      </w:r>
      <w:r w:rsidR="00667E31" w:rsidRPr="00706680">
        <w:rPr>
          <w:lang w:val="en-IE"/>
        </w:rPr>
        <w:t xml:space="preserve">In CBPP-free areas, it is advisable to manipulate </w:t>
      </w:r>
      <w:r w:rsidR="003163B1" w:rsidRPr="00706680">
        <w:rPr>
          <w:i/>
          <w:lang w:val="en-IE"/>
        </w:rPr>
        <w:t>Mmm</w:t>
      </w:r>
      <w:r w:rsidR="003163B1" w:rsidRPr="000902A2">
        <w:rPr>
          <w:strike/>
          <w:lang w:val="en-IE"/>
        </w:rPr>
        <w:t>SC</w:t>
      </w:r>
      <w:r w:rsidR="00A71320" w:rsidRPr="00706680">
        <w:rPr>
          <w:lang w:val="en-IE"/>
        </w:rPr>
        <w:t xml:space="preserve"> </w:t>
      </w:r>
      <w:r w:rsidR="00667E31" w:rsidRPr="00706680">
        <w:rPr>
          <w:lang w:val="en-IE"/>
        </w:rPr>
        <w:t xml:space="preserve">in </w:t>
      </w:r>
      <w:r w:rsidR="00D80372" w:rsidRPr="00706680">
        <w:rPr>
          <w:lang w:val="en-IE"/>
        </w:rPr>
        <w:t>biosafety level (</w:t>
      </w:r>
      <w:r w:rsidR="00667E31" w:rsidRPr="00706680">
        <w:rPr>
          <w:lang w:val="en-IE"/>
        </w:rPr>
        <w:t>BSL</w:t>
      </w:r>
      <w:r w:rsidR="00D80372" w:rsidRPr="00706680">
        <w:rPr>
          <w:lang w:val="en-IE"/>
        </w:rPr>
        <w:t xml:space="preserve">) </w:t>
      </w:r>
      <w:r w:rsidR="00667E31" w:rsidRPr="00706680">
        <w:rPr>
          <w:lang w:val="en-IE"/>
        </w:rPr>
        <w:t>2 laboratories</w:t>
      </w:r>
      <w:r w:rsidR="00D80372" w:rsidRPr="00706680">
        <w:rPr>
          <w:lang w:val="en-IE"/>
        </w:rPr>
        <w:t>,</w:t>
      </w:r>
      <w:r w:rsidR="00667E31" w:rsidRPr="00706680">
        <w:rPr>
          <w:lang w:val="en-IE"/>
        </w:rPr>
        <w:t xml:space="preserve"> while BSL1 would be sufficient in enzootic zones. Good laboratory practices should be used </w:t>
      </w:r>
      <w:r w:rsidR="00D80372" w:rsidRPr="00706680">
        <w:rPr>
          <w:lang w:val="en-IE"/>
        </w:rPr>
        <w:t>for</w:t>
      </w:r>
      <w:r w:rsidR="00667E31" w:rsidRPr="00706680">
        <w:rPr>
          <w:lang w:val="en-IE"/>
        </w:rPr>
        <w:t xml:space="preserve"> all procedures.</w:t>
      </w:r>
    </w:p>
    <w:p w14:paraId="76F59A01" w14:textId="77777777" w:rsidR="00093494" w:rsidRPr="00706680" w:rsidRDefault="00093494" w:rsidP="00656C3D">
      <w:pPr>
        <w:pStyle w:val="A0"/>
        <w:outlineLvl w:val="0"/>
        <w:rPr>
          <w:lang w:val="en-IE"/>
        </w:rPr>
      </w:pPr>
      <w:r w:rsidRPr="00706680">
        <w:rPr>
          <w:lang w:val="en-IE"/>
        </w:rPr>
        <w:t>b.  DIAGNOSTIC TECHNIQUES</w:t>
      </w:r>
    </w:p>
    <w:p w14:paraId="4722023D" w14:textId="77777777" w:rsidR="00667E31" w:rsidRPr="00706680" w:rsidRDefault="00667E31" w:rsidP="00667E31">
      <w:pPr>
        <w:pStyle w:val="paraA0"/>
        <w:rPr>
          <w:lang w:val="en-IE"/>
        </w:rPr>
      </w:pPr>
      <w:r w:rsidRPr="00706680">
        <w:rPr>
          <w:lang w:val="en-IE"/>
        </w:rPr>
        <w:t xml:space="preserve">Clinical diagnosis of CBPP is unreliable as initial signs may be slight or non-existent and </w:t>
      </w:r>
      <w:r w:rsidR="00C91D95" w:rsidRPr="00706680">
        <w:rPr>
          <w:lang w:val="en-IE"/>
        </w:rPr>
        <w:t xml:space="preserve">may be </w:t>
      </w:r>
      <w:r w:rsidRPr="00706680">
        <w:rPr>
          <w:lang w:val="en-IE"/>
        </w:rPr>
        <w:t>indistinguishable from any severe pneumonia. Therefore, CBPP should be investigated by pathological, microbiological, molecular or serological diagnos</w:t>
      </w:r>
      <w:r w:rsidR="00D80372" w:rsidRPr="00706680">
        <w:rPr>
          <w:lang w:val="en-IE"/>
        </w:rPr>
        <w:t>tic method</w:t>
      </w:r>
      <w:r w:rsidRPr="00706680">
        <w:rPr>
          <w:lang w:val="en-IE"/>
        </w:rPr>
        <w:t xml:space="preserve">s. As the pathological lesions of CBPP are distinctive, and pathognomonic, abattoir surveillance </w:t>
      </w:r>
      <w:r w:rsidR="00D80372" w:rsidRPr="00706680">
        <w:rPr>
          <w:lang w:val="en-IE"/>
        </w:rPr>
        <w:t>for</w:t>
      </w:r>
      <w:r w:rsidRPr="00706680">
        <w:rPr>
          <w:lang w:val="en-IE"/>
        </w:rPr>
        <w:t xml:space="preserve"> CBPP involving lung examination is a practical method for disease monitoring.</w:t>
      </w:r>
    </w:p>
    <w:p w14:paraId="7EBCAAF5" w14:textId="77777777" w:rsidR="00667E31" w:rsidRPr="00706680" w:rsidRDefault="007A5D53" w:rsidP="00667E31">
      <w:pPr>
        <w:pStyle w:val="paraA0"/>
        <w:rPr>
          <w:lang w:val="en-IE"/>
        </w:rPr>
      </w:pPr>
      <w:r w:rsidRPr="00706680">
        <w:rPr>
          <w:lang w:val="en-IE"/>
        </w:rPr>
        <w:t>I</w:t>
      </w:r>
      <w:r w:rsidR="00667E31" w:rsidRPr="00706680">
        <w:rPr>
          <w:lang w:val="en-IE"/>
        </w:rPr>
        <w:t xml:space="preserve">t is recommended to isolate and identify the causative organism </w:t>
      </w:r>
      <w:r w:rsidRPr="00706680">
        <w:rPr>
          <w:lang w:val="en-IE"/>
        </w:rPr>
        <w:t xml:space="preserve">in order </w:t>
      </w:r>
      <w:r w:rsidR="00667E31" w:rsidRPr="00706680">
        <w:rPr>
          <w:lang w:val="en-IE"/>
        </w:rPr>
        <w:t>to confirm an outbreak. Table 1 list</w:t>
      </w:r>
      <w:r w:rsidR="00D80372" w:rsidRPr="00706680">
        <w:rPr>
          <w:lang w:val="en-IE"/>
        </w:rPr>
        <w:t>s the laboratory methods used</w:t>
      </w:r>
      <w:r w:rsidR="00667E31" w:rsidRPr="00706680">
        <w:rPr>
          <w:lang w:val="en-IE"/>
        </w:rPr>
        <w:t xml:space="preserve"> for the diagnosis of CBPP.</w:t>
      </w:r>
    </w:p>
    <w:p w14:paraId="26F7802D" w14:textId="77777777" w:rsidR="00E937E0" w:rsidRDefault="00E937E0">
      <w:pPr>
        <w:rPr>
          <w:rFonts w:ascii="Ottawa" w:hAnsi="Ottawa" w:cs="Arial"/>
          <w:b/>
          <w:i/>
          <w:sz w:val="18"/>
          <w:szCs w:val="18"/>
          <w:lang w:val="en-IE"/>
        </w:rPr>
      </w:pPr>
      <w:r>
        <w:rPr>
          <w:rFonts w:ascii="Ottawa" w:hAnsi="Ottawa"/>
          <w:b/>
          <w:i/>
          <w:lang w:val="en-IE"/>
        </w:rPr>
        <w:br w:type="page"/>
      </w:r>
    </w:p>
    <w:p w14:paraId="7FFD0BE5" w14:textId="77777777" w:rsidR="00667E31" w:rsidRPr="00706680" w:rsidRDefault="00667E31" w:rsidP="00D6374C">
      <w:pPr>
        <w:pStyle w:val="paraA0"/>
        <w:spacing w:after="120"/>
        <w:jc w:val="center"/>
        <w:rPr>
          <w:rFonts w:ascii="Ottawa" w:hAnsi="Ottawa"/>
          <w:lang w:val="en-IE"/>
        </w:rPr>
      </w:pPr>
      <w:r w:rsidRPr="00706680">
        <w:rPr>
          <w:rFonts w:ascii="Ottawa" w:hAnsi="Ottawa"/>
          <w:b/>
          <w:i/>
          <w:lang w:val="en-IE"/>
        </w:rPr>
        <w:lastRenderedPageBreak/>
        <w:t>Table 1.</w:t>
      </w:r>
      <w:r w:rsidRPr="00706680">
        <w:rPr>
          <w:rFonts w:ascii="Ottawa" w:hAnsi="Ottawa"/>
          <w:i/>
          <w:lang w:val="en-IE"/>
        </w:rPr>
        <w:t xml:space="preserve"> Laboratory methods currently used for </w:t>
      </w:r>
      <w:r w:rsidR="00972AA8" w:rsidRPr="00706680">
        <w:rPr>
          <w:rFonts w:ascii="Ottawa" w:hAnsi="Ottawa"/>
          <w:i/>
          <w:lang w:val="en-IE"/>
        </w:rPr>
        <w:t xml:space="preserve">diagnosis of </w:t>
      </w:r>
      <w:r w:rsidRPr="00706680">
        <w:rPr>
          <w:rFonts w:ascii="Ottawa" w:hAnsi="Ottawa"/>
          <w:i/>
          <w:lang w:val="en-IE"/>
        </w:rPr>
        <w:t xml:space="preserve">CBPP </w:t>
      </w:r>
      <w:r w:rsidR="00972AA8" w:rsidRPr="00706680">
        <w:rPr>
          <w:rFonts w:ascii="Ottawa" w:hAnsi="Ottawa"/>
          <w:i/>
          <w:lang w:val="en-IE"/>
        </w:rPr>
        <w:t>and their purpose</w:t>
      </w: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6"/>
        <w:gridCol w:w="992"/>
        <w:gridCol w:w="1418"/>
        <w:gridCol w:w="1134"/>
        <w:gridCol w:w="1134"/>
        <w:gridCol w:w="1134"/>
        <w:gridCol w:w="1524"/>
      </w:tblGrid>
      <w:tr w:rsidR="000B6F00" w:rsidRPr="00706680" w14:paraId="23B69307" w14:textId="77777777" w:rsidTr="00D527D5">
        <w:trPr>
          <w:trHeight w:val="304"/>
          <w:tblHeader/>
          <w:jc w:val="right"/>
        </w:trPr>
        <w:tc>
          <w:tcPr>
            <w:tcW w:w="1736" w:type="dxa"/>
            <w:vMerge w:val="restart"/>
            <w:vAlign w:val="center"/>
          </w:tcPr>
          <w:p w14:paraId="29BE5052" w14:textId="77777777" w:rsidR="000B6F00" w:rsidRPr="00706680" w:rsidRDefault="000B6F00" w:rsidP="00972AA8">
            <w:pPr>
              <w:pStyle w:val="1"/>
              <w:spacing w:before="120" w:after="120"/>
              <w:ind w:left="0" w:firstLine="0"/>
              <w:jc w:val="center"/>
              <w:outlineLvl w:val="0"/>
              <w:rPr>
                <w:rFonts w:ascii="Arial" w:hAnsi="Arial"/>
                <w:sz w:val="16"/>
                <w:szCs w:val="16"/>
                <w:lang w:val="en-IE"/>
              </w:rPr>
            </w:pPr>
            <w:r w:rsidRPr="00706680">
              <w:rPr>
                <w:rFonts w:ascii="Arial" w:hAnsi="Arial"/>
                <w:sz w:val="16"/>
                <w:szCs w:val="16"/>
                <w:lang w:val="en-IE"/>
              </w:rPr>
              <w:t>Method</w:t>
            </w:r>
          </w:p>
        </w:tc>
        <w:tc>
          <w:tcPr>
            <w:tcW w:w="7336" w:type="dxa"/>
            <w:gridSpan w:val="6"/>
          </w:tcPr>
          <w:p w14:paraId="051C24A5" w14:textId="77777777" w:rsidR="000B6F00" w:rsidRPr="00706680" w:rsidRDefault="00360C23" w:rsidP="00972AA8">
            <w:pPr>
              <w:pStyle w:val="1"/>
              <w:spacing w:before="120" w:after="120"/>
              <w:ind w:left="0" w:firstLine="0"/>
              <w:jc w:val="center"/>
              <w:outlineLvl w:val="0"/>
              <w:rPr>
                <w:rFonts w:ascii="Arial" w:hAnsi="Arial"/>
                <w:sz w:val="16"/>
                <w:szCs w:val="16"/>
                <w:lang w:val="en-IE"/>
              </w:rPr>
            </w:pPr>
            <w:r w:rsidRPr="00706680">
              <w:rPr>
                <w:rFonts w:ascii="Arial" w:hAnsi="Arial"/>
                <w:sz w:val="16"/>
                <w:szCs w:val="16"/>
                <w:lang w:val="en-IE"/>
              </w:rPr>
              <w:t>Purpose</w:t>
            </w:r>
            <w:r w:rsidR="00A15E3A" w:rsidRPr="00732AC8">
              <w:rPr>
                <w:rStyle w:val="Appelnotedebasdep"/>
                <w:rFonts w:ascii="Arial" w:hAnsi="Arial"/>
                <w:b w:val="0"/>
                <w:sz w:val="16"/>
                <w:highlight w:val="yellow"/>
              </w:rPr>
              <w:footnoteReference w:id="2"/>
            </w:r>
          </w:p>
        </w:tc>
      </w:tr>
      <w:tr w:rsidR="004A7D23" w:rsidRPr="00683785" w14:paraId="381F3A94" w14:textId="77777777" w:rsidTr="00D527D5">
        <w:trPr>
          <w:trHeight w:val="659"/>
          <w:tblHeader/>
          <w:jc w:val="right"/>
        </w:trPr>
        <w:tc>
          <w:tcPr>
            <w:tcW w:w="1736" w:type="dxa"/>
            <w:vMerge/>
          </w:tcPr>
          <w:p w14:paraId="2E333927" w14:textId="77777777" w:rsidR="000B6F00" w:rsidRPr="00706680" w:rsidRDefault="000B6F00" w:rsidP="00972AA8">
            <w:pPr>
              <w:pStyle w:val="1"/>
              <w:spacing w:after="0"/>
              <w:ind w:left="0" w:firstLine="0"/>
              <w:jc w:val="center"/>
              <w:outlineLvl w:val="0"/>
              <w:rPr>
                <w:rFonts w:ascii="Arial" w:hAnsi="Arial"/>
                <w:b w:val="0"/>
                <w:sz w:val="16"/>
                <w:szCs w:val="16"/>
                <w:lang w:val="en-IE"/>
              </w:rPr>
            </w:pPr>
          </w:p>
        </w:tc>
        <w:tc>
          <w:tcPr>
            <w:tcW w:w="992" w:type="dxa"/>
          </w:tcPr>
          <w:p w14:paraId="7E245D30"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Population freedom from infection</w:t>
            </w:r>
          </w:p>
        </w:tc>
        <w:tc>
          <w:tcPr>
            <w:tcW w:w="1418" w:type="dxa"/>
          </w:tcPr>
          <w:p w14:paraId="5417FA57" w14:textId="77777777" w:rsidR="000B6F00" w:rsidRPr="00706680" w:rsidRDefault="000B6F00" w:rsidP="000B6F00">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Individual animal freedom from infection prior to movement</w:t>
            </w:r>
          </w:p>
        </w:tc>
        <w:tc>
          <w:tcPr>
            <w:tcW w:w="1134" w:type="dxa"/>
          </w:tcPr>
          <w:p w14:paraId="36EBB7D8"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Contribution to eradication policies</w:t>
            </w:r>
          </w:p>
        </w:tc>
        <w:tc>
          <w:tcPr>
            <w:tcW w:w="1134" w:type="dxa"/>
          </w:tcPr>
          <w:p w14:paraId="0BF8A3F3"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rPr>
              <w:t>Confirmation of clinical cases</w:t>
            </w:r>
          </w:p>
        </w:tc>
        <w:tc>
          <w:tcPr>
            <w:tcW w:w="1134" w:type="dxa"/>
          </w:tcPr>
          <w:p w14:paraId="5CB669E2" w14:textId="77777777" w:rsidR="000B6F00" w:rsidRPr="00706680" w:rsidRDefault="00951806"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rPr>
              <w:t>Prevalence of infection –</w:t>
            </w:r>
            <w:r w:rsidRPr="00706680">
              <w:rPr>
                <w:rFonts w:ascii="Arial" w:hAnsi="Arial"/>
                <w:b w:val="0"/>
                <w:sz w:val="16"/>
                <w:szCs w:val="16"/>
                <w:lang w:val="en-IE"/>
              </w:rPr>
              <w:t>surveillance</w:t>
            </w:r>
          </w:p>
        </w:tc>
        <w:tc>
          <w:tcPr>
            <w:tcW w:w="1524" w:type="dxa"/>
          </w:tcPr>
          <w:p w14:paraId="5D08DD50" w14:textId="77777777" w:rsidR="000B6F00" w:rsidRPr="00706680" w:rsidRDefault="00951806" w:rsidP="00360C23">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rPr>
              <w:t>Immune status in individual animals or populations post-vaccination</w:t>
            </w:r>
            <w:r w:rsidR="00B63F85" w:rsidRPr="00706680">
              <w:rPr>
                <w:rFonts w:ascii="Arial" w:hAnsi="Arial"/>
                <w:b w:val="0"/>
                <w:sz w:val="16"/>
                <w:szCs w:val="16"/>
              </w:rPr>
              <w:t>*</w:t>
            </w:r>
          </w:p>
        </w:tc>
      </w:tr>
      <w:tr w:rsidR="00951806" w:rsidRPr="00D527D5" w14:paraId="0B166553" w14:textId="77777777" w:rsidTr="00B63F85">
        <w:trPr>
          <w:trHeight w:val="57"/>
          <w:jc w:val="right"/>
        </w:trPr>
        <w:tc>
          <w:tcPr>
            <w:tcW w:w="9072" w:type="dxa"/>
            <w:gridSpan w:val="7"/>
            <w:tcBorders>
              <w:bottom w:val="single" w:sz="4" w:space="0" w:color="auto"/>
            </w:tcBorders>
            <w:shd w:val="pct10" w:color="auto" w:fill="auto"/>
          </w:tcPr>
          <w:p w14:paraId="2117048D" w14:textId="77777777" w:rsidR="00951806" w:rsidRPr="008233DC" w:rsidRDefault="00951806" w:rsidP="007A5D53">
            <w:pPr>
              <w:pStyle w:val="1"/>
              <w:spacing w:before="120" w:after="120"/>
              <w:ind w:left="0" w:firstLine="0"/>
              <w:jc w:val="center"/>
              <w:outlineLvl w:val="0"/>
              <w:rPr>
                <w:rFonts w:ascii="Arial" w:hAnsi="Arial"/>
                <w:b w:val="0"/>
                <w:sz w:val="16"/>
                <w:szCs w:val="16"/>
                <w:lang w:val="en-IE"/>
              </w:rPr>
            </w:pPr>
            <w:r w:rsidRPr="008233DC">
              <w:rPr>
                <w:rFonts w:ascii="Arial" w:hAnsi="Arial"/>
                <w:sz w:val="16"/>
                <w:szCs w:val="16"/>
              </w:rPr>
              <w:t xml:space="preserve">Agent </w:t>
            </w:r>
            <w:r w:rsidR="00557F40" w:rsidRPr="008233DC">
              <w:rPr>
                <w:rFonts w:ascii="Arial" w:hAnsi="Arial"/>
                <w:sz w:val="16"/>
                <w:szCs w:val="16"/>
              </w:rPr>
              <w:t xml:space="preserve">detection and </w:t>
            </w:r>
            <w:r w:rsidRPr="008233DC">
              <w:rPr>
                <w:rFonts w:ascii="Arial" w:hAnsi="Arial"/>
                <w:sz w:val="16"/>
                <w:szCs w:val="16"/>
              </w:rPr>
              <w:t>identification</w:t>
            </w:r>
            <w:r w:rsidRPr="008233DC">
              <w:rPr>
                <w:rStyle w:val="Appelnotedebasdep"/>
                <w:rFonts w:ascii="Arial" w:hAnsi="Arial"/>
                <w:sz w:val="16"/>
                <w:szCs w:val="16"/>
              </w:rPr>
              <w:footnoteReference w:id="3"/>
            </w:r>
          </w:p>
        </w:tc>
      </w:tr>
      <w:tr w:rsidR="004A7D23" w:rsidRPr="00706680" w14:paraId="4AA5AEC0" w14:textId="77777777" w:rsidTr="00B63F85">
        <w:trPr>
          <w:trHeight w:val="57"/>
          <w:jc w:val="right"/>
        </w:trPr>
        <w:tc>
          <w:tcPr>
            <w:tcW w:w="1736" w:type="dxa"/>
            <w:tcBorders>
              <w:bottom w:val="single" w:sz="4" w:space="0" w:color="auto"/>
            </w:tcBorders>
          </w:tcPr>
          <w:p w14:paraId="7539DB4B" w14:textId="77777777" w:rsidR="000B6F00" w:rsidRPr="00706680" w:rsidRDefault="000B6F00" w:rsidP="009703CB">
            <w:pPr>
              <w:pStyle w:val="1"/>
              <w:spacing w:before="120" w:after="120"/>
              <w:ind w:left="0" w:firstLine="0"/>
              <w:jc w:val="center"/>
              <w:outlineLvl w:val="0"/>
              <w:rPr>
                <w:rFonts w:ascii="Arial" w:hAnsi="Arial"/>
                <w:sz w:val="16"/>
                <w:szCs w:val="16"/>
                <w:lang w:val="en-IE"/>
              </w:rPr>
            </w:pPr>
            <w:r w:rsidRPr="00706680">
              <w:rPr>
                <w:rFonts w:ascii="Arial" w:hAnsi="Arial"/>
                <w:i/>
                <w:sz w:val="16"/>
                <w:szCs w:val="16"/>
                <w:lang w:val="en-IE"/>
              </w:rPr>
              <w:t>In</w:t>
            </w:r>
            <w:r w:rsidR="00951806" w:rsidRPr="00706680">
              <w:rPr>
                <w:rFonts w:ascii="Arial" w:hAnsi="Arial"/>
                <w:i/>
                <w:sz w:val="16"/>
                <w:szCs w:val="16"/>
                <w:lang w:val="en-IE"/>
              </w:rPr>
              <w:t>-</w:t>
            </w:r>
            <w:r w:rsidRPr="00706680">
              <w:rPr>
                <w:rFonts w:ascii="Arial" w:hAnsi="Arial"/>
                <w:i/>
                <w:sz w:val="16"/>
                <w:szCs w:val="16"/>
                <w:lang w:val="en-IE"/>
              </w:rPr>
              <w:t>vitro</w:t>
            </w:r>
            <w:r w:rsidRPr="00706680">
              <w:rPr>
                <w:rFonts w:ascii="Arial" w:hAnsi="Arial"/>
                <w:sz w:val="16"/>
                <w:szCs w:val="16"/>
                <w:lang w:val="en-IE"/>
              </w:rPr>
              <w:t xml:space="preserve"> culture</w:t>
            </w:r>
            <w:r w:rsidR="00557F40" w:rsidRPr="00706680">
              <w:rPr>
                <w:rFonts w:ascii="Arial" w:hAnsi="Arial"/>
                <w:sz w:val="16"/>
                <w:szCs w:val="16"/>
                <w:lang w:val="en-IE"/>
              </w:rPr>
              <w:t xml:space="preserve"> isolation</w:t>
            </w:r>
            <w:r w:rsidR="007A5D53" w:rsidRPr="00706680">
              <w:rPr>
                <w:rFonts w:ascii="Arial" w:hAnsi="Arial"/>
                <w:sz w:val="16"/>
                <w:szCs w:val="16"/>
                <w:lang w:val="en-IE"/>
              </w:rPr>
              <w:t xml:space="preserve"> </w:t>
            </w:r>
            <w:r w:rsidR="00557F40" w:rsidRPr="00706680">
              <w:rPr>
                <w:rFonts w:ascii="Arial" w:hAnsi="Arial"/>
                <w:sz w:val="16"/>
                <w:szCs w:val="16"/>
                <w:lang w:val="en-IE"/>
              </w:rPr>
              <w:t xml:space="preserve">(followed </w:t>
            </w:r>
            <w:r w:rsidR="008D47D6" w:rsidRPr="00706680">
              <w:rPr>
                <w:rFonts w:ascii="Arial" w:hAnsi="Arial"/>
                <w:sz w:val="16"/>
                <w:szCs w:val="16"/>
                <w:lang w:val="en-IE"/>
              </w:rPr>
              <w:t xml:space="preserve">by </w:t>
            </w:r>
            <w:r w:rsidR="00C23716" w:rsidRPr="00706680">
              <w:rPr>
                <w:rFonts w:ascii="Arial" w:hAnsi="Arial"/>
                <w:sz w:val="16"/>
                <w:szCs w:val="16"/>
                <w:lang w:val="en-IE"/>
              </w:rPr>
              <w:t xml:space="preserve">species </w:t>
            </w:r>
            <w:r w:rsidR="00557F40" w:rsidRPr="00706680">
              <w:rPr>
                <w:rFonts w:ascii="Arial" w:hAnsi="Arial"/>
                <w:sz w:val="16"/>
                <w:szCs w:val="16"/>
                <w:lang w:val="en-IE"/>
              </w:rPr>
              <w:t>identification tests)</w:t>
            </w:r>
          </w:p>
        </w:tc>
        <w:tc>
          <w:tcPr>
            <w:tcW w:w="992" w:type="dxa"/>
            <w:tcBorders>
              <w:bottom w:val="single" w:sz="4" w:space="0" w:color="auto"/>
            </w:tcBorders>
          </w:tcPr>
          <w:p w14:paraId="479ECAA6" w14:textId="27366312"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1B4922">
              <w:rPr>
                <w:rFonts w:ascii="Arial" w:hAnsi="Arial"/>
                <w:b w:val="0"/>
                <w:sz w:val="16"/>
                <w:szCs w:val="16"/>
                <w:highlight w:val="yellow"/>
                <w:lang w:val="en-IE"/>
              </w:rPr>
              <w:t>+</w:t>
            </w:r>
            <w:r w:rsidR="001B4922">
              <w:rPr>
                <w:rFonts w:ascii="Arial" w:hAnsi="Arial"/>
                <w:b w:val="0"/>
                <w:strike/>
                <w:sz w:val="16"/>
                <w:szCs w:val="16"/>
                <w:highlight w:val="yellow"/>
                <w:lang w:val="en-IE"/>
              </w:rPr>
              <w:t xml:space="preserve"> </w:t>
            </w:r>
            <w:r w:rsidRPr="00841AAC">
              <w:rPr>
                <w:rFonts w:ascii="Arial" w:hAnsi="Arial"/>
                <w:b w:val="0"/>
                <w:strike/>
                <w:sz w:val="16"/>
                <w:szCs w:val="16"/>
                <w:highlight w:val="yellow"/>
                <w:lang w:val="en-IE"/>
              </w:rPr>
              <w:t>++</w:t>
            </w:r>
          </w:p>
        </w:tc>
        <w:tc>
          <w:tcPr>
            <w:tcW w:w="1418" w:type="dxa"/>
            <w:tcBorders>
              <w:bottom w:val="single" w:sz="4" w:space="0" w:color="auto"/>
            </w:tcBorders>
          </w:tcPr>
          <w:p w14:paraId="31D12CA1"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bottom w:val="single" w:sz="4" w:space="0" w:color="auto"/>
            </w:tcBorders>
          </w:tcPr>
          <w:p w14:paraId="40A9ECA9" w14:textId="77777777" w:rsidR="000B6F00" w:rsidRPr="00706680" w:rsidRDefault="00951806"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bottom w:val="single" w:sz="4" w:space="0" w:color="auto"/>
            </w:tcBorders>
          </w:tcPr>
          <w:p w14:paraId="51E8F6DF"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bottom w:val="single" w:sz="4" w:space="0" w:color="auto"/>
            </w:tcBorders>
          </w:tcPr>
          <w:p w14:paraId="71539CEE"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524" w:type="dxa"/>
            <w:tcBorders>
              <w:bottom w:val="single" w:sz="4" w:space="0" w:color="auto"/>
            </w:tcBorders>
          </w:tcPr>
          <w:p w14:paraId="2FB84116" w14:textId="77777777" w:rsidR="000B6F00" w:rsidRPr="00706680" w:rsidRDefault="00B63F85"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r>
      <w:tr w:rsidR="004A7D23" w:rsidRPr="00706680" w14:paraId="427A7290" w14:textId="77777777" w:rsidTr="00B63F85">
        <w:trPr>
          <w:trHeight w:val="57"/>
          <w:jc w:val="right"/>
        </w:trPr>
        <w:tc>
          <w:tcPr>
            <w:tcW w:w="1736" w:type="dxa"/>
            <w:tcBorders>
              <w:top w:val="single" w:sz="4" w:space="0" w:color="auto"/>
            </w:tcBorders>
          </w:tcPr>
          <w:p w14:paraId="512DD9B6" w14:textId="77777777" w:rsidR="000B6F00" w:rsidRPr="00706680" w:rsidRDefault="00557F40" w:rsidP="00972AA8">
            <w:pPr>
              <w:pStyle w:val="1"/>
              <w:spacing w:before="120" w:after="120"/>
              <w:ind w:left="0" w:firstLine="0"/>
              <w:jc w:val="center"/>
              <w:outlineLvl w:val="0"/>
              <w:rPr>
                <w:rFonts w:ascii="Arial" w:hAnsi="Arial"/>
                <w:sz w:val="16"/>
                <w:szCs w:val="16"/>
                <w:lang w:val="en-IE"/>
              </w:rPr>
            </w:pPr>
            <w:r w:rsidRPr="00706680">
              <w:rPr>
                <w:rFonts w:ascii="Arial" w:hAnsi="Arial"/>
                <w:sz w:val="16"/>
                <w:szCs w:val="16"/>
                <w:lang w:val="en-IE"/>
              </w:rPr>
              <w:t xml:space="preserve">Direct </w:t>
            </w:r>
            <w:r w:rsidR="007A5D53" w:rsidRPr="00706680">
              <w:rPr>
                <w:rFonts w:ascii="Arial" w:hAnsi="Arial"/>
                <w:sz w:val="16"/>
                <w:szCs w:val="16"/>
                <w:lang w:val="en-IE"/>
              </w:rPr>
              <w:t xml:space="preserve">molecular </w:t>
            </w:r>
            <w:r w:rsidR="000B6F00" w:rsidRPr="00706680">
              <w:rPr>
                <w:rFonts w:ascii="Arial" w:hAnsi="Arial"/>
                <w:sz w:val="16"/>
                <w:szCs w:val="16"/>
                <w:lang w:val="en-IE"/>
              </w:rPr>
              <w:t>test (PCR)</w:t>
            </w:r>
          </w:p>
        </w:tc>
        <w:tc>
          <w:tcPr>
            <w:tcW w:w="992" w:type="dxa"/>
            <w:tcBorders>
              <w:top w:val="single" w:sz="4" w:space="0" w:color="auto"/>
            </w:tcBorders>
          </w:tcPr>
          <w:p w14:paraId="6705EC6A"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418" w:type="dxa"/>
            <w:tcBorders>
              <w:top w:val="single" w:sz="4" w:space="0" w:color="auto"/>
            </w:tcBorders>
          </w:tcPr>
          <w:p w14:paraId="694B7B6B"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top w:val="single" w:sz="4" w:space="0" w:color="auto"/>
            </w:tcBorders>
          </w:tcPr>
          <w:p w14:paraId="0FCA9AB4" w14:textId="77777777" w:rsidR="000B6F00" w:rsidRPr="00706680" w:rsidRDefault="00951806"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top w:val="single" w:sz="4" w:space="0" w:color="auto"/>
            </w:tcBorders>
          </w:tcPr>
          <w:p w14:paraId="6A9DB545" w14:textId="77777777" w:rsidR="000B6F00" w:rsidRPr="00706680" w:rsidRDefault="000B6F00"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134" w:type="dxa"/>
            <w:tcBorders>
              <w:top w:val="single" w:sz="4" w:space="0" w:color="auto"/>
            </w:tcBorders>
          </w:tcPr>
          <w:p w14:paraId="3F3FF5A7" w14:textId="77777777" w:rsidR="000B6F00" w:rsidRPr="00706680" w:rsidRDefault="00951806"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c>
          <w:tcPr>
            <w:tcW w:w="1524" w:type="dxa"/>
            <w:tcBorders>
              <w:top w:val="single" w:sz="4" w:space="0" w:color="auto"/>
            </w:tcBorders>
          </w:tcPr>
          <w:p w14:paraId="13BFDC7D" w14:textId="77777777" w:rsidR="000B6F00" w:rsidRPr="00706680" w:rsidRDefault="00B63F85" w:rsidP="00972AA8">
            <w:pPr>
              <w:pStyle w:val="1"/>
              <w:spacing w:before="120" w:after="120"/>
              <w:ind w:left="0" w:firstLine="0"/>
              <w:jc w:val="center"/>
              <w:outlineLvl w:val="0"/>
              <w:rPr>
                <w:rFonts w:ascii="Arial" w:hAnsi="Arial"/>
                <w:b w:val="0"/>
                <w:sz w:val="16"/>
                <w:szCs w:val="16"/>
                <w:lang w:val="en-IE"/>
              </w:rPr>
            </w:pPr>
            <w:r w:rsidRPr="00706680">
              <w:rPr>
                <w:rFonts w:ascii="Arial" w:hAnsi="Arial"/>
                <w:b w:val="0"/>
                <w:sz w:val="16"/>
                <w:szCs w:val="16"/>
                <w:lang w:val="en-IE"/>
              </w:rPr>
              <w:t>–</w:t>
            </w:r>
          </w:p>
        </w:tc>
      </w:tr>
      <w:tr w:rsidR="00951806" w:rsidRPr="00706680" w14:paraId="3A47358E" w14:textId="77777777" w:rsidTr="00B63F85">
        <w:trPr>
          <w:trHeight w:val="57"/>
          <w:jc w:val="right"/>
        </w:trPr>
        <w:tc>
          <w:tcPr>
            <w:tcW w:w="9072" w:type="dxa"/>
            <w:gridSpan w:val="7"/>
            <w:tcBorders>
              <w:bottom w:val="single" w:sz="4" w:space="0" w:color="auto"/>
            </w:tcBorders>
            <w:shd w:val="pct10" w:color="auto" w:fill="auto"/>
          </w:tcPr>
          <w:p w14:paraId="6E89DF44" w14:textId="77777777" w:rsidR="00951806" w:rsidRPr="00D527D5" w:rsidRDefault="00951806" w:rsidP="00D527D5">
            <w:pPr>
              <w:pStyle w:val="1"/>
              <w:spacing w:before="120" w:after="120"/>
              <w:ind w:left="0" w:firstLine="0"/>
              <w:jc w:val="center"/>
              <w:outlineLvl w:val="0"/>
              <w:rPr>
                <w:rFonts w:ascii="Arial" w:hAnsi="Arial"/>
                <w:b w:val="0"/>
                <w:sz w:val="16"/>
                <w:szCs w:val="16"/>
                <w:lang w:val="en-IE"/>
              </w:rPr>
            </w:pPr>
            <w:r w:rsidRPr="00D527D5">
              <w:rPr>
                <w:rFonts w:ascii="Arial" w:hAnsi="Arial"/>
                <w:sz w:val="16"/>
                <w:szCs w:val="16"/>
              </w:rPr>
              <w:t>Detection of immune response</w:t>
            </w:r>
          </w:p>
        </w:tc>
      </w:tr>
      <w:tr w:rsidR="00D527D5" w:rsidRPr="00D527D5" w14:paraId="35EA3636" w14:textId="77777777" w:rsidTr="00B63F85">
        <w:trPr>
          <w:trHeight w:val="57"/>
          <w:jc w:val="right"/>
        </w:trPr>
        <w:tc>
          <w:tcPr>
            <w:tcW w:w="1736" w:type="dxa"/>
          </w:tcPr>
          <w:p w14:paraId="58DE5A2F" w14:textId="77777777" w:rsidR="000B6F00" w:rsidRPr="00D527D5" w:rsidRDefault="000B6F00" w:rsidP="00972AA8">
            <w:pPr>
              <w:pStyle w:val="1"/>
              <w:spacing w:before="120" w:after="120"/>
              <w:ind w:left="0" w:firstLine="0"/>
              <w:jc w:val="center"/>
              <w:outlineLvl w:val="0"/>
              <w:rPr>
                <w:rFonts w:ascii="Arial" w:hAnsi="Arial"/>
                <w:sz w:val="16"/>
                <w:szCs w:val="16"/>
                <w:lang w:val="en-IE"/>
              </w:rPr>
            </w:pPr>
            <w:r w:rsidRPr="00D527D5">
              <w:rPr>
                <w:rFonts w:ascii="Arial" w:hAnsi="Arial"/>
                <w:sz w:val="16"/>
                <w:szCs w:val="16"/>
                <w:lang w:val="en-IE"/>
              </w:rPr>
              <w:t>CFT</w:t>
            </w:r>
          </w:p>
        </w:tc>
        <w:tc>
          <w:tcPr>
            <w:tcW w:w="992" w:type="dxa"/>
          </w:tcPr>
          <w:p w14:paraId="65368F7E" w14:textId="77777777"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Pr="001B4922">
              <w:rPr>
                <w:rFonts w:ascii="Arial" w:hAnsi="Arial"/>
                <w:b w:val="0"/>
                <w:sz w:val="16"/>
                <w:szCs w:val="16"/>
                <w:highlight w:val="yellow"/>
                <w:u w:val="double"/>
                <w:lang w:val="en-IE"/>
              </w:rPr>
              <w:t>+</w:t>
            </w:r>
          </w:p>
        </w:tc>
        <w:tc>
          <w:tcPr>
            <w:tcW w:w="1418" w:type="dxa"/>
          </w:tcPr>
          <w:p w14:paraId="792BCD7B" w14:textId="63E19A83"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001B4922">
              <w:rPr>
                <w:rFonts w:ascii="Arial" w:hAnsi="Arial"/>
                <w:b w:val="0"/>
                <w:sz w:val="16"/>
                <w:szCs w:val="16"/>
                <w:lang w:val="en-IE"/>
              </w:rPr>
              <w:t xml:space="preserve"> </w:t>
            </w:r>
            <w:r w:rsidR="001B4922" w:rsidRPr="00B850FA">
              <w:rPr>
                <w:rFonts w:ascii="Arial" w:hAnsi="Arial"/>
                <w:b w:val="0"/>
                <w:strike/>
                <w:sz w:val="16"/>
                <w:szCs w:val="16"/>
                <w:highlight w:val="yellow"/>
                <w:lang w:val="en-IE"/>
              </w:rPr>
              <w:t>+</w:t>
            </w:r>
          </w:p>
        </w:tc>
        <w:tc>
          <w:tcPr>
            <w:tcW w:w="1134" w:type="dxa"/>
          </w:tcPr>
          <w:p w14:paraId="2076D96D" w14:textId="77777777" w:rsidR="000B6F00" w:rsidRPr="00D527D5" w:rsidRDefault="00951806"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Pr="001B4922">
              <w:rPr>
                <w:rFonts w:ascii="Arial" w:hAnsi="Arial"/>
                <w:b w:val="0"/>
                <w:sz w:val="16"/>
                <w:szCs w:val="16"/>
                <w:highlight w:val="yellow"/>
                <w:u w:val="double"/>
                <w:lang w:val="en-IE"/>
              </w:rPr>
              <w:t>+</w:t>
            </w:r>
          </w:p>
        </w:tc>
        <w:tc>
          <w:tcPr>
            <w:tcW w:w="1134" w:type="dxa"/>
          </w:tcPr>
          <w:p w14:paraId="0A7FFA40" w14:textId="77777777"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134" w:type="dxa"/>
          </w:tcPr>
          <w:p w14:paraId="6AB01FF2" w14:textId="77777777" w:rsidR="000B6F00" w:rsidRPr="00D527D5" w:rsidRDefault="00951806"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Pr="001B4922">
              <w:rPr>
                <w:rFonts w:ascii="Arial" w:hAnsi="Arial"/>
                <w:b w:val="0"/>
                <w:sz w:val="16"/>
                <w:szCs w:val="16"/>
                <w:highlight w:val="yellow"/>
                <w:u w:val="double"/>
                <w:lang w:val="en-IE"/>
              </w:rPr>
              <w:t>+</w:t>
            </w:r>
          </w:p>
        </w:tc>
        <w:tc>
          <w:tcPr>
            <w:tcW w:w="1524" w:type="dxa"/>
          </w:tcPr>
          <w:p w14:paraId="01C677AF" w14:textId="77777777" w:rsidR="000B6F00" w:rsidRPr="00D527D5" w:rsidRDefault="00B63F85"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r>
      <w:tr w:rsidR="00D527D5" w:rsidRPr="00D527D5" w14:paraId="467C46B7" w14:textId="77777777" w:rsidTr="00B63F85">
        <w:trPr>
          <w:trHeight w:val="57"/>
          <w:jc w:val="right"/>
        </w:trPr>
        <w:tc>
          <w:tcPr>
            <w:tcW w:w="1736" w:type="dxa"/>
          </w:tcPr>
          <w:p w14:paraId="752E93F4" w14:textId="77777777" w:rsidR="000B6F00" w:rsidRPr="00D527D5" w:rsidRDefault="000B6F00" w:rsidP="00972AA8">
            <w:pPr>
              <w:pStyle w:val="1"/>
              <w:spacing w:before="120" w:after="120"/>
              <w:ind w:left="0" w:firstLine="0"/>
              <w:jc w:val="center"/>
              <w:outlineLvl w:val="0"/>
              <w:rPr>
                <w:rFonts w:ascii="Arial" w:hAnsi="Arial"/>
                <w:sz w:val="16"/>
                <w:szCs w:val="16"/>
                <w:lang w:val="en-IE"/>
              </w:rPr>
            </w:pPr>
            <w:r w:rsidRPr="00D527D5">
              <w:rPr>
                <w:rFonts w:ascii="Arial" w:hAnsi="Arial"/>
                <w:sz w:val="16"/>
                <w:szCs w:val="16"/>
                <w:lang w:val="en-IE"/>
              </w:rPr>
              <w:t>Immunoblotting</w:t>
            </w:r>
          </w:p>
        </w:tc>
        <w:tc>
          <w:tcPr>
            <w:tcW w:w="992" w:type="dxa"/>
          </w:tcPr>
          <w:p w14:paraId="16EEDC6C" w14:textId="77777777" w:rsidR="000B6F00" w:rsidRPr="00D527D5" w:rsidRDefault="000B6F00" w:rsidP="00D81CCB">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418" w:type="dxa"/>
          </w:tcPr>
          <w:p w14:paraId="648ADA8C" w14:textId="77777777"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134" w:type="dxa"/>
          </w:tcPr>
          <w:p w14:paraId="3DEF195B" w14:textId="77777777" w:rsidR="000B6F00" w:rsidRPr="00D527D5" w:rsidRDefault="00951806" w:rsidP="00972AA8">
            <w:pPr>
              <w:pStyle w:val="1"/>
              <w:spacing w:before="120" w:after="120"/>
              <w:ind w:left="0" w:firstLine="0"/>
              <w:jc w:val="center"/>
              <w:rPr>
                <w:rFonts w:ascii="Arial" w:hAnsi="Arial"/>
                <w:b w:val="0"/>
                <w:sz w:val="16"/>
                <w:szCs w:val="16"/>
                <w:lang w:val="en-IE"/>
              </w:rPr>
            </w:pPr>
            <w:r w:rsidRPr="00D527D5">
              <w:rPr>
                <w:rFonts w:ascii="Arial" w:hAnsi="Arial"/>
                <w:b w:val="0"/>
                <w:sz w:val="16"/>
                <w:szCs w:val="16"/>
                <w:lang w:val="en-IE"/>
              </w:rPr>
              <w:t>++</w:t>
            </w:r>
          </w:p>
        </w:tc>
        <w:tc>
          <w:tcPr>
            <w:tcW w:w="1134" w:type="dxa"/>
          </w:tcPr>
          <w:p w14:paraId="18AC9280" w14:textId="77777777" w:rsidR="000B6F00" w:rsidRPr="00D527D5" w:rsidRDefault="000B6F00" w:rsidP="00972AA8">
            <w:pPr>
              <w:pStyle w:val="1"/>
              <w:spacing w:before="120" w:after="120"/>
              <w:ind w:left="0" w:firstLine="0"/>
              <w:jc w:val="center"/>
              <w:rPr>
                <w:rFonts w:ascii="Arial" w:hAnsi="Arial"/>
                <w:b w:val="0"/>
                <w:sz w:val="16"/>
                <w:szCs w:val="16"/>
                <w:lang w:val="en-IE"/>
              </w:rPr>
            </w:pPr>
            <w:r w:rsidRPr="00D527D5">
              <w:rPr>
                <w:rFonts w:ascii="Arial" w:hAnsi="Arial"/>
                <w:b w:val="0"/>
                <w:sz w:val="16"/>
                <w:szCs w:val="16"/>
                <w:lang w:val="en-IE"/>
              </w:rPr>
              <w:t>++</w:t>
            </w:r>
          </w:p>
        </w:tc>
        <w:tc>
          <w:tcPr>
            <w:tcW w:w="1134" w:type="dxa"/>
          </w:tcPr>
          <w:p w14:paraId="2F7CF531" w14:textId="77777777" w:rsidR="000B6F00" w:rsidRPr="00D527D5" w:rsidRDefault="00951806" w:rsidP="00F22C33">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Pr="00841AAC">
              <w:rPr>
                <w:rFonts w:ascii="Arial" w:hAnsi="Arial"/>
                <w:b w:val="0"/>
                <w:strike/>
                <w:sz w:val="16"/>
                <w:szCs w:val="16"/>
                <w:highlight w:val="yellow"/>
                <w:lang w:val="en-IE"/>
              </w:rPr>
              <w:t>+</w:t>
            </w:r>
          </w:p>
        </w:tc>
        <w:tc>
          <w:tcPr>
            <w:tcW w:w="1524" w:type="dxa"/>
          </w:tcPr>
          <w:p w14:paraId="67D73795" w14:textId="77777777" w:rsidR="000B6F00" w:rsidRPr="00D527D5" w:rsidRDefault="00B63F85"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r>
      <w:tr w:rsidR="00D527D5" w:rsidRPr="00D527D5" w14:paraId="12FA2622" w14:textId="77777777" w:rsidTr="00B63F85">
        <w:trPr>
          <w:trHeight w:val="57"/>
          <w:jc w:val="right"/>
        </w:trPr>
        <w:tc>
          <w:tcPr>
            <w:tcW w:w="1736" w:type="dxa"/>
          </w:tcPr>
          <w:p w14:paraId="28B1B06D" w14:textId="77777777" w:rsidR="000B6F00" w:rsidRPr="00D527D5" w:rsidRDefault="004A7D23" w:rsidP="00972AA8">
            <w:pPr>
              <w:pStyle w:val="1"/>
              <w:spacing w:before="120" w:after="120"/>
              <w:ind w:left="0" w:firstLine="0"/>
              <w:jc w:val="center"/>
              <w:outlineLvl w:val="0"/>
              <w:rPr>
                <w:rFonts w:ascii="Arial" w:hAnsi="Arial"/>
                <w:sz w:val="16"/>
                <w:szCs w:val="16"/>
                <w:lang w:val="en-IE"/>
              </w:rPr>
            </w:pPr>
            <w:r w:rsidRPr="00D527D5">
              <w:rPr>
                <w:rFonts w:ascii="Arial" w:hAnsi="Arial"/>
                <w:sz w:val="16"/>
                <w:szCs w:val="16"/>
                <w:lang w:val="en-IE"/>
              </w:rPr>
              <w:t>C-</w:t>
            </w:r>
            <w:r w:rsidR="000B6F00" w:rsidRPr="00D527D5">
              <w:rPr>
                <w:rFonts w:ascii="Arial" w:hAnsi="Arial"/>
                <w:sz w:val="16"/>
                <w:szCs w:val="16"/>
                <w:lang w:val="en-IE"/>
              </w:rPr>
              <w:t>ELISA</w:t>
            </w:r>
          </w:p>
        </w:tc>
        <w:tc>
          <w:tcPr>
            <w:tcW w:w="992" w:type="dxa"/>
          </w:tcPr>
          <w:p w14:paraId="43CA0630" w14:textId="77777777"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418" w:type="dxa"/>
          </w:tcPr>
          <w:p w14:paraId="385C28F1" w14:textId="40A39115"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001B4922">
              <w:rPr>
                <w:rFonts w:ascii="Arial" w:hAnsi="Arial"/>
                <w:b w:val="0"/>
                <w:sz w:val="16"/>
                <w:szCs w:val="16"/>
                <w:lang w:val="en-IE"/>
              </w:rPr>
              <w:t xml:space="preserve"> </w:t>
            </w:r>
            <w:r w:rsidRPr="001B4922">
              <w:rPr>
                <w:rFonts w:ascii="Arial" w:hAnsi="Arial"/>
                <w:b w:val="0"/>
                <w:strike/>
                <w:sz w:val="16"/>
                <w:szCs w:val="16"/>
                <w:highlight w:val="yellow"/>
                <w:lang w:val="en-IE"/>
              </w:rPr>
              <w:t>+</w:t>
            </w:r>
          </w:p>
        </w:tc>
        <w:tc>
          <w:tcPr>
            <w:tcW w:w="1134" w:type="dxa"/>
          </w:tcPr>
          <w:p w14:paraId="429B86A8" w14:textId="77777777" w:rsidR="000B6F00" w:rsidRPr="00D527D5" w:rsidRDefault="00951806"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134" w:type="dxa"/>
          </w:tcPr>
          <w:p w14:paraId="6389C474" w14:textId="54900415" w:rsidR="000B6F00" w:rsidRPr="00D527D5" w:rsidRDefault="000B6F00"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r w:rsidR="001B4922">
              <w:rPr>
                <w:rFonts w:ascii="Arial" w:hAnsi="Arial"/>
                <w:b w:val="0"/>
                <w:sz w:val="16"/>
                <w:szCs w:val="16"/>
                <w:lang w:val="en-IE"/>
              </w:rPr>
              <w:t xml:space="preserve"> </w:t>
            </w:r>
            <w:r w:rsidRPr="001B4922">
              <w:rPr>
                <w:rFonts w:ascii="Arial" w:hAnsi="Arial"/>
                <w:b w:val="0"/>
                <w:strike/>
                <w:sz w:val="16"/>
                <w:szCs w:val="16"/>
                <w:highlight w:val="yellow"/>
                <w:lang w:val="en-IE"/>
              </w:rPr>
              <w:t>+</w:t>
            </w:r>
          </w:p>
        </w:tc>
        <w:tc>
          <w:tcPr>
            <w:tcW w:w="1134" w:type="dxa"/>
          </w:tcPr>
          <w:p w14:paraId="374285C9" w14:textId="77777777" w:rsidR="000B6F00" w:rsidRPr="00D527D5" w:rsidRDefault="00951806"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c>
          <w:tcPr>
            <w:tcW w:w="1524" w:type="dxa"/>
          </w:tcPr>
          <w:p w14:paraId="0E133C3A" w14:textId="77777777" w:rsidR="000B6F00" w:rsidRPr="00D527D5" w:rsidRDefault="00B63F85" w:rsidP="00972AA8">
            <w:pPr>
              <w:pStyle w:val="1"/>
              <w:spacing w:before="120" w:after="120"/>
              <w:ind w:left="0" w:firstLine="0"/>
              <w:jc w:val="center"/>
              <w:outlineLvl w:val="0"/>
              <w:rPr>
                <w:rFonts w:ascii="Arial" w:hAnsi="Arial"/>
                <w:b w:val="0"/>
                <w:sz w:val="16"/>
                <w:szCs w:val="16"/>
                <w:lang w:val="en-IE"/>
              </w:rPr>
            </w:pPr>
            <w:r w:rsidRPr="00D527D5">
              <w:rPr>
                <w:rFonts w:ascii="Arial" w:hAnsi="Arial"/>
                <w:b w:val="0"/>
                <w:sz w:val="16"/>
                <w:szCs w:val="16"/>
                <w:lang w:val="en-IE"/>
              </w:rPr>
              <w:t>–</w:t>
            </w:r>
          </w:p>
        </w:tc>
      </w:tr>
    </w:tbl>
    <w:p w14:paraId="2195AE82" w14:textId="77777777" w:rsidR="00667E31" w:rsidRPr="008B455F" w:rsidRDefault="00B63F85" w:rsidP="008B455F">
      <w:pPr>
        <w:pStyle w:val="Textebrut"/>
        <w:spacing w:before="120"/>
        <w:jc w:val="center"/>
        <w:rPr>
          <w:rFonts w:ascii="Arial" w:hAnsi="Arial" w:cs="Arial"/>
          <w:b/>
          <w:sz w:val="16"/>
          <w:szCs w:val="16"/>
          <w:lang w:val="en-IE"/>
        </w:rPr>
      </w:pPr>
      <w:r w:rsidRPr="008B455F">
        <w:rPr>
          <w:rFonts w:ascii="Arial" w:hAnsi="Arial" w:cs="Arial"/>
          <w:sz w:val="16"/>
          <w:szCs w:val="16"/>
          <w:lang w:val="en-IE"/>
        </w:rPr>
        <w:t xml:space="preserve">*NB: at present, </w:t>
      </w:r>
      <w:r w:rsidRPr="008B455F">
        <w:rPr>
          <w:rFonts w:ascii="Arial" w:hAnsi="Arial" w:cs="Arial"/>
          <w:sz w:val="16"/>
          <w:szCs w:val="16"/>
          <w:lang w:val="en-US"/>
        </w:rPr>
        <w:t>there is no test described in the table that allows evaluation of the immune status</w:t>
      </w:r>
      <w:r w:rsidRPr="008B455F">
        <w:rPr>
          <w:rFonts w:ascii="Arial" w:hAnsi="Arial" w:cs="Arial"/>
          <w:sz w:val="16"/>
          <w:szCs w:val="16"/>
          <w:lang w:val="en-US"/>
        </w:rPr>
        <w:br/>
        <w:t>of an animal after vaccination, with the current T1 strains.</w:t>
      </w:r>
      <w:r w:rsidRPr="008B455F">
        <w:rPr>
          <w:rFonts w:ascii="Arial" w:hAnsi="Arial" w:cs="Arial"/>
          <w:sz w:val="16"/>
          <w:szCs w:val="16"/>
          <w:lang w:val="en-US"/>
        </w:rPr>
        <w:br/>
      </w:r>
      <w:r w:rsidR="008B455F" w:rsidRPr="008B455F">
        <w:rPr>
          <w:rFonts w:ascii="Arial" w:hAnsi="Arial" w:cs="Arial"/>
          <w:color w:val="000000"/>
          <w:sz w:val="16"/>
          <w:szCs w:val="16"/>
        </w:rPr>
        <w:t xml:space="preserve">Key: +++ = recommended </w:t>
      </w:r>
      <w:r w:rsidR="008B455F" w:rsidRPr="008B455F">
        <w:rPr>
          <w:rFonts w:ascii="Arial" w:hAnsi="Arial" w:cs="Arial"/>
          <w:color w:val="000000"/>
          <w:sz w:val="16"/>
          <w:szCs w:val="16"/>
          <w:u w:val="double"/>
        </w:rPr>
        <w:t>for this purpose</w:t>
      </w:r>
      <w:r w:rsidR="008B455F" w:rsidRPr="008B455F">
        <w:rPr>
          <w:rFonts w:ascii="Arial" w:hAnsi="Arial" w:cs="Arial"/>
          <w:strike/>
          <w:color w:val="000000"/>
          <w:sz w:val="16"/>
          <w:szCs w:val="16"/>
        </w:rPr>
        <w:t xml:space="preserve"> method</w:t>
      </w:r>
      <w:r w:rsidR="008B455F" w:rsidRPr="008B455F">
        <w:rPr>
          <w:rFonts w:ascii="Arial" w:hAnsi="Arial" w:cs="Arial"/>
          <w:color w:val="000000"/>
          <w:sz w:val="16"/>
          <w:szCs w:val="16"/>
        </w:rPr>
        <w:t xml:space="preserve">; ++ </w:t>
      </w:r>
      <w:r w:rsidR="008B455F" w:rsidRPr="008B455F">
        <w:rPr>
          <w:rFonts w:ascii="Arial" w:hAnsi="Arial" w:cs="Arial"/>
          <w:color w:val="000000"/>
          <w:sz w:val="16"/>
          <w:szCs w:val="16"/>
          <w:u w:val="double"/>
        </w:rPr>
        <w:t>recommended but has limitations</w:t>
      </w:r>
      <w:r w:rsidR="008B455F" w:rsidRPr="008B455F">
        <w:rPr>
          <w:rFonts w:ascii="Arial" w:hAnsi="Arial" w:cs="Arial"/>
          <w:strike/>
          <w:color w:val="000000"/>
          <w:sz w:val="16"/>
          <w:szCs w:val="16"/>
        </w:rPr>
        <w:t xml:space="preserve"> suitable method</w:t>
      </w:r>
      <w:r w:rsidR="008B455F" w:rsidRPr="008B455F">
        <w:rPr>
          <w:rFonts w:ascii="Arial" w:hAnsi="Arial" w:cs="Arial"/>
          <w:color w:val="000000"/>
          <w:sz w:val="16"/>
          <w:szCs w:val="16"/>
        </w:rPr>
        <w:t xml:space="preserve">; </w:t>
      </w:r>
      <w:r w:rsidR="008B455F" w:rsidRPr="008B455F">
        <w:rPr>
          <w:rFonts w:ascii="Arial" w:hAnsi="Arial" w:cs="Arial"/>
          <w:color w:val="000000"/>
          <w:sz w:val="16"/>
          <w:szCs w:val="16"/>
        </w:rPr>
        <w:br/>
        <w:t xml:space="preserve">+ = </w:t>
      </w:r>
      <w:r w:rsidR="008B455F" w:rsidRPr="008B455F">
        <w:rPr>
          <w:rFonts w:ascii="Arial" w:hAnsi="Arial" w:cs="Arial"/>
          <w:color w:val="000000"/>
          <w:sz w:val="16"/>
          <w:szCs w:val="16"/>
          <w:u w:val="double"/>
        </w:rPr>
        <w:t>suitable in very limited circumstances</w:t>
      </w:r>
      <w:r w:rsidR="008B455F" w:rsidRPr="008B455F">
        <w:rPr>
          <w:rFonts w:ascii="Arial" w:hAnsi="Arial" w:cs="Arial"/>
          <w:strike/>
          <w:color w:val="000000"/>
          <w:sz w:val="16"/>
          <w:szCs w:val="16"/>
        </w:rPr>
        <w:t xml:space="preserve"> may be used </w:t>
      </w:r>
      <w:r w:rsidR="008B455F" w:rsidRPr="008B455F">
        <w:rPr>
          <w:rFonts w:ascii="Arial" w:hAnsi="Arial" w:cs="Arial"/>
          <w:strike/>
          <w:sz w:val="16"/>
          <w:szCs w:val="16"/>
        </w:rPr>
        <w:t>in some situations, but cost, reliability, or other factors severely limits its application</w:t>
      </w:r>
      <w:r w:rsidR="008B455F" w:rsidRPr="008B455F">
        <w:rPr>
          <w:rFonts w:ascii="Arial" w:hAnsi="Arial" w:cs="Arial"/>
          <w:sz w:val="16"/>
          <w:szCs w:val="16"/>
        </w:rPr>
        <w:t xml:space="preserve">; </w:t>
      </w:r>
      <w:r w:rsidR="008B455F" w:rsidRPr="008B455F">
        <w:rPr>
          <w:rFonts w:ascii="Arial" w:hAnsi="Arial" w:cs="Arial"/>
          <w:color w:val="000000"/>
          <w:sz w:val="16"/>
          <w:szCs w:val="16"/>
        </w:rPr>
        <w:t>– = not appropriate for this purpose</w:t>
      </w:r>
      <w:r w:rsidR="008B455F" w:rsidRPr="008B455F">
        <w:rPr>
          <w:rFonts w:ascii="Arial" w:hAnsi="Arial" w:cs="Arial"/>
          <w:strike/>
          <w:color w:val="000000"/>
          <w:sz w:val="16"/>
          <w:szCs w:val="16"/>
        </w:rPr>
        <w:t>; n/a = not applicable</w:t>
      </w:r>
      <w:r w:rsidR="008B455F" w:rsidRPr="008B455F">
        <w:rPr>
          <w:rFonts w:ascii="Arial" w:hAnsi="Arial" w:cs="Arial"/>
          <w:color w:val="000000"/>
          <w:sz w:val="16"/>
          <w:szCs w:val="16"/>
        </w:rPr>
        <w:t>.</w:t>
      </w:r>
      <w:r w:rsidR="008B455F" w:rsidRPr="008B455F">
        <w:rPr>
          <w:rFonts w:ascii="Arial" w:hAnsi="Arial" w:cs="Arial"/>
          <w:color w:val="000000"/>
          <w:sz w:val="16"/>
          <w:szCs w:val="16"/>
        </w:rPr>
        <w:br/>
      </w:r>
      <w:r w:rsidR="008B455F" w:rsidRPr="008B455F">
        <w:rPr>
          <w:rFonts w:ascii="Arial" w:hAnsi="Arial" w:cs="Arial"/>
          <w:strike/>
          <w:sz w:val="16"/>
          <w:szCs w:val="16"/>
          <w:lang w:val="en-IE"/>
        </w:rPr>
        <w:t>Although not all of the tests listed as category +++ or ++ have undergone formal validation, their routine nature and the fact that they have been used widely without dubious results, makes them acceptable.</w:t>
      </w:r>
      <w:r w:rsidRPr="008B455F">
        <w:rPr>
          <w:rFonts w:ascii="Arial" w:hAnsi="Arial" w:cs="Arial"/>
          <w:sz w:val="16"/>
          <w:szCs w:val="16"/>
          <w:lang w:val="en-IE"/>
        </w:rPr>
        <w:br/>
      </w:r>
      <w:r w:rsidR="00667E31" w:rsidRPr="008B455F">
        <w:rPr>
          <w:rFonts w:ascii="Arial" w:hAnsi="Arial" w:cs="Arial"/>
          <w:sz w:val="16"/>
          <w:szCs w:val="16"/>
          <w:lang w:val="en-IE"/>
        </w:rPr>
        <w:t xml:space="preserve">PCR = polymerase chain reaction; </w:t>
      </w:r>
      <w:r w:rsidR="003C1C49" w:rsidRPr="008B455F">
        <w:rPr>
          <w:rFonts w:ascii="Arial" w:hAnsi="Arial" w:cs="Arial"/>
          <w:sz w:val="16"/>
          <w:szCs w:val="16"/>
          <w:lang w:val="en-IE"/>
        </w:rPr>
        <w:t xml:space="preserve">CFT = complement fixation test; </w:t>
      </w:r>
      <w:r w:rsidR="004A7D23" w:rsidRPr="008B455F">
        <w:rPr>
          <w:rFonts w:ascii="Arial" w:hAnsi="Arial" w:cs="Arial"/>
          <w:sz w:val="16"/>
          <w:szCs w:val="16"/>
          <w:lang w:val="en-IE"/>
        </w:rPr>
        <w:br/>
        <w:t>C-</w:t>
      </w:r>
      <w:r w:rsidR="00667E31" w:rsidRPr="008B455F">
        <w:rPr>
          <w:rFonts w:ascii="Arial" w:hAnsi="Arial" w:cs="Arial"/>
          <w:sz w:val="16"/>
          <w:szCs w:val="16"/>
          <w:lang w:val="en-IE"/>
        </w:rPr>
        <w:t xml:space="preserve">ELISA = </w:t>
      </w:r>
      <w:r w:rsidR="004A7D23" w:rsidRPr="008B455F">
        <w:rPr>
          <w:rFonts w:ascii="Arial" w:hAnsi="Arial" w:cs="Arial"/>
          <w:sz w:val="16"/>
          <w:szCs w:val="16"/>
          <w:lang w:val="en-IE"/>
        </w:rPr>
        <w:t xml:space="preserve">competitive </w:t>
      </w:r>
      <w:r w:rsidR="00667E31" w:rsidRPr="008B455F">
        <w:rPr>
          <w:rFonts w:ascii="Arial" w:hAnsi="Arial" w:cs="Arial"/>
          <w:sz w:val="16"/>
          <w:szCs w:val="16"/>
          <w:lang w:val="en-IE"/>
        </w:rPr>
        <w:t>enzyme-linked immunosorbent assay.</w:t>
      </w:r>
    </w:p>
    <w:p w14:paraId="065487FF" w14:textId="77777777" w:rsidR="00093494" w:rsidRPr="00706680" w:rsidRDefault="00093494" w:rsidP="00667E31">
      <w:pPr>
        <w:pStyle w:val="1"/>
        <w:spacing w:before="240"/>
        <w:outlineLvl w:val="0"/>
        <w:rPr>
          <w:lang w:val="en-IE"/>
        </w:rPr>
      </w:pPr>
      <w:r w:rsidRPr="00706680">
        <w:rPr>
          <w:lang w:val="en-IE"/>
        </w:rPr>
        <w:t>1.</w:t>
      </w:r>
      <w:r w:rsidRPr="00706680">
        <w:rPr>
          <w:lang w:val="en-IE"/>
        </w:rPr>
        <w:tab/>
        <w:t>Identification of the agent</w:t>
      </w:r>
    </w:p>
    <w:p w14:paraId="73F20226" w14:textId="77777777" w:rsidR="004F1298" w:rsidRPr="00706680" w:rsidRDefault="00972AA8" w:rsidP="00972AA8">
      <w:pPr>
        <w:pStyle w:val="11"/>
        <w:rPr>
          <w:lang w:val="en-IE"/>
        </w:rPr>
      </w:pPr>
      <w:r w:rsidRPr="00706680">
        <w:rPr>
          <w:lang w:val="en-IE"/>
        </w:rPr>
        <w:t>1.1.</w:t>
      </w:r>
      <w:r w:rsidR="004F1298" w:rsidRPr="00706680">
        <w:rPr>
          <w:lang w:val="en-IE"/>
        </w:rPr>
        <w:tab/>
        <w:t>Samples</w:t>
      </w:r>
    </w:p>
    <w:p w14:paraId="264954B5" w14:textId="77777777" w:rsidR="00093494" w:rsidRPr="00706680" w:rsidRDefault="004F1298" w:rsidP="00972AA8">
      <w:pPr>
        <w:pStyle w:val="11Para"/>
        <w:rPr>
          <w:lang w:val="en-IE"/>
        </w:rPr>
      </w:pPr>
      <w:r w:rsidRPr="00706680">
        <w:rPr>
          <w:lang w:val="en-IE"/>
        </w:rPr>
        <w:t xml:space="preserve">A key to isolation success lies in collecting good quality samples. </w:t>
      </w:r>
      <w:r w:rsidR="003163B1" w:rsidRPr="00706680">
        <w:rPr>
          <w:i/>
          <w:lang w:val="en-IE"/>
        </w:rPr>
        <w:t>Mmm</w:t>
      </w:r>
      <w:r w:rsidR="003163B1" w:rsidRPr="000902A2">
        <w:rPr>
          <w:strike/>
          <w:lang w:val="en-IE"/>
        </w:rPr>
        <w:t>SC</w:t>
      </w:r>
      <w:r w:rsidR="00A71320" w:rsidRPr="00706680">
        <w:rPr>
          <w:lang w:val="en-IE"/>
        </w:rPr>
        <w:t xml:space="preserve"> </w:t>
      </w:r>
      <w:r w:rsidR="00093494" w:rsidRPr="00706680">
        <w:rPr>
          <w:lang w:val="en-IE"/>
        </w:rPr>
        <w:t>can be isolated from samples taken either from live animals or at necropsy. Samples taken from live animals are</w:t>
      </w:r>
      <w:r w:rsidR="00D80372" w:rsidRPr="00706680">
        <w:rPr>
          <w:lang w:val="en-IE"/>
        </w:rPr>
        <w:t>:</w:t>
      </w:r>
      <w:r w:rsidR="00093494" w:rsidRPr="00706680">
        <w:rPr>
          <w:lang w:val="en-IE"/>
        </w:rPr>
        <w:t xml:space="preserve"> nasal swabs or nasal discharges, broncho-alveolar lavage or transtracheal washing and pleural fluid collected aseptically by puncture made in the lower part of the thoracic cavity between the seventh and eighth ribs. Samples taken at necropsy are</w:t>
      </w:r>
      <w:r w:rsidR="00D80372" w:rsidRPr="00706680">
        <w:rPr>
          <w:lang w:val="en-IE"/>
        </w:rPr>
        <w:t>:</w:t>
      </w:r>
      <w:r w:rsidR="00093494" w:rsidRPr="00706680">
        <w:rPr>
          <w:lang w:val="en-IE"/>
        </w:rPr>
        <w:t xml:space="preserve"> lungs with lesions, pleural fluid (‘lymph’), lymph nodes of the broncho-pulmonary tract, and synovial fluid from those animals with arthritis. The </w:t>
      </w:r>
      <w:r w:rsidRPr="00706680">
        <w:rPr>
          <w:lang w:val="en-IE"/>
        </w:rPr>
        <w:t xml:space="preserve">lung </w:t>
      </w:r>
      <w:r w:rsidR="00093494" w:rsidRPr="00706680">
        <w:rPr>
          <w:lang w:val="en-IE"/>
        </w:rPr>
        <w:t>samples should be collected from lesions at the interface between diseased and normal tissue.</w:t>
      </w:r>
    </w:p>
    <w:p w14:paraId="6643629E" w14:textId="77777777" w:rsidR="00093494" w:rsidRPr="00706680" w:rsidRDefault="00093494" w:rsidP="00972AA8">
      <w:pPr>
        <w:pStyle w:val="11Para"/>
        <w:rPr>
          <w:lang w:val="en-IE"/>
        </w:rPr>
      </w:pPr>
      <w:r w:rsidRPr="00706680">
        <w:rPr>
          <w:lang w:val="en-IE"/>
        </w:rPr>
        <w:t xml:space="preserve">When </w:t>
      </w:r>
      <w:r w:rsidR="004F1298" w:rsidRPr="00706680">
        <w:rPr>
          <w:lang w:val="en-IE"/>
        </w:rPr>
        <w:t xml:space="preserve">collecting nasal swab </w:t>
      </w:r>
      <w:r w:rsidRPr="00706680">
        <w:rPr>
          <w:lang w:val="en-IE"/>
        </w:rPr>
        <w:t>samples</w:t>
      </w:r>
      <w:r w:rsidR="004F1298" w:rsidRPr="00706680">
        <w:rPr>
          <w:lang w:val="en-IE"/>
        </w:rPr>
        <w:t>,</w:t>
      </w:r>
      <w:r w:rsidRPr="00706680">
        <w:rPr>
          <w:lang w:val="en-IE"/>
        </w:rPr>
        <w:t xml:space="preserve"> a transport medium </w:t>
      </w:r>
      <w:r w:rsidR="004F1298" w:rsidRPr="00706680">
        <w:rPr>
          <w:lang w:val="en-IE"/>
        </w:rPr>
        <w:t xml:space="preserve">should be used to </w:t>
      </w:r>
      <w:r w:rsidRPr="00706680">
        <w:rPr>
          <w:lang w:val="en-IE"/>
        </w:rPr>
        <w:t xml:space="preserve">protect the mycoplasmas and prevent proliferation of </w:t>
      </w:r>
      <w:r w:rsidR="00A5591F" w:rsidRPr="00706680">
        <w:rPr>
          <w:lang w:val="en-IE"/>
        </w:rPr>
        <w:t xml:space="preserve">cell-walled </w:t>
      </w:r>
      <w:r w:rsidRPr="00706680">
        <w:rPr>
          <w:lang w:val="en-IE"/>
        </w:rPr>
        <w:t>bacteria</w:t>
      </w:r>
      <w:r w:rsidR="00F22C33">
        <w:rPr>
          <w:lang w:val="en-IE"/>
        </w:rPr>
        <w:t xml:space="preserve"> </w:t>
      </w:r>
      <w:r w:rsidR="00F22C33" w:rsidRPr="000902A2">
        <w:rPr>
          <w:u w:val="double"/>
          <w:lang w:val="en-IE"/>
        </w:rPr>
        <w:t>and fungi</w:t>
      </w:r>
      <w:r w:rsidRPr="00706680">
        <w:rPr>
          <w:lang w:val="en-IE"/>
        </w:rPr>
        <w:t xml:space="preserve"> (heart-infusion broth without peptone and glucose, 10% yeast extract, 20% </w:t>
      </w:r>
      <w:r w:rsidR="008324F4" w:rsidRPr="00C30248">
        <w:rPr>
          <w:highlight w:val="yellow"/>
          <w:u w:val="double"/>
          <w:lang w:val="en-IE"/>
        </w:rPr>
        <w:t>heat-treated</w:t>
      </w:r>
      <w:r w:rsidR="008324F4">
        <w:rPr>
          <w:lang w:val="en-IE"/>
        </w:rPr>
        <w:t xml:space="preserve"> </w:t>
      </w:r>
      <w:r w:rsidRPr="00706680">
        <w:rPr>
          <w:lang w:val="en-IE"/>
        </w:rPr>
        <w:t>serum</w:t>
      </w:r>
      <w:r w:rsidR="00F733DE">
        <w:rPr>
          <w:lang w:val="en-IE"/>
        </w:rPr>
        <w:t xml:space="preserve"> </w:t>
      </w:r>
      <w:r w:rsidR="00F733DE" w:rsidRPr="00C30248">
        <w:rPr>
          <w:highlight w:val="yellow"/>
          <w:u w:val="double"/>
          <w:lang w:val="en-IE"/>
        </w:rPr>
        <w:t>(horse or pig)</w:t>
      </w:r>
      <w:r w:rsidRPr="00706680">
        <w:rPr>
          <w:lang w:val="en-IE"/>
        </w:rPr>
        <w:t>, 0.3% agar, 500</w:t>
      </w:r>
      <w:r w:rsidR="00D81CCB" w:rsidRPr="00706680">
        <w:rPr>
          <w:lang w:val="en-IE"/>
        </w:rPr>
        <w:t> </w:t>
      </w:r>
      <w:r w:rsidRPr="00706680">
        <w:rPr>
          <w:lang w:val="en-IE"/>
        </w:rPr>
        <w:t xml:space="preserve">International Units [IU]/ml penicillin, </w:t>
      </w:r>
      <w:r w:rsidR="00F22C33" w:rsidRPr="00706680">
        <w:rPr>
          <w:lang w:val="en-IE"/>
        </w:rPr>
        <w:t>0.2</w:t>
      </w:r>
      <w:r w:rsidR="00F22C33">
        <w:rPr>
          <w:lang w:val="en-IE"/>
        </w:rPr>
        <w:t> </w:t>
      </w:r>
      <w:r w:rsidR="00F22C33" w:rsidRPr="00706680">
        <w:rPr>
          <w:lang w:val="en-IE"/>
        </w:rPr>
        <w:t xml:space="preserve">g/litre </w:t>
      </w:r>
      <w:r w:rsidRPr="00706680">
        <w:rPr>
          <w:lang w:val="en-IE"/>
        </w:rPr>
        <w:t>thallium acetate).</w:t>
      </w:r>
    </w:p>
    <w:p w14:paraId="422B3073" w14:textId="77777777" w:rsidR="00093494" w:rsidRPr="00706680" w:rsidRDefault="004F1298" w:rsidP="00972AA8">
      <w:pPr>
        <w:pStyle w:val="11Para"/>
        <w:rPr>
          <w:lang w:val="en-IE"/>
        </w:rPr>
      </w:pPr>
      <w:r w:rsidRPr="00706680">
        <w:rPr>
          <w:lang w:val="en-IE"/>
        </w:rPr>
        <w:t>After collection</w:t>
      </w:r>
      <w:r w:rsidR="002D6370">
        <w:rPr>
          <w:lang w:val="en-IE"/>
        </w:rPr>
        <w:t>,</w:t>
      </w:r>
      <w:r w:rsidRPr="00706680">
        <w:rPr>
          <w:lang w:val="en-IE"/>
        </w:rPr>
        <w:t xml:space="preserve"> all </w:t>
      </w:r>
      <w:r w:rsidR="00093494" w:rsidRPr="00706680">
        <w:rPr>
          <w:lang w:val="en-IE"/>
        </w:rPr>
        <w:t xml:space="preserve">samples must be kept </w:t>
      </w:r>
      <w:r w:rsidRPr="00706680">
        <w:rPr>
          <w:lang w:val="en-IE"/>
        </w:rPr>
        <w:t xml:space="preserve">refrigerated </w:t>
      </w:r>
      <w:r w:rsidR="00093494" w:rsidRPr="00706680">
        <w:rPr>
          <w:lang w:val="en-IE"/>
        </w:rPr>
        <w:t xml:space="preserve">at 4°C </w:t>
      </w:r>
      <w:r w:rsidRPr="00706680">
        <w:rPr>
          <w:lang w:val="en-IE"/>
        </w:rPr>
        <w:t xml:space="preserve">and sent to the laboratory within 24 hours. For longer periods they should be </w:t>
      </w:r>
      <w:r w:rsidR="00093494" w:rsidRPr="00706680">
        <w:rPr>
          <w:lang w:val="en-IE"/>
        </w:rPr>
        <w:t xml:space="preserve">frozen at or below –20°C. </w:t>
      </w:r>
    </w:p>
    <w:p w14:paraId="0DEE7895" w14:textId="77777777" w:rsidR="004F1298" w:rsidRPr="00706680" w:rsidRDefault="00972AA8" w:rsidP="00972AA8">
      <w:pPr>
        <w:pStyle w:val="11"/>
        <w:rPr>
          <w:lang w:val="en-IE"/>
        </w:rPr>
      </w:pPr>
      <w:r w:rsidRPr="00706680">
        <w:rPr>
          <w:lang w:val="en-IE"/>
        </w:rPr>
        <w:t>1.2.</w:t>
      </w:r>
      <w:r w:rsidRPr="00706680">
        <w:rPr>
          <w:lang w:val="en-IE"/>
        </w:rPr>
        <w:tab/>
      </w:r>
      <w:r w:rsidR="004F1298" w:rsidRPr="00706680">
        <w:rPr>
          <w:i/>
          <w:lang w:val="en-IE"/>
        </w:rPr>
        <w:t>In-vitro</w:t>
      </w:r>
      <w:r w:rsidR="004F1298" w:rsidRPr="00706680">
        <w:rPr>
          <w:lang w:val="en-IE"/>
        </w:rPr>
        <w:t xml:space="preserve"> culture</w:t>
      </w:r>
    </w:p>
    <w:p w14:paraId="1094A694" w14:textId="77777777" w:rsidR="004F1298" w:rsidRPr="00706680" w:rsidRDefault="004F1298" w:rsidP="00972AA8">
      <w:pPr>
        <w:pStyle w:val="11Para"/>
        <w:rPr>
          <w:lang w:val="en-IE"/>
        </w:rPr>
      </w:pPr>
      <w:r w:rsidRPr="00706680">
        <w:rPr>
          <w:lang w:val="en-IE"/>
        </w:rPr>
        <w:t>The presence of the pathogen varies greatly with the stage of development of the lesions and a negative result is not conclusive, particularly if the animal was treated with an antibiotic.</w:t>
      </w:r>
    </w:p>
    <w:p w14:paraId="31C722F4" w14:textId="77777777" w:rsidR="00093494" w:rsidRPr="00706680" w:rsidRDefault="003163B1" w:rsidP="00972AA8">
      <w:pPr>
        <w:pStyle w:val="paraa"/>
        <w:ind w:left="851"/>
        <w:rPr>
          <w:lang w:val="en-IE"/>
        </w:rPr>
      </w:pPr>
      <w:r w:rsidRPr="00706680">
        <w:rPr>
          <w:i/>
          <w:lang w:val="en-IE"/>
        </w:rPr>
        <w:lastRenderedPageBreak/>
        <w:t>Mmm</w:t>
      </w:r>
      <w:r w:rsidRPr="000902A2">
        <w:rPr>
          <w:strike/>
          <w:lang w:val="en-IE"/>
        </w:rPr>
        <w:t>SC</w:t>
      </w:r>
      <w:r w:rsidR="00830CFC" w:rsidRPr="00706680">
        <w:rPr>
          <w:lang w:val="en-IE"/>
        </w:rPr>
        <w:t xml:space="preserve"> </w:t>
      </w:r>
      <w:r w:rsidR="00093494" w:rsidRPr="00706680">
        <w:rPr>
          <w:lang w:val="en-IE"/>
        </w:rPr>
        <w:t xml:space="preserve">needs </w:t>
      </w:r>
      <w:r w:rsidR="009703CB" w:rsidRPr="00706680">
        <w:rPr>
          <w:lang w:val="en-IE"/>
        </w:rPr>
        <w:t>selective</w:t>
      </w:r>
      <w:r w:rsidR="00A5591F" w:rsidRPr="00706680">
        <w:rPr>
          <w:lang w:val="en-IE"/>
        </w:rPr>
        <w:t xml:space="preserve"> </w:t>
      </w:r>
      <w:r w:rsidR="00093494" w:rsidRPr="00706680">
        <w:rPr>
          <w:lang w:val="en-IE"/>
        </w:rPr>
        <w:t>media to grow</w:t>
      </w:r>
      <w:r w:rsidR="00637506">
        <w:rPr>
          <w:lang w:val="en-IE"/>
        </w:rPr>
        <w:t>,</w:t>
      </w:r>
      <w:r w:rsidR="00093494" w:rsidRPr="00706680">
        <w:rPr>
          <w:lang w:val="en-IE"/>
        </w:rPr>
        <w:t xml:space="preserve"> </w:t>
      </w:r>
      <w:r w:rsidR="006674D8" w:rsidRPr="00706680">
        <w:rPr>
          <w:lang w:val="en-IE"/>
        </w:rPr>
        <w:t>but it is not considered</w:t>
      </w:r>
      <w:r w:rsidR="00656C3D" w:rsidRPr="00706680">
        <w:rPr>
          <w:lang w:val="en-IE"/>
        </w:rPr>
        <w:t xml:space="preserve"> a</w:t>
      </w:r>
      <w:r w:rsidR="006674D8" w:rsidRPr="00706680">
        <w:rPr>
          <w:lang w:val="en-IE"/>
        </w:rPr>
        <w:t xml:space="preserve"> fastidious</w:t>
      </w:r>
      <w:r w:rsidR="00B019B0" w:rsidRPr="00706680">
        <w:rPr>
          <w:lang w:val="en-IE"/>
        </w:rPr>
        <w:t xml:space="preserve"> mycoplasma</w:t>
      </w:r>
      <w:r w:rsidR="00093494" w:rsidRPr="00706680">
        <w:rPr>
          <w:lang w:val="en-IE"/>
        </w:rPr>
        <w:t xml:space="preserve">. </w:t>
      </w:r>
      <w:r w:rsidR="00160346" w:rsidRPr="00706680">
        <w:rPr>
          <w:lang w:val="en-IE"/>
        </w:rPr>
        <w:t xml:space="preserve">There are several media compositions used in different reference laboratories but, essentially, they should contain: </w:t>
      </w:r>
      <w:r w:rsidR="00093494" w:rsidRPr="00706680">
        <w:rPr>
          <w:lang w:val="en-IE"/>
        </w:rPr>
        <w:t xml:space="preserve">a basic medium such as heart-infusion </w:t>
      </w:r>
      <w:r w:rsidR="00ED3C2F" w:rsidRPr="00706680">
        <w:rPr>
          <w:lang w:val="en-IE"/>
        </w:rPr>
        <w:t>broth or PPLO broth (pleuropneumonia-like organisms), 1–2.5%</w:t>
      </w:r>
      <w:r w:rsidR="00093494" w:rsidRPr="00706680">
        <w:rPr>
          <w:lang w:val="en-IE"/>
        </w:rPr>
        <w:t xml:space="preserve"> yeast extract</w:t>
      </w:r>
      <w:r w:rsidR="00ED3C2F" w:rsidRPr="00706680">
        <w:rPr>
          <w:lang w:val="en-IE"/>
        </w:rPr>
        <w:t>,</w:t>
      </w:r>
      <w:r w:rsidR="00093494" w:rsidRPr="00706680">
        <w:rPr>
          <w:lang w:val="en-IE"/>
        </w:rPr>
        <w:t xml:space="preserve"> </w:t>
      </w:r>
      <w:r w:rsidR="00ED3C2F" w:rsidRPr="00706680">
        <w:rPr>
          <w:lang w:val="en-IE"/>
        </w:rPr>
        <w:t xml:space="preserve">10–20% inactivated </w:t>
      </w:r>
      <w:r w:rsidR="00093494" w:rsidRPr="00706680">
        <w:rPr>
          <w:lang w:val="en-IE"/>
        </w:rPr>
        <w:t>horse serum</w:t>
      </w:r>
      <w:r w:rsidR="00ED3C2F" w:rsidRPr="00706680">
        <w:rPr>
          <w:lang w:val="en-IE"/>
        </w:rPr>
        <w:t>,</w:t>
      </w:r>
      <w:r w:rsidR="00093494" w:rsidRPr="00706680">
        <w:rPr>
          <w:lang w:val="en-IE"/>
        </w:rPr>
        <w:t xml:space="preserve"> </w:t>
      </w:r>
      <w:r w:rsidR="00ED3C2F" w:rsidRPr="00706680">
        <w:rPr>
          <w:lang w:val="en-IE"/>
        </w:rPr>
        <w:t xml:space="preserve">0.1% </w:t>
      </w:r>
      <w:r w:rsidR="00093494" w:rsidRPr="00706680">
        <w:rPr>
          <w:lang w:val="en-IE"/>
        </w:rPr>
        <w:t xml:space="preserve">glucose, </w:t>
      </w:r>
      <w:r w:rsidR="00ED3C2F" w:rsidRPr="00706680">
        <w:rPr>
          <w:lang w:val="en-IE"/>
        </w:rPr>
        <w:t xml:space="preserve">1% </w:t>
      </w:r>
      <w:r w:rsidR="00E41A1D" w:rsidRPr="00706680">
        <w:rPr>
          <w:lang w:val="en-IE"/>
        </w:rPr>
        <w:t>tr</w:t>
      </w:r>
      <w:r w:rsidR="00E41A1D">
        <w:rPr>
          <w:lang w:val="en-IE"/>
        </w:rPr>
        <w:t>y</w:t>
      </w:r>
      <w:r w:rsidR="00E41A1D" w:rsidRPr="00706680">
        <w:rPr>
          <w:lang w:val="en-IE"/>
        </w:rPr>
        <w:t>ptose</w:t>
      </w:r>
      <w:r w:rsidR="00ED3C2F" w:rsidRPr="00706680">
        <w:rPr>
          <w:lang w:val="en-IE"/>
        </w:rPr>
        <w:t>,</w:t>
      </w:r>
      <w:r w:rsidR="00D80372" w:rsidRPr="00706680">
        <w:rPr>
          <w:lang w:val="en-IE"/>
        </w:rPr>
        <w:t xml:space="preserve"> and</w:t>
      </w:r>
      <w:r w:rsidR="00ED3C2F" w:rsidRPr="00706680">
        <w:rPr>
          <w:lang w:val="en-IE"/>
        </w:rPr>
        <w:t xml:space="preserve"> 0.0024% </w:t>
      </w:r>
      <w:r w:rsidR="00093494" w:rsidRPr="00706680">
        <w:rPr>
          <w:lang w:val="en-IE"/>
        </w:rPr>
        <w:t xml:space="preserve">DNA. To avoid growth of other bacteria, </w:t>
      </w:r>
      <w:r w:rsidR="00ED3C2F" w:rsidRPr="00706680">
        <w:rPr>
          <w:lang w:val="en-IE"/>
        </w:rPr>
        <w:t xml:space="preserve">the </w:t>
      </w:r>
      <w:r w:rsidR="00093494" w:rsidRPr="00706680">
        <w:rPr>
          <w:lang w:val="en-IE"/>
        </w:rPr>
        <w:t xml:space="preserve">media can </w:t>
      </w:r>
      <w:r w:rsidR="00ED3C2F" w:rsidRPr="00706680">
        <w:rPr>
          <w:lang w:val="en-IE"/>
        </w:rPr>
        <w:t>also contain an antibiotic of the penicillin family (for example,</w:t>
      </w:r>
      <w:r w:rsidR="00A304D2">
        <w:rPr>
          <w:lang w:val="en-IE"/>
        </w:rPr>
        <w:t xml:space="preserve"> </w:t>
      </w:r>
      <w:r w:rsidR="00ED3C2F" w:rsidRPr="00706680">
        <w:rPr>
          <w:lang w:val="en-IE"/>
        </w:rPr>
        <w:t>500</w:t>
      </w:r>
      <w:r w:rsidR="00A304D2">
        <w:rPr>
          <w:lang w:val="en-IE"/>
        </w:rPr>
        <w:t> </w:t>
      </w:r>
      <w:r w:rsidR="00ED3C2F" w:rsidRPr="00706680">
        <w:rPr>
          <w:lang w:val="en-IE"/>
        </w:rPr>
        <w:t>I</w:t>
      </w:r>
      <w:r w:rsidR="00D80372" w:rsidRPr="00706680">
        <w:rPr>
          <w:lang w:val="en-IE"/>
        </w:rPr>
        <w:t>U</w:t>
      </w:r>
      <w:r w:rsidR="00ED3C2F" w:rsidRPr="00706680">
        <w:rPr>
          <w:lang w:val="en-IE"/>
        </w:rPr>
        <w:t xml:space="preserve">/ml penicillin G) as mycoplasmas are naturally resistant. The media should be used both as broth and </w:t>
      </w:r>
      <w:r w:rsidR="00093494" w:rsidRPr="00706680">
        <w:rPr>
          <w:lang w:val="en-IE"/>
        </w:rPr>
        <w:t>solid. All culture media prepared should be subjected to quality control and must support growth of</w:t>
      </w:r>
      <w:r w:rsidR="00A5591F" w:rsidRPr="00706680">
        <w:rPr>
          <w:lang w:val="en-IE"/>
        </w:rPr>
        <w:t xml:space="preserve"> low passage</w:t>
      </w:r>
      <w:r w:rsidR="00093494" w:rsidRPr="00706680">
        <w:rPr>
          <w:lang w:val="en-IE"/>
        </w:rPr>
        <w:t xml:space="preserve"> </w:t>
      </w:r>
      <w:r w:rsidR="00093494" w:rsidRPr="00706680">
        <w:rPr>
          <w:i/>
          <w:lang w:val="en-IE"/>
        </w:rPr>
        <w:t xml:space="preserve">Mycoplasma </w:t>
      </w:r>
      <w:r w:rsidR="00093494" w:rsidRPr="00706680">
        <w:rPr>
          <w:iCs/>
          <w:lang w:val="en-IE"/>
        </w:rPr>
        <w:t>spp</w:t>
      </w:r>
      <w:r w:rsidR="00093494" w:rsidRPr="00706680">
        <w:rPr>
          <w:lang w:val="en-IE"/>
        </w:rPr>
        <w:t xml:space="preserve">. from small inocula. The reference strain should be cultured in parallel with the suspicious samples to ensure that the tests are </w:t>
      </w:r>
      <w:r w:rsidR="00ED3C2F" w:rsidRPr="00706680">
        <w:rPr>
          <w:lang w:val="en-IE"/>
        </w:rPr>
        <w:t xml:space="preserve">performed </w:t>
      </w:r>
      <w:r w:rsidR="00093494" w:rsidRPr="00706680">
        <w:rPr>
          <w:lang w:val="en-IE"/>
        </w:rPr>
        <w:t>correctly.</w:t>
      </w:r>
    </w:p>
    <w:p w14:paraId="3F94C468" w14:textId="00B3E721" w:rsidR="00093494" w:rsidRPr="00706680" w:rsidRDefault="00093494" w:rsidP="00972AA8">
      <w:pPr>
        <w:pStyle w:val="paraa"/>
        <w:ind w:left="851"/>
        <w:rPr>
          <w:lang w:val="en-IE"/>
        </w:rPr>
      </w:pPr>
      <w:r w:rsidRPr="00706680">
        <w:rPr>
          <w:lang w:val="en-IE"/>
        </w:rPr>
        <w:t>After grinding</w:t>
      </w:r>
      <w:r w:rsidR="00175473" w:rsidRPr="00706680">
        <w:rPr>
          <w:lang w:val="en-IE"/>
        </w:rPr>
        <w:t xml:space="preserve"> with</w:t>
      </w:r>
      <w:r w:rsidRPr="00706680">
        <w:rPr>
          <w:lang w:val="en-IE"/>
        </w:rPr>
        <w:t xml:space="preserve"> broth, the </w:t>
      </w:r>
      <w:r w:rsidR="00175473" w:rsidRPr="00706680">
        <w:rPr>
          <w:lang w:val="en-IE"/>
        </w:rPr>
        <w:t xml:space="preserve">tissue </w:t>
      </w:r>
      <w:r w:rsidRPr="00706680">
        <w:rPr>
          <w:lang w:val="en-IE"/>
        </w:rPr>
        <w:t xml:space="preserve">samples are diluted tenfold to minimise contaminating bacteria and are inoculated into five tubes of broth and </w:t>
      </w:r>
      <w:r w:rsidR="00AF14F6" w:rsidRPr="00706680">
        <w:rPr>
          <w:lang w:val="en-IE"/>
        </w:rPr>
        <w:t>on</w:t>
      </w:r>
      <w:r w:rsidRPr="00706680">
        <w:rPr>
          <w:lang w:val="en-IE"/>
        </w:rPr>
        <w:t xml:space="preserve">to </w:t>
      </w:r>
      <w:r w:rsidR="00393F57" w:rsidRPr="00706680">
        <w:rPr>
          <w:lang w:val="en-IE"/>
        </w:rPr>
        <w:t xml:space="preserve">five </w:t>
      </w:r>
      <w:r w:rsidRPr="00706680">
        <w:rPr>
          <w:lang w:val="en-IE"/>
        </w:rPr>
        <w:t xml:space="preserve">solid </w:t>
      </w:r>
      <w:r w:rsidR="00393F57" w:rsidRPr="00706680">
        <w:rPr>
          <w:lang w:val="en-IE"/>
        </w:rPr>
        <w:t>media plates</w:t>
      </w:r>
      <w:r w:rsidRPr="00706680">
        <w:rPr>
          <w:lang w:val="en-IE"/>
        </w:rPr>
        <w:t xml:space="preserve">. </w:t>
      </w:r>
      <w:r w:rsidR="00D80372" w:rsidRPr="000902A2">
        <w:rPr>
          <w:strike/>
          <w:lang w:val="en-IE"/>
        </w:rPr>
        <w:t>A</w:t>
      </w:r>
      <w:r w:rsidR="00393F57" w:rsidRPr="000902A2">
        <w:rPr>
          <w:strike/>
          <w:lang w:val="en-IE"/>
        </w:rPr>
        <w:t>lternative</w:t>
      </w:r>
      <w:r w:rsidR="00D80372" w:rsidRPr="000902A2">
        <w:rPr>
          <w:strike/>
          <w:lang w:val="en-IE"/>
        </w:rPr>
        <w:t>ly</w:t>
      </w:r>
      <w:r w:rsidR="00393F57" w:rsidRPr="000902A2">
        <w:rPr>
          <w:strike/>
          <w:lang w:val="en-IE"/>
        </w:rPr>
        <w:t>,</w:t>
      </w:r>
      <w:r w:rsidR="00393F57" w:rsidRPr="00706680">
        <w:rPr>
          <w:lang w:val="en-IE"/>
        </w:rPr>
        <w:t xml:space="preserve"> </w:t>
      </w:r>
      <w:r w:rsidR="00F22C33">
        <w:rPr>
          <w:lang w:val="en-IE"/>
        </w:rPr>
        <w:t>T</w:t>
      </w:r>
      <w:r w:rsidR="00F22C33" w:rsidRPr="00706680">
        <w:rPr>
          <w:lang w:val="en-IE"/>
        </w:rPr>
        <w:t xml:space="preserve">o </w:t>
      </w:r>
      <w:r w:rsidR="00393F57" w:rsidRPr="00706680">
        <w:rPr>
          <w:lang w:val="en-IE"/>
        </w:rPr>
        <w:t xml:space="preserve">avoid contaminating bacteria and to reduce the number of tubes and plates per sample, </w:t>
      </w:r>
      <w:r w:rsidR="00393F57" w:rsidRPr="000902A2">
        <w:rPr>
          <w:strike/>
          <w:lang w:val="en-IE"/>
        </w:rPr>
        <w:t xml:space="preserve">inoculate </w:t>
      </w:r>
      <w:r w:rsidR="00393F57" w:rsidRPr="00706680">
        <w:rPr>
          <w:lang w:val="en-IE"/>
        </w:rPr>
        <w:t xml:space="preserve">the supernatant of the </w:t>
      </w:r>
      <w:r w:rsidR="006F1F6F" w:rsidRPr="00706680">
        <w:rPr>
          <w:lang w:val="en-IE"/>
        </w:rPr>
        <w:t xml:space="preserve">ground </w:t>
      </w:r>
      <w:r w:rsidR="00393F57" w:rsidRPr="00706680">
        <w:rPr>
          <w:lang w:val="en-IE"/>
        </w:rPr>
        <w:t xml:space="preserve">sample </w:t>
      </w:r>
      <w:r w:rsidR="00F22C33" w:rsidRPr="000902A2">
        <w:rPr>
          <w:u w:val="double"/>
          <w:lang w:val="en-IE"/>
        </w:rPr>
        <w:t>may be filtered</w:t>
      </w:r>
      <w:r w:rsidR="00F22C33">
        <w:rPr>
          <w:lang w:val="en-IE"/>
        </w:rPr>
        <w:t xml:space="preserve"> </w:t>
      </w:r>
      <w:r w:rsidR="00393F57" w:rsidRPr="00706680">
        <w:rPr>
          <w:lang w:val="en-IE"/>
        </w:rPr>
        <w:t>through a 25</w:t>
      </w:r>
      <w:r w:rsidR="00D80372" w:rsidRPr="00706680">
        <w:rPr>
          <w:lang w:val="en-IE"/>
        </w:rPr>
        <w:t>-</w:t>
      </w:r>
      <w:r w:rsidR="00393F57" w:rsidRPr="00706680">
        <w:rPr>
          <w:lang w:val="en-IE"/>
        </w:rPr>
        <w:t xml:space="preserve">mm filter with 0.45 pore size. </w:t>
      </w:r>
      <w:r w:rsidRPr="00706680">
        <w:rPr>
          <w:lang w:val="en-IE"/>
        </w:rPr>
        <w:t xml:space="preserve">The pleural fluid can be inoculated directly without </w:t>
      </w:r>
      <w:r w:rsidR="00687197" w:rsidRPr="00706680">
        <w:rPr>
          <w:lang w:val="en-IE"/>
        </w:rPr>
        <w:t>prior</w:t>
      </w:r>
      <w:r w:rsidRPr="00706680">
        <w:rPr>
          <w:lang w:val="en-IE"/>
        </w:rPr>
        <w:t xml:space="preserve"> dilution</w:t>
      </w:r>
      <w:r w:rsidR="00393F57" w:rsidRPr="00706680">
        <w:rPr>
          <w:lang w:val="en-IE"/>
        </w:rPr>
        <w:t xml:space="preserve"> or filtration as, when </w:t>
      </w:r>
      <w:r w:rsidR="00A5591F" w:rsidRPr="00706680">
        <w:rPr>
          <w:lang w:val="en-IE"/>
        </w:rPr>
        <w:t>infected</w:t>
      </w:r>
      <w:r w:rsidR="00393F57" w:rsidRPr="00706680">
        <w:rPr>
          <w:lang w:val="en-IE"/>
        </w:rPr>
        <w:t xml:space="preserve">, </w:t>
      </w:r>
      <w:r w:rsidR="00EE66A5" w:rsidRPr="00706680">
        <w:rPr>
          <w:lang w:val="en-IE"/>
        </w:rPr>
        <w:t xml:space="preserve">it </w:t>
      </w:r>
      <w:r w:rsidR="00393F57" w:rsidRPr="00706680">
        <w:rPr>
          <w:lang w:val="en-IE"/>
        </w:rPr>
        <w:t xml:space="preserve">is almost a pure culture of </w:t>
      </w:r>
      <w:r w:rsidR="000902A2" w:rsidRPr="000902A2">
        <w:rPr>
          <w:strike/>
          <w:lang w:val="en-IE"/>
        </w:rPr>
        <w:t>mycoplasma</w:t>
      </w:r>
      <w:r w:rsidR="000902A2" w:rsidRPr="000902A2">
        <w:rPr>
          <w:i/>
          <w:strike/>
          <w:lang w:val="en-IE"/>
        </w:rPr>
        <w:t xml:space="preserve"> </w:t>
      </w:r>
      <w:r w:rsidR="00DF5A70" w:rsidRPr="00B03850">
        <w:rPr>
          <w:i/>
          <w:u w:val="double"/>
          <w:lang w:val="en-IE"/>
        </w:rPr>
        <w:t>Mmm</w:t>
      </w:r>
      <w:r w:rsidRPr="00706680">
        <w:rPr>
          <w:lang w:val="en-IE"/>
        </w:rPr>
        <w:t xml:space="preserve">. To ensure the best conditions for mycoplasma growth, </w:t>
      </w:r>
      <w:r w:rsidR="00393F57" w:rsidRPr="00706680">
        <w:rPr>
          <w:lang w:val="en-IE"/>
        </w:rPr>
        <w:t xml:space="preserve">the tubes and </w:t>
      </w:r>
      <w:r w:rsidR="00393F57" w:rsidRPr="00C30248">
        <w:rPr>
          <w:strike/>
          <w:highlight w:val="yellow"/>
          <w:lang w:val="en-IE"/>
        </w:rPr>
        <w:t>Petri dishes</w:t>
      </w:r>
      <w:r w:rsidR="002E4A9B" w:rsidRPr="00C30248">
        <w:rPr>
          <w:strike/>
          <w:highlight w:val="yellow"/>
          <w:lang w:val="en-IE"/>
        </w:rPr>
        <w:t xml:space="preserve"> </w:t>
      </w:r>
      <w:r w:rsidR="002E4A9B" w:rsidRPr="00C30248">
        <w:rPr>
          <w:highlight w:val="yellow"/>
          <w:u w:val="double"/>
          <w:lang w:val="en-IE"/>
        </w:rPr>
        <w:t>plates</w:t>
      </w:r>
      <w:r w:rsidR="00393F57" w:rsidRPr="00706680">
        <w:rPr>
          <w:lang w:val="en-IE"/>
        </w:rPr>
        <w:t xml:space="preserve"> are incubated at 37°C in a 5%</w:t>
      </w:r>
      <w:r w:rsidR="00687197" w:rsidRPr="00706680">
        <w:rPr>
          <w:lang w:val="en-IE"/>
        </w:rPr>
        <w:t xml:space="preserve"> </w:t>
      </w:r>
      <w:r w:rsidRPr="00706680">
        <w:rPr>
          <w:lang w:val="en-IE"/>
        </w:rPr>
        <w:t>CO</w:t>
      </w:r>
      <w:r w:rsidRPr="00C44BA7">
        <w:rPr>
          <w:vertAlign w:val="subscript"/>
          <w:lang w:val="en-IE"/>
        </w:rPr>
        <w:t>2</w:t>
      </w:r>
      <w:r w:rsidRPr="00706680">
        <w:rPr>
          <w:lang w:val="en-IE"/>
        </w:rPr>
        <w:t xml:space="preserve"> </w:t>
      </w:r>
      <w:r w:rsidR="006311FC" w:rsidRPr="00706680">
        <w:rPr>
          <w:lang w:val="en-IE"/>
        </w:rPr>
        <w:t xml:space="preserve">atmosphere and </w:t>
      </w:r>
      <w:r w:rsidRPr="00706680">
        <w:rPr>
          <w:lang w:val="en-IE"/>
        </w:rPr>
        <w:t>should be inspected</w:t>
      </w:r>
      <w:r w:rsidR="00B504CC" w:rsidRPr="00706680">
        <w:rPr>
          <w:lang w:val="en-IE"/>
        </w:rPr>
        <w:t xml:space="preserve"> </w:t>
      </w:r>
      <w:r w:rsidR="00136E5B" w:rsidRPr="00706680">
        <w:rPr>
          <w:lang w:val="en-IE"/>
        </w:rPr>
        <w:t xml:space="preserve">daily for </w:t>
      </w:r>
      <w:r w:rsidR="006311FC" w:rsidRPr="00706680">
        <w:rPr>
          <w:lang w:val="en-IE"/>
        </w:rPr>
        <w:t>up to 10</w:t>
      </w:r>
      <w:r w:rsidR="001B4922">
        <w:rPr>
          <w:lang w:val="en-IE"/>
        </w:rPr>
        <w:t> </w:t>
      </w:r>
      <w:r w:rsidR="00136E5B" w:rsidRPr="00706680">
        <w:rPr>
          <w:lang w:val="en-IE"/>
        </w:rPr>
        <w:t>day</w:t>
      </w:r>
      <w:r w:rsidR="001C712D" w:rsidRPr="00706680">
        <w:rPr>
          <w:lang w:val="en-IE"/>
        </w:rPr>
        <w:t>s</w:t>
      </w:r>
      <w:r w:rsidR="00056E1D" w:rsidRPr="00706680">
        <w:rPr>
          <w:lang w:val="en-IE"/>
        </w:rPr>
        <w:t>.</w:t>
      </w:r>
      <w:r w:rsidRPr="00706680">
        <w:rPr>
          <w:lang w:val="en-IE"/>
        </w:rPr>
        <w:t xml:space="preserve"> </w:t>
      </w:r>
      <w:r w:rsidR="006311FC" w:rsidRPr="00706680">
        <w:rPr>
          <w:lang w:val="en-IE"/>
        </w:rPr>
        <w:t xml:space="preserve">After this time if there is no growth, the </w:t>
      </w:r>
      <w:r w:rsidR="00A5591F" w:rsidRPr="00706680">
        <w:rPr>
          <w:lang w:val="en-IE"/>
        </w:rPr>
        <w:t xml:space="preserve">sample </w:t>
      </w:r>
      <w:r w:rsidR="006311FC" w:rsidRPr="00706680">
        <w:rPr>
          <w:lang w:val="en-IE"/>
        </w:rPr>
        <w:t xml:space="preserve">is considered negative. Positive samples in liquid medium show </w:t>
      </w:r>
      <w:r w:rsidRPr="00706680">
        <w:rPr>
          <w:lang w:val="en-IE"/>
        </w:rPr>
        <w:t>a homogeneous cloudiness</w:t>
      </w:r>
      <w:r w:rsidR="00A5591F" w:rsidRPr="00706680">
        <w:rPr>
          <w:lang w:val="en-IE"/>
        </w:rPr>
        <w:t>,</w:t>
      </w:r>
      <w:r w:rsidRPr="00706680">
        <w:rPr>
          <w:lang w:val="en-IE"/>
        </w:rPr>
        <w:t xml:space="preserve"> usually within 2–4 days</w:t>
      </w:r>
      <w:r w:rsidR="00F22C33">
        <w:rPr>
          <w:lang w:val="en-IE"/>
        </w:rPr>
        <w:t xml:space="preserve">. </w:t>
      </w:r>
      <w:r w:rsidR="00F22C33" w:rsidRPr="00A4162A">
        <w:rPr>
          <w:u w:val="double"/>
          <w:lang w:val="en-IE"/>
        </w:rPr>
        <w:t>They</w:t>
      </w:r>
      <w:r w:rsidR="00F22C33" w:rsidRPr="00706680">
        <w:rPr>
          <w:lang w:val="en-IE"/>
        </w:rPr>
        <w:t xml:space="preserve"> </w:t>
      </w:r>
      <w:r w:rsidRPr="00706680">
        <w:rPr>
          <w:lang w:val="en-IE"/>
        </w:rPr>
        <w:t xml:space="preserve">frequently </w:t>
      </w:r>
      <w:r w:rsidR="00F22C33" w:rsidRPr="00A4162A">
        <w:rPr>
          <w:u w:val="double"/>
          <w:lang w:val="en-IE"/>
        </w:rPr>
        <w:t>present</w:t>
      </w:r>
      <w:r w:rsidR="00F22C33">
        <w:rPr>
          <w:lang w:val="en-IE"/>
        </w:rPr>
        <w:t xml:space="preserve"> </w:t>
      </w:r>
      <w:r w:rsidRPr="00A4162A">
        <w:rPr>
          <w:strike/>
          <w:lang w:val="en-IE"/>
        </w:rPr>
        <w:t xml:space="preserve">with </w:t>
      </w:r>
      <w:r w:rsidRPr="00706680">
        <w:rPr>
          <w:lang w:val="en-IE"/>
        </w:rPr>
        <w:t xml:space="preserve">a silky, fragile filament called a ‘comet’. During the following days a uniform opacity develops </w:t>
      </w:r>
      <w:r w:rsidR="00A5591F" w:rsidRPr="00706680">
        <w:rPr>
          <w:lang w:val="en-IE"/>
        </w:rPr>
        <w:t xml:space="preserve">which forms swirls </w:t>
      </w:r>
      <w:r w:rsidRPr="00706680">
        <w:rPr>
          <w:lang w:val="en-IE"/>
        </w:rPr>
        <w:t xml:space="preserve">when shaken. On agar media, the colonies are small (1 mm in diameter) and have the classical appearance of ‘fried eggs’ with a dense centre. At this stage, </w:t>
      </w:r>
      <w:r w:rsidR="00C63BCD" w:rsidRPr="00706680">
        <w:rPr>
          <w:lang w:val="en-IE"/>
        </w:rPr>
        <w:t xml:space="preserve">biochemical tests, </w:t>
      </w:r>
      <w:r w:rsidRPr="00706680">
        <w:rPr>
          <w:lang w:val="en-IE"/>
        </w:rPr>
        <w:t>the indirect fluorescent antibody (IFA) test</w:t>
      </w:r>
      <w:r w:rsidR="006C44B1" w:rsidRPr="00706680">
        <w:rPr>
          <w:lang w:val="en-IE"/>
        </w:rPr>
        <w:t xml:space="preserve"> or </w:t>
      </w:r>
      <w:r w:rsidR="006E7FB5" w:rsidRPr="00706680">
        <w:rPr>
          <w:lang w:val="en-IE"/>
        </w:rPr>
        <w:t>polymerase chain reaction (PCR)</w:t>
      </w:r>
      <w:r w:rsidRPr="00706680">
        <w:rPr>
          <w:lang w:val="en-IE"/>
        </w:rPr>
        <w:t xml:space="preserve"> can be performed</w:t>
      </w:r>
      <w:r w:rsidR="00C63BCD" w:rsidRPr="00706680">
        <w:rPr>
          <w:lang w:val="en-IE"/>
        </w:rPr>
        <w:t xml:space="preserve"> to identify the colonies</w:t>
      </w:r>
      <w:r w:rsidRPr="00706680">
        <w:rPr>
          <w:lang w:val="en-IE"/>
        </w:rPr>
        <w:t>.</w:t>
      </w:r>
    </w:p>
    <w:p w14:paraId="493F947C" w14:textId="77777777" w:rsidR="00093494" w:rsidRPr="00706680" w:rsidRDefault="00972AA8" w:rsidP="00687197">
      <w:pPr>
        <w:pStyle w:val="11"/>
        <w:rPr>
          <w:bCs/>
          <w:lang w:val="en-IE"/>
        </w:rPr>
      </w:pPr>
      <w:r w:rsidRPr="00706680">
        <w:rPr>
          <w:bCs/>
          <w:lang w:val="en-IE"/>
        </w:rPr>
        <w:t>1.</w:t>
      </w:r>
      <w:r w:rsidR="00687197" w:rsidRPr="00706680">
        <w:rPr>
          <w:bCs/>
          <w:lang w:val="en-IE"/>
        </w:rPr>
        <w:t>3</w:t>
      </w:r>
      <w:r w:rsidRPr="00706680">
        <w:rPr>
          <w:bCs/>
          <w:lang w:val="en-IE"/>
        </w:rPr>
        <w:t>.</w:t>
      </w:r>
      <w:r w:rsidR="00093494" w:rsidRPr="00706680">
        <w:rPr>
          <w:bCs/>
          <w:lang w:val="en-IE"/>
        </w:rPr>
        <w:tab/>
        <w:t xml:space="preserve">Biochemical </w:t>
      </w:r>
      <w:r w:rsidR="00C63BCD" w:rsidRPr="00706680">
        <w:rPr>
          <w:bCs/>
          <w:lang w:val="en-IE"/>
        </w:rPr>
        <w:t xml:space="preserve">and immunological identification </w:t>
      </w:r>
      <w:r w:rsidR="00093494" w:rsidRPr="00706680">
        <w:rPr>
          <w:bCs/>
          <w:lang w:val="en-IE"/>
        </w:rPr>
        <w:t>tests</w:t>
      </w:r>
    </w:p>
    <w:p w14:paraId="2730368F" w14:textId="77777777" w:rsidR="00AB5BC4" w:rsidRPr="00706680" w:rsidRDefault="004812D5" w:rsidP="00687197">
      <w:pPr>
        <w:pStyle w:val="11Para"/>
        <w:rPr>
          <w:lang w:val="en-IE"/>
        </w:rPr>
      </w:pPr>
      <w:r w:rsidRPr="00706680">
        <w:rPr>
          <w:lang w:val="en-IE"/>
        </w:rPr>
        <w:t>Biochemical tests were used routinely in the past but have</w:t>
      </w:r>
      <w:r w:rsidR="00656C3D" w:rsidRPr="00706680">
        <w:rPr>
          <w:lang w:val="en-IE"/>
        </w:rPr>
        <w:t xml:space="preserve"> now</w:t>
      </w:r>
      <w:r w:rsidRPr="00706680">
        <w:rPr>
          <w:lang w:val="en-IE"/>
        </w:rPr>
        <w:t xml:space="preserve"> been supersed</w:t>
      </w:r>
      <w:r w:rsidR="00656C3D" w:rsidRPr="00706680">
        <w:rPr>
          <w:lang w:val="en-IE"/>
        </w:rPr>
        <w:t>ed by other tests</w:t>
      </w:r>
      <w:r w:rsidR="00253622" w:rsidRPr="00706680">
        <w:rPr>
          <w:lang w:val="en-IE"/>
        </w:rPr>
        <w:t>, namely the PCR</w:t>
      </w:r>
      <w:r w:rsidR="00656C3D" w:rsidRPr="00706680">
        <w:rPr>
          <w:lang w:val="en-IE"/>
        </w:rPr>
        <w:t>. B</w:t>
      </w:r>
      <w:r w:rsidRPr="00706680">
        <w:rPr>
          <w:lang w:val="en-IE"/>
        </w:rPr>
        <w:t xml:space="preserve">iochemical tests alone do </w:t>
      </w:r>
      <w:r w:rsidR="00656C3D" w:rsidRPr="00706680">
        <w:rPr>
          <w:lang w:val="en-IE"/>
        </w:rPr>
        <w:t xml:space="preserve">not allow identification of a precise </w:t>
      </w:r>
      <w:r w:rsidR="00687197" w:rsidRPr="00706680">
        <w:rPr>
          <w:i/>
          <w:lang w:val="en-IE"/>
        </w:rPr>
        <w:t>M</w:t>
      </w:r>
      <w:r w:rsidR="00656C3D" w:rsidRPr="00706680">
        <w:rPr>
          <w:i/>
          <w:lang w:val="en-IE"/>
        </w:rPr>
        <w:t>ycoplasma</w:t>
      </w:r>
      <w:r w:rsidR="00656C3D" w:rsidRPr="00706680">
        <w:rPr>
          <w:lang w:val="en-IE"/>
        </w:rPr>
        <w:t xml:space="preserve"> </w:t>
      </w:r>
      <w:r w:rsidRPr="00706680">
        <w:rPr>
          <w:lang w:val="en-IE"/>
        </w:rPr>
        <w:t>species</w:t>
      </w:r>
      <w:r w:rsidR="00093494" w:rsidRPr="00706680">
        <w:rPr>
          <w:lang w:val="en-IE"/>
        </w:rPr>
        <w:t xml:space="preserve"> </w:t>
      </w:r>
      <w:r w:rsidR="00253622" w:rsidRPr="00706680">
        <w:rPr>
          <w:lang w:val="en-IE"/>
        </w:rPr>
        <w:t xml:space="preserve">because of overlapping of the few phenotypic traits that can be evaluated. Therefore, molecular tests such as PCR are recommended for identification of isolates. </w:t>
      </w:r>
      <w:r w:rsidR="00AB5BC4" w:rsidRPr="00706680">
        <w:rPr>
          <w:lang w:val="en-IE"/>
        </w:rPr>
        <w:t>The biochemical methods are given below for historic reasons.</w:t>
      </w:r>
    </w:p>
    <w:p w14:paraId="7FA9D9CC" w14:textId="77777777" w:rsidR="00093494" w:rsidRPr="00A304D2" w:rsidRDefault="00687197" w:rsidP="00687197">
      <w:pPr>
        <w:pStyle w:val="11Para"/>
        <w:rPr>
          <w:lang w:val="en-IE"/>
        </w:rPr>
      </w:pPr>
      <w:r w:rsidRPr="00706680">
        <w:rPr>
          <w:lang w:val="en-IE"/>
        </w:rPr>
        <w:t>Following</w:t>
      </w:r>
      <w:r w:rsidR="00253622" w:rsidRPr="00706680">
        <w:rPr>
          <w:lang w:val="en-IE"/>
        </w:rPr>
        <w:t xml:space="preserve"> </w:t>
      </w:r>
      <w:r w:rsidR="00093494" w:rsidRPr="00706680">
        <w:rPr>
          <w:lang w:val="en-IE"/>
        </w:rPr>
        <w:t xml:space="preserve">subculture, antibiotics should be omitted from the medium to check if the isolate is a mycoplasma or an L-form of a bacterium that will regain its original form in the medium without inhibitors. Once this test is done, the organism can be identified using biochemical </w:t>
      </w:r>
      <w:r w:rsidR="00093494" w:rsidRPr="00A304D2">
        <w:rPr>
          <w:lang w:val="en-IE"/>
        </w:rPr>
        <w:t>tests (</w:t>
      </w:r>
      <w:r w:rsidR="00102669" w:rsidRPr="00A304D2">
        <w:rPr>
          <w:lang w:val="en-IE"/>
        </w:rPr>
        <w:t xml:space="preserve">Freundt </w:t>
      </w:r>
      <w:r w:rsidR="00656C3D" w:rsidRPr="00A304D2">
        <w:rPr>
          <w:i/>
          <w:lang w:val="en-IE"/>
        </w:rPr>
        <w:t>et al</w:t>
      </w:r>
      <w:r w:rsidR="00102669" w:rsidRPr="00A304D2">
        <w:rPr>
          <w:lang w:val="en-IE"/>
        </w:rPr>
        <w:t>., 1979</w:t>
      </w:r>
      <w:r w:rsidR="00093494" w:rsidRPr="00A304D2">
        <w:rPr>
          <w:lang w:val="en-IE"/>
        </w:rPr>
        <w:t>).</w:t>
      </w:r>
    </w:p>
    <w:p w14:paraId="32155CBF" w14:textId="77777777" w:rsidR="00093494" w:rsidRPr="00A304D2" w:rsidRDefault="003163B1" w:rsidP="00687197">
      <w:pPr>
        <w:pStyle w:val="11Para"/>
        <w:rPr>
          <w:lang w:val="en-IE"/>
        </w:rPr>
      </w:pPr>
      <w:r w:rsidRPr="00A304D2">
        <w:rPr>
          <w:i/>
          <w:lang w:val="en-IE"/>
        </w:rPr>
        <w:t>Mmm</w:t>
      </w:r>
      <w:r w:rsidRPr="00A304D2">
        <w:rPr>
          <w:strike/>
          <w:lang w:val="en-IE"/>
        </w:rPr>
        <w:t>SC</w:t>
      </w:r>
      <w:r w:rsidR="00A4162A" w:rsidRPr="00A304D2">
        <w:rPr>
          <w:lang w:val="en-IE"/>
        </w:rPr>
        <w:t xml:space="preserve"> </w:t>
      </w:r>
      <w:r w:rsidR="00372A4E" w:rsidRPr="00A304D2">
        <w:rPr>
          <w:u w:val="double"/>
          <w:lang w:val="en-IE"/>
        </w:rPr>
        <w:t xml:space="preserve">needs </w:t>
      </w:r>
      <w:r w:rsidR="009819E5" w:rsidRPr="00A304D2">
        <w:rPr>
          <w:u w:val="double"/>
          <w:lang w:val="en-IE"/>
        </w:rPr>
        <w:t xml:space="preserve">cholesterol </w:t>
      </w:r>
      <w:r w:rsidR="00E617DF" w:rsidRPr="00A304D2">
        <w:rPr>
          <w:u w:val="double"/>
          <w:lang w:val="en-IE"/>
        </w:rPr>
        <w:t xml:space="preserve">to grow </w:t>
      </w:r>
      <w:r w:rsidR="00372A4E" w:rsidRPr="00A304D2">
        <w:rPr>
          <w:u w:val="double"/>
          <w:lang w:val="en-IE"/>
        </w:rPr>
        <w:t xml:space="preserve">and </w:t>
      </w:r>
      <w:r w:rsidR="00093494" w:rsidRPr="00A304D2">
        <w:rPr>
          <w:u w:val="double"/>
          <w:lang w:val="en-IE"/>
        </w:rPr>
        <w:t>is</w:t>
      </w:r>
      <w:r w:rsidR="00372A4E" w:rsidRPr="00A304D2">
        <w:rPr>
          <w:u w:val="double"/>
          <w:lang w:val="en-IE"/>
        </w:rPr>
        <w:t>, therefore,</w:t>
      </w:r>
      <w:r w:rsidR="00372A4E" w:rsidRPr="00A304D2">
        <w:rPr>
          <w:lang w:val="en-IE"/>
        </w:rPr>
        <w:t xml:space="preserve"> </w:t>
      </w:r>
      <w:r w:rsidR="00093494" w:rsidRPr="00A304D2">
        <w:rPr>
          <w:lang w:val="en-IE"/>
        </w:rPr>
        <w:t xml:space="preserve">sensitive to digitonin (like all members of the order Mycoplasmatales), does not produce ‘film and spots’, ferments glucose, reduces tetrazolium salts (aerobically </w:t>
      </w:r>
      <w:r w:rsidR="00093494" w:rsidRPr="00A304D2">
        <w:rPr>
          <w:strike/>
          <w:lang w:val="en-IE"/>
        </w:rPr>
        <w:t xml:space="preserve">or </w:t>
      </w:r>
      <w:r w:rsidR="009819E5" w:rsidRPr="00A304D2">
        <w:rPr>
          <w:u w:val="double"/>
          <w:lang w:val="en-IE"/>
        </w:rPr>
        <w:t>and</w:t>
      </w:r>
      <w:r w:rsidR="009819E5" w:rsidRPr="00A304D2">
        <w:rPr>
          <w:lang w:val="en-IE"/>
        </w:rPr>
        <w:t xml:space="preserve"> </w:t>
      </w:r>
      <w:r w:rsidR="00093494" w:rsidRPr="00A304D2">
        <w:rPr>
          <w:lang w:val="en-IE"/>
        </w:rPr>
        <w:t xml:space="preserve">anaerobically), does not hydrolyse arginine, has no phosphatase activity, and has no or weak proteolytic </w:t>
      </w:r>
      <w:r w:rsidR="00093494" w:rsidRPr="00A304D2">
        <w:rPr>
          <w:strike/>
          <w:lang w:val="en-IE"/>
        </w:rPr>
        <w:t>properties</w:t>
      </w:r>
      <w:r w:rsidR="00A4162A" w:rsidRPr="00A304D2">
        <w:rPr>
          <w:strike/>
          <w:lang w:val="en-IE"/>
        </w:rPr>
        <w:t xml:space="preserve"> </w:t>
      </w:r>
      <w:r w:rsidR="009819E5" w:rsidRPr="00A304D2">
        <w:rPr>
          <w:u w:val="double"/>
          <w:lang w:val="en-IE"/>
        </w:rPr>
        <w:t>activity</w:t>
      </w:r>
      <w:r w:rsidR="00093494" w:rsidRPr="00A304D2">
        <w:rPr>
          <w:lang w:val="en-IE"/>
        </w:rPr>
        <w:t>.</w:t>
      </w:r>
    </w:p>
    <w:p w14:paraId="7893EC1E" w14:textId="77777777" w:rsidR="00093494" w:rsidRPr="00A304D2" w:rsidRDefault="00093494" w:rsidP="00687197">
      <w:pPr>
        <w:pStyle w:val="11Para"/>
        <w:rPr>
          <w:lang w:val="en-IE"/>
        </w:rPr>
      </w:pPr>
      <w:r w:rsidRPr="00A304D2">
        <w:rPr>
          <w:lang w:val="en-IE"/>
        </w:rPr>
        <w:t xml:space="preserve">For these tests, special media have been developed that include the same basic ingredients (heart-infusion broth or Bacto PPLO  broth, horse serum, 25% yeast extract solution, 0.2% DNA solution), to which is added 1% of a 50% glucose solution for glucose hydrolysis, 4% of a 38% arginine HCl solution for arginine hydrolysis, and 1% of a 2% triphenyl tetrazolium chloride solution for tetrazolium reduction, </w:t>
      </w:r>
      <w:r w:rsidR="00687197" w:rsidRPr="00A304D2">
        <w:rPr>
          <w:lang w:val="en-IE"/>
        </w:rPr>
        <w:t>as well as</w:t>
      </w:r>
      <w:r w:rsidRPr="00A304D2">
        <w:rPr>
          <w:lang w:val="en-IE"/>
        </w:rPr>
        <w:t xml:space="preserve"> a pH indicator (e.g. phenol red). (</w:t>
      </w:r>
      <w:r w:rsidRPr="00A304D2">
        <w:rPr>
          <w:caps/>
          <w:lang w:val="en-IE"/>
        </w:rPr>
        <w:t>Note</w:t>
      </w:r>
      <w:r w:rsidRPr="00A304D2">
        <w:rPr>
          <w:lang w:val="en-IE"/>
        </w:rPr>
        <w:t>: a pH indicator should not be added to a medium containing triphenyl tetrazolium chloride.) For demonstration of proteolysis, growth is carried out on casein agar and/or coagulated serum agar.</w:t>
      </w:r>
    </w:p>
    <w:p w14:paraId="5DD627D8" w14:textId="77777777" w:rsidR="00093494" w:rsidRPr="00A304D2" w:rsidRDefault="00093494" w:rsidP="00687197">
      <w:pPr>
        <w:pStyle w:val="11Para"/>
        <w:rPr>
          <w:lang w:val="en-IE"/>
        </w:rPr>
      </w:pPr>
      <w:r w:rsidRPr="00A304D2">
        <w:rPr>
          <w:lang w:val="en-IE"/>
        </w:rPr>
        <w:t xml:space="preserve">Once the biochemical characteristics have been checked, one of the following immunological tests </w:t>
      </w:r>
      <w:r w:rsidR="00954E69" w:rsidRPr="00A304D2">
        <w:rPr>
          <w:lang w:val="en-IE"/>
        </w:rPr>
        <w:t>can</w:t>
      </w:r>
      <w:r w:rsidRPr="00A304D2">
        <w:rPr>
          <w:lang w:val="en-IE"/>
        </w:rPr>
        <w:t xml:space="preserve"> be performed to confirm the identification: disk growth inhibition test (DGIT)</w:t>
      </w:r>
      <w:r w:rsidR="00E56ADB" w:rsidRPr="00A304D2">
        <w:rPr>
          <w:lang w:val="en-IE"/>
        </w:rPr>
        <w:t xml:space="preserve"> (Freundt </w:t>
      </w:r>
      <w:r w:rsidR="00E56ADB" w:rsidRPr="00A304D2">
        <w:rPr>
          <w:i/>
          <w:lang w:val="en-IE"/>
        </w:rPr>
        <w:t>et al</w:t>
      </w:r>
      <w:r w:rsidR="00E56ADB" w:rsidRPr="00A304D2">
        <w:rPr>
          <w:lang w:val="en-IE"/>
        </w:rPr>
        <w:t>., 1979)</w:t>
      </w:r>
      <w:r w:rsidRPr="00A304D2">
        <w:rPr>
          <w:lang w:val="en-IE"/>
        </w:rPr>
        <w:t xml:space="preserve">, fluorescent antibody test (FAT), </w:t>
      </w:r>
      <w:r w:rsidR="00E56ADB" w:rsidRPr="00A304D2">
        <w:rPr>
          <w:lang w:val="en-IE"/>
        </w:rPr>
        <w:t>IFA, agar gel immunodiffusion test (AGID) (Provost, 1972)</w:t>
      </w:r>
      <w:r w:rsidR="00687197" w:rsidRPr="00A304D2">
        <w:rPr>
          <w:lang w:val="en-IE"/>
        </w:rPr>
        <w:t>,</w:t>
      </w:r>
      <w:r w:rsidR="00E56ADB" w:rsidRPr="00A304D2">
        <w:rPr>
          <w:lang w:val="en-IE"/>
        </w:rPr>
        <w:t xml:space="preserve"> </w:t>
      </w:r>
      <w:r w:rsidR="00687197" w:rsidRPr="00A304D2">
        <w:rPr>
          <w:lang w:val="en-IE"/>
        </w:rPr>
        <w:t>or</w:t>
      </w:r>
      <w:r w:rsidRPr="00A304D2">
        <w:rPr>
          <w:lang w:val="en-IE"/>
        </w:rPr>
        <w:t xml:space="preserve"> dot immunobinding on a membrane filter (MF-dot) test</w:t>
      </w:r>
      <w:r w:rsidR="00E56ADB" w:rsidRPr="00A304D2">
        <w:rPr>
          <w:lang w:val="en-IE"/>
        </w:rPr>
        <w:t xml:space="preserve"> (Brocchi </w:t>
      </w:r>
      <w:r w:rsidR="00E56ADB" w:rsidRPr="00A304D2">
        <w:rPr>
          <w:i/>
          <w:lang w:val="en-IE"/>
        </w:rPr>
        <w:t>et al</w:t>
      </w:r>
      <w:r w:rsidR="00E56ADB" w:rsidRPr="00A304D2">
        <w:rPr>
          <w:lang w:val="en-IE"/>
        </w:rPr>
        <w:t>., 1993)</w:t>
      </w:r>
      <w:r w:rsidRPr="00A304D2">
        <w:rPr>
          <w:lang w:val="en-IE"/>
        </w:rPr>
        <w:t>.</w:t>
      </w:r>
      <w:r w:rsidR="00954E69" w:rsidRPr="00A304D2">
        <w:rPr>
          <w:lang w:val="en-IE"/>
        </w:rPr>
        <w:t xml:space="preserve"> </w:t>
      </w:r>
    </w:p>
    <w:p w14:paraId="7BC36780" w14:textId="77777777" w:rsidR="00AB5BC4" w:rsidRPr="00706680" w:rsidRDefault="00AB5BC4" w:rsidP="00AB5BC4">
      <w:pPr>
        <w:pStyle w:val="11Para"/>
        <w:rPr>
          <w:lang w:val="en-IE"/>
        </w:rPr>
      </w:pPr>
      <w:r w:rsidRPr="00A304D2">
        <w:rPr>
          <w:lang w:val="en-IE"/>
        </w:rPr>
        <w:t xml:space="preserve">At present, few laboratories use immunochemical tests on a routine basis for </w:t>
      </w:r>
      <w:r w:rsidRPr="00A304D2">
        <w:rPr>
          <w:strike/>
          <w:lang w:val="en-IE"/>
        </w:rPr>
        <w:t>detection and</w:t>
      </w:r>
      <w:r w:rsidRPr="00A4162A">
        <w:rPr>
          <w:strike/>
          <w:lang w:val="en-IE"/>
        </w:rPr>
        <w:t xml:space="preserve"> </w:t>
      </w:r>
      <w:r w:rsidRPr="00706680">
        <w:rPr>
          <w:lang w:val="en-IE"/>
        </w:rPr>
        <w:t xml:space="preserve">identification of </w:t>
      </w:r>
      <w:r w:rsidR="003163B1" w:rsidRPr="00706680">
        <w:rPr>
          <w:i/>
          <w:lang w:val="en-IE"/>
        </w:rPr>
        <w:t>Mmm</w:t>
      </w:r>
      <w:r w:rsidR="003163B1" w:rsidRPr="00A4162A">
        <w:rPr>
          <w:strike/>
          <w:lang w:val="en-IE"/>
        </w:rPr>
        <w:t>SC</w:t>
      </w:r>
      <w:r w:rsidR="00830CFC" w:rsidRPr="00706680">
        <w:rPr>
          <w:lang w:val="en-IE"/>
        </w:rPr>
        <w:t xml:space="preserve"> </w:t>
      </w:r>
      <w:r w:rsidR="00E617DF">
        <w:rPr>
          <w:lang w:val="en-IE"/>
        </w:rPr>
        <w:t xml:space="preserve">due to </w:t>
      </w:r>
      <w:r w:rsidRPr="00706680">
        <w:rPr>
          <w:lang w:val="en-IE"/>
        </w:rPr>
        <w:t xml:space="preserve">the development of PCR-based tests that are more specific, sensitive, rapid and easy to perform and standardise. </w:t>
      </w:r>
    </w:p>
    <w:p w14:paraId="12669822" w14:textId="77777777" w:rsidR="00E56ADB" w:rsidRPr="00706680" w:rsidRDefault="00972AA8" w:rsidP="00687197">
      <w:pPr>
        <w:pStyle w:val="11"/>
        <w:rPr>
          <w:bCs/>
          <w:lang w:val="en-IE"/>
        </w:rPr>
      </w:pPr>
      <w:r w:rsidRPr="00706680">
        <w:rPr>
          <w:bCs/>
          <w:lang w:val="en-IE"/>
        </w:rPr>
        <w:t>1.</w:t>
      </w:r>
      <w:r w:rsidR="00687197" w:rsidRPr="00706680">
        <w:rPr>
          <w:bCs/>
          <w:lang w:val="en-IE"/>
        </w:rPr>
        <w:t>4</w:t>
      </w:r>
      <w:r w:rsidRPr="00706680">
        <w:rPr>
          <w:bCs/>
          <w:lang w:val="en-IE"/>
        </w:rPr>
        <w:t>.</w:t>
      </w:r>
      <w:r w:rsidR="00F02585" w:rsidRPr="00706680">
        <w:rPr>
          <w:bCs/>
          <w:lang w:val="en-IE"/>
        </w:rPr>
        <w:tab/>
        <w:t>Molecular identification and typing methods – polymerase chain reaction (PCR)-based tests</w:t>
      </w:r>
    </w:p>
    <w:p w14:paraId="04E702EF" w14:textId="77777777" w:rsidR="00F02585" w:rsidRPr="00706680" w:rsidRDefault="00F02585" w:rsidP="00687197">
      <w:pPr>
        <w:pStyle w:val="11Para"/>
        <w:rPr>
          <w:lang w:val="en-IE"/>
        </w:rPr>
      </w:pPr>
      <w:r w:rsidRPr="00706680">
        <w:rPr>
          <w:lang w:val="en-IE"/>
        </w:rPr>
        <w:t>See Chapter 1.1.</w:t>
      </w:r>
      <w:r w:rsidR="004F49A4">
        <w:rPr>
          <w:lang w:val="en-IE"/>
        </w:rPr>
        <w:t>6</w:t>
      </w:r>
      <w:r w:rsidRPr="00706680">
        <w:rPr>
          <w:lang w:val="en-IE"/>
        </w:rPr>
        <w:t xml:space="preserve"> </w:t>
      </w:r>
      <w:hyperlink r:id="rId8" w:history="1">
        <w:r w:rsidR="00D81CCB" w:rsidRPr="00706680">
          <w:rPr>
            <w:rStyle w:val="Lienhypertexte"/>
            <w:i/>
            <w:color w:val="auto"/>
            <w:u w:val="none"/>
          </w:rPr>
          <w:t>Principles and methods of validation of diagnostic assays for infectious diseases</w:t>
        </w:r>
      </w:hyperlink>
      <w:r w:rsidR="00687197" w:rsidRPr="00706680">
        <w:rPr>
          <w:rStyle w:val="Lienhypertexte"/>
          <w:color w:val="auto"/>
          <w:u w:val="none"/>
        </w:rPr>
        <w:t xml:space="preserve"> </w:t>
      </w:r>
      <w:r w:rsidRPr="00706680">
        <w:rPr>
          <w:lang w:val="en-IE"/>
        </w:rPr>
        <w:t>for further details of</w:t>
      </w:r>
      <w:r w:rsidR="00D81CCB" w:rsidRPr="00706680">
        <w:rPr>
          <w:lang w:val="en-IE"/>
        </w:rPr>
        <w:t xml:space="preserve"> implementation and validation</w:t>
      </w:r>
      <w:r w:rsidR="00687197" w:rsidRPr="00706680">
        <w:rPr>
          <w:lang w:val="en-IE"/>
        </w:rPr>
        <w:t xml:space="preserve"> of PCR-based tests</w:t>
      </w:r>
      <w:r w:rsidR="00D81CCB" w:rsidRPr="00706680">
        <w:rPr>
          <w:lang w:val="en-IE"/>
        </w:rPr>
        <w:t>.</w:t>
      </w:r>
    </w:p>
    <w:p w14:paraId="2D682F3E" w14:textId="77777777" w:rsidR="00F02585" w:rsidRPr="00706680" w:rsidRDefault="00F02585" w:rsidP="00687197">
      <w:pPr>
        <w:pStyle w:val="11Para"/>
        <w:rPr>
          <w:lang w:val="en-IE"/>
        </w:rPr>
      </w:pPr>
      <w:r w:rsidRPr="00706680">
        <w:rPr>
          <w:lang w:val="en-IE"/>
        </w:rPr>
        <w:t xml:space="preserve">PCR has become the method of choice for </w:t>
      </w:r>
      <w:r w:rsidR="00687197" w:rsidRPr="00706680">
        <w:rPr>
          <w:lang w:val="en-IE"/>
        </w:rPr>
        <w:t xml:space="preserve">the </w:t>
      </w:r>
      <w:r w:rsidRPr="00706680">
        <w:rPr>
          <w:lang w:val="en-IE"/>
        </w:rPr>
        <w:t xml:space="preserve">rapid and specific </w:t>
      </w:r>
      <w:r w:rsidR="00687197" w:rsidRPr="00706680">
        <w:rPr>
          <w:lang w:val="en-IE"/>
        </w:rPr>
        <w:t xml:space="preserve">identification of </w:t>
      </w:r>
      <w:r w:rsidR="003163B1" w:rsidRPr="00706680">
        <w:rPr>
          <w:i/>
          <w:lang w:val="en-IE"/>
        </w:rPr>
        <w:t>Mmm</w:t>
      </w:r>
      <w:r w:rsidR="003163B1" w:rsidRPr="00A4162A">
        <w:rPr>
          <w:strike/>
          <w:lang w:val="en-IE"/>
        </w:rPr>
        <w:t>SC</w:t>
      </w:r>
      <w:r w:rsidR="003163B1" w:rsidRPr="00706680">
        <w:rPr>
          <w:lang w:val="en-IE"/>
        </w:rPr>
        <w:t xml:space="preserve"> </w:t>
      </w:r>
      <w:r w:rsidRPr="00706680">
        <w:rPr>
          <w:lang w:val="en-IE"/>
        </w:rPr>
        <w:t xml:space="preserve">when the organism </w:t>
      </w:r>
      <w:r w:rsidR="00687197" w:rsidRPr="00706680">
        <w:rPr>
          <w:lang w:val="en-IE"/>
        </w:rPr>
        <w:t>is</w:t>
      </w:r>
      <w:r w:rsidRPr="00706680">
        <w:rPr>
          <w:lang w:val="en-IE"/>
        </w:rPr>
        <w:t xml:space="preserve"> isolated from a clinical sample. To avoid cross-contamination and carryover-contamination, </w:t>
      </w:r>
      <w:r w:rsidRPr="00706680">
        <w:rPr>
          <w:lang w:val="en-IE"/>
        </w:rPr>
        <w:lastRenderedPageBreak/>
        <w:t xml:space="preserve">strict separation of laboratory rooms, used for PCR preparation and handling of reactions, is needed. Various authors have developed a PCR system for </w:t>
      </w:r>
      <w:r w:rsidR="003163B1" w:rsidRPr="00706680">
        <w:rPr>
          <w:i/>
          <w:lang w:val="en-IE"/>
        </w:rPr>
        <w:t>Mmm</w:t>
      </w:r>
      <w:r w:rsidR="003163B1" w:rsidRPr="00A4162A">
        <w:rPr>
          <w:strike/>
          <w:lang w:val="en-IE"/>
        </w:rPr>
        <w:t>SC</w:t>
      </w:r>
      <w:r w:rsidR="003163B1" w:rsidRPr="00706680">
        <w:rPr>
          <w:lang w:val="en-IE"/>
        </w:rPr>
        <w:t xml:space="preserve"> </w:t>
      </w:r>
      <w:r w:rsidRPr="00706680">
        <w:rPr>
          <w:lang w:val="en-IE"/>
        </w:rPr>
        <w:t>identification and there is no prefer</w:t>
      </w:r>
      <w:r w:rsidR="00AB5BC4" w:rsidRPr="00706680">
        <w:rPr>
          <w:lang w:val="en-IE"/>
        </w:rPr>
        <w:t>red</w:t>
      </w:r>
      <w:r w:rsidRPr="00706680">
        <w:rPr>
          <w:lang w:val="en-IE"/>
        </w:rPr>
        <w:t xml:space="preserve"> one</w:t>
      </w:r>
      <w:r w:rsidR="00687197" w:rsidRPr="00706680">
        <w:rPr>
          <w:lang w:val="en-IE"/>
        </w:rPr>
        <w:t xml:space="preserve">, though the </w:t>
      </w:r>
      <w:r w:rsidRPr="00706680">
        <w:rPr>
          <w:lang w:val="en-IE"/>
        </w:rPr>
        <w:t xml:space="preserve">more sensitive, nested PCR should be avoided </w:t>
      </w:r>
      <w:r w:rsidR="00687197" w:rsidRPr="00706680">
        <w:rPr>
          <w:lang w:val="en-IE"/>
        </w:rPr>
        <w:t>because of the higher risk of PCR product</w:t>
      </w:r>
      <w:r w:rsidRPr="00706680">
        <w:rPr>
          <w:lang w:val="en-IE"/>
        </w:rPr>
        <w:t xml:space="preserve"> carryover, resulting in false positives. As the DNA target is not from a sample, where the number of cells vary and PCR inhibitors can be present, but from an isolate the sensitivity is not a critical point. Primers complementary to DNA regions CAP-21, </w:t>
      </w:r>
      <w:r w:rsidR="002E6D0A" w:rsidRPr="00A4162A">
        <w:rPr>
          <w:rFonts w:eastAsia="Times New Roman"/>
          <w:i/>
          <w:lang w:val="en-IE" w:eastAsia="pt-PT"/>
        </w:rPr>
        <w:t xml:space="preserve">lppA </w:t>
      </w:r>
      <w:r w:rsidRPr="00706680">
        <w:rPr>
          <w:lang w:val="en-IE"/>
        </w:rPr>
        <w:t xml:space="preserve">gene and 16S rRNA gene of the genome of </w:t>
      </w:r>
      <w:r w:rsidR="003163B1" w:rsidRPr="00706680">
        <w:rPr>
          <w:i/>
          <w:lang w:val="en-IE"/>
        </w:rPr>
        <w:t>Mmm</w:t>
      </w:r>
      <w:r w:rsidR="003163B1" w:rsidRPr="00A4162A">
        <w:rPr>
          <w:strike/>
          <w:lang w:val="en-IE"/>
        </w:rPr>
        <w:t>SC</w:t>
      </w:r>
      <w:r w:rsidR="003163B1" w:rsidRPr="00706680">
        <w:rPr>
          <w:lang w:val="en-IE"/>
        </w:rPr>
        <w:t xml:space="preserve"> </w:t>
      </w:r>
      <w:r w:rsidRPr="00706680">
        <w:rPr>
          <w:lang w:val="en-IE"/>
        </w:rPr>
        <w:t>have been designed by different authors and used in PCR systems, followed by restriction endonuclease analysis of the amplified product (amplicon) (PCR-REA) or by a second amplification (nested-PCR) (Table 2).</w:t>
      </w:r>
    </w:p>
    <w:p w14:paraId="10E91BA4" w14:textId="77777777" w:rsidR="00F02585" w:rsidRPr="00706680" w:rsidRDefault="00F02585" w:rsidP="00E420C2">
      <w:pPr>
        <w:pStyle w:val="paraa"/>
        <w:spacing w:after="120"/>
        <w:ind w:left="0"/>
        <w:jc w:val="center"/>
        <w:rPr>
          <w:rFonts w:ascii="Ottawa" w:hAnsi="Ottawa"/>
          <w:lang w:val="en-IE"/>
        </w:rPr>
      </w:pPr>
      <w:r w:rsidRPr="00706680">
        <w:rPr>
          <w:rFonts w:ascii="Ottawa" w:hAnsi="Ottawa"/>
          <w:b/>
          <w:i/>
          <w:lang w:val="en-IE"/>
        </w:rPr>
        <w:t>Table 2</w:t>
      </w:r>
      <w:r w:rsidRPr="00706680">
        <w:rPr>
          <w:rFonts w:ascii="Ottawa" w:hAnsi="Ottawa"/>
          <w:i/>
          <w:lang w:val="en-IE"/>
        </w:rPr>
        <w:t xml:space="preserve">. Conventional PCR systems </w:t>
      </w:r>
      <w:r w:rsidRPr="00A4162A">
        <w:rPr>
          <w:rFonts w:ascii="Ottawa" w:hAnsi="Ottawa"/>
          <w:i/>
          <w:strike/>
          <w:lang w:val="en-IE"/>
        </w:rPr>
        <w:t xml:space="preserve">most </w:t>
      </w:r>
      <w:r w:rsidR="00687197" w:rsidRPr="00A4162A">
        <w:rPr>
          <w:rFonts w:ascii="Ottawa" w:hAnsi="Ottawa"/>
          <w:i/>
          <w:strike/>
          <w:lang w:val="en-IE"/>
        </w:rPr>
        <w:t>often</w:t>
      </w:r>
      <w:r w:rsidR="00687197" w:rsidRPr="00706680">
        <w:rPr>
          <w:rFonts w:ascii="Ottawa" w:hAnsi="Ottawa"/>
          <w:i/>
          <w:lang w:val="en-IE"/>
        </w:rPr>
        <w:t xml:space="preserve"> </w:t>
      </w:r>
      <w:r w:rsidRPr="00706680">
        <w:rPr>
          <w:rFonts w:ascii="Ottawa" w:hAnsi="Ottawa"/>
          <w:i/>
          <w:lang w:val="en-IE"/>
        </w:rPr>
        <w:t xml:space="preserve">used for </w:t>
      </w:r>
      <w:r w:rsidR="003163B1" w:rsidRPr="00706680">
        <w:rPr>
          <w:rFonts w:ascii="Ottawa" w:hAnsi="Ottawa"/>
          <w:i/>
          <w:lang w:val="en-IE"/>
        </w:rPr>
        <w:t>Mmm</w:t>
      </w:r>
      <w:r w:rsidR="003163B1" w:rsidRPr="00A4162A">
        <w:rPr>
          <w:rFonts w:ascii="Ottawa" w:hAnsi="Ottawa"/>
          <w:strike/>
          <w:lang w:val="en-IE"/>
        </w:rPr>
        <w:t>SC</w:t>
      </w:r>
      <w:r w:rsidR="003163B1" w:rsidRPr="00706680">
        <w:rPr>
          <w:rFonts w:ascii="Ottawa" w:hAnsi="Ottawa"/>
          <w:i/>
          <w:lang w:val="en-IE"/>
        </w:rPr>
        <w:t xml:space="preserve"> </w:t>
      </w:r>
      <w:r w:rsidRPr="00706680">
        <w:rPr>
          <w:rFonts w:ascii="Ottawa" w:hAnsi="Ottawa"/>
          <w:i/>
          <w:lang w:val="en-IE"/>
        </w:rPr>
        <w:t>identification</w:t>
      </w:r>
    </w:p>
    <w:tbl>
      <w:tblPr>
        <w:tblW w:w="8965" w:type="dxa"/>
        <w:jc w:val="center"/>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1202"/>
        <w:gridCol w:w="1276"/>
        <w:gridCol w:w="1417"/>
        <w:gridCol w:w="1560"/>
        <w:gridCol w:w="1843"/>
        <w:gridCol w:w="1667"/>
      </w:tblGrid>
      <w:tr w:rsidR="00F02585" w:rsidRPr="00706680" w14:paraId="4BFF88F3" w14:textId="77777777" w:rsidTr="0002611F">
        <w:trPr>
          <w:trHeight w:val="601"/>
          <w:tblHeader/>
          <w:jc w:val="center"/>
        </w:trPr>
        <w:tc>
          <w:tcPr>
            <w:tcW w:w="1202" w:type="dxa"/>
            <w:tcBorders>
              <w:top w:val="single" w:sz="4" w:space="0" w:color="auto"/>
              <w:left w:val="nil"/>
              <w:bottom w:val="single" w:sz="4" w:space="0" w:color="auto"/>
              <w:right w:val="nil"/>
            </w:tcBorders>
          </w:tcPr>
          <w:p w14:paraId="59D62C4E" w14:textId="77777777" w:rsidR="00F02585" w:rsidRPr="00706680" w:rsidRDefault="00F02585" w:rsidP="00F02585">
            <w:pPr>
              <w:spacing w:before="120" w:after="120"/>
              <w:jc w:val="center"/>
              <w:rPr>
                <w:rFonts w:ascii="Arial" w:hAnsi="Arial" w:cs="Arial"/>
                <w:b/>
                <w:bCs/>
                <w:sz w:val="16"/>
                <w:szCs w:val="16"/>
                <w:lang w:val="en-IE"/>
              </w:rPr>
            </w:pPr>
            <w:r w:rsidRPr="00706680">
              <w:rPr>
                <w:rFonts w:ascii="Arial" w:hAnsi="Arial" w:cs="Arial"/>
                <w:b/>
                <w:bCs/>
                <w:sz w:val="16"/>
                <w:szCs w:val="16"/>
                <w:lang w:val="en-IE"/>
              </w:rPr>
              <w:t>Target DNA region*</w:t>
            </w:r>
          </w:p>
        </w:tc>
        <w:tc>
          <w:tcPr>
            <w:tcW w:w="1276" w:type="dxa"/>
            <w:tcBorders>
              <w:top w:val="single" w:sz="4" w:space="0" w:color="auto"/>
              <w:left w:val="nil"/>
              <w:bottom w:val="single" w:sz="4" w:space="0" w:color="auto"/>
              <w:right w:val="nil"/>
            </w:tcBorders>
          </w:tcPr>
          <w:p w14:paraId="086EA25A" w14:textId="77777777" w:rsidR="00F02585" w:rsidRPr="00706680" w:rsidRDefault="00F02585" w:rsidP="00F02585">
            <w:pPr>
              <w:spacing w:before="120" w:after="120"/>
              <w:jc w:val="center"/>
              <w:rPr>
                <w:rFonts w:ascii="Arial" w:hAnsi="Arial" w:cs="Arial"/>
                <w:b/>
                <w:bCs/>
                <w:sz w:val="16"/>
                <w:szCs w:val="16"/>
                <w:lang w:val="en-IE"/>
              </w:rPr>
            </w:pPr>
            <w:r w:rsidRPr="00706680">
              <w:rPr>
                <w:rFonts w:ascii="Arial" w:hAnsi="Arial" w:cs="Arial"/>
                <w:b/>
                <w:bCs/>
                <w:sz w:val="16"/>
                <w:szCs w:val="16"/>
                <w:lang w:val="en-IE"/>
              </w:rPr>
              <w:t>Amplico</w:t>
            </w:r>
            <w:r w:rsidR="00C0111B">
              <w:rPr>
                <w:rFonts w:ascii="Arial" w:hAnsi="Arial" w:cs="Arial"/>
                <w:b/>
                <w:bCs/>
                <w:sz w:val="16"/>
                <w:szCs w:val="16"/>
                <w:lang w:val="en-IE"/>
              </w:rPr>
              <w:t>n</w:t>
            </w:r>
            <w:r w:rsidRPr="00706680">
              <w:rPr>
                <w:rFonts w:ascii="Arial" w:hAnsi="Arial" w:cs="Arial"/>
                <w:b/>
                <w:bCs/>
                <w:sz w:val="16"/>
                <w:szCs w:val="16"/>
                <w:lang w:val="en-IE"/>
              </w:rPr>
              <w:br/>
              <w:t xml:space="preserve">(bp) </w:t>
            </w:r>
          </w:p>
        </w:tc>
        <w:tc>
          <w:tcPr>
            <w:tcW w:w="1417" w:type="dxa"/>
            <w:tcBorders>
              <w:top w:val="single" w:sz="4" w:space="0" w:color="auto"/>
              <w:left w:val="nil"/>
              <w:bottom w:val="single" w:sz="4" w:space="0" w:color="auto"/>
              <w:right w:val="nil"/>
            </w:tcBorders>
          </w:tcPr>
          <w:p w14:paraId="17570D65" w14:textId="77777777" w:rsidR="00F02585" w:rsidRPr="00706680" w:rsidRDefault="00F02585" w:rsidP="00F02585">
            <w:pPr>
              <w:spacing w:before="120" w:after="120"/>
              <w:jc w:val="center"/>
              <w:rPr>
                <w:rFonts w:ascii="Arial" w:hAnsi="Arial" w:cs="Arial"/>
                <w:b/>
                <w:bCs/>
                <w:sz w:val="16"/>
                <w:szCs w:val="16"/>
                <w:vertAlign w:val="superscript"/>
                <w:lang w:val="en-IE"/>
              </w:rPr>
            </w:pPr>
            <w:r w:rsidRPr="00706680">
              <w:rPr>
                <w:rFonts w:ascii="Arial" w:hAnsi="Arial" w:cs="Arial"/>
                <w:b/>
                <w:bCs/>
                <w:sz w:val="16"/>
                <w:szCs w:val="16"/>
                <w:lang w:val="en-IE"/>
              </w:rPr>
              <w:t xml:space="preserve">Restriction enzyme </w:t>
            </w:r>
          </w:p>
        </w:tc>
        <w:tc>
          <w:tcPr>
            <w:tcW w:w="1560" w:type="dxa"/>
            <w:tcBorders>
              <w:top w:val="single" w:sz="4" w:space="0" w:color="auto"/>
              <w:left w:val="nil"/>
              <w:bottom w:val="single" w:sz="4" w:space="0" w:color="auto"/>
              <w:right w:val="nil"/>
            </w:tcBorders>
          </w:tcPr>
          <w:p w14:paraId="01A9A619" w14:textId="77777777" w:rsidR="00F02585" w:rsidRPr="00706680" w:rsidRDefault="00F02585" w:rsidP="00F02585">
            <w:pPr>
              <w:spacing w:before="120" w:after="120"/>
              <w:jc w:val="center"/>
              <w:rPr>
                <w:rFonts w:ascii="Arial" w:hAnsi="Arial" w:cs="Arial"/>
                <w:b/>
                <w:bCs/>
                <w:sz w:val="16"/>
                <w:szCs w:val="16"/>
                <w:lang w:val="en-IE"/>
              </w:rPr>
            </w:pPr>
            <w:r w:rsidRPr="00706680">
              <w:rPr>
                <w:rFonts w:ascii="Arial" w:hAnsi="Arial" w:cs="Arial"/>
                <w:b/>
                <w:bCs/>
                <w:sz w:val="16"/>
                <w:szCs w:val="16"/>
                <w:lang w:val="en-IE"/>
              </w:rPr>
              <w:t>Hydrolyses products (bp)</w:t>
            </w:r>
          </w:p>
        </w:tc>
        <w:tc>
          <w:tcPr>
            <w:tcW w:w="1843" w:type="dxa"/>
            <w:tcBorders>
              <w:top w:val="single" w:sz="4" w:space="0" w:color="auto"/>
              <w:left w:val="nil"/>
              <w:bottom w:val="single" w:sz="4" w:space="0" w:color="auto"/>
              <w:right w:val="nil"/>
            </w:tcBorders>
          </w:tcPr>
          <w:p w14:paraId="6455CEB8" w14:textId="77777777" w:rsidR="00F02585" w:rsidRPr="00706680" w:rsidRDefault="00F02585" w:rsidP="00F02585">
            <w:pPr>
              <w:spacing w:before="120" w:after="120"/>
              <w:jc w:val="center"/>
              <w:rPr>
                <w:rFonts w:ascii="Arial" w:hAnsi="Arial" w:cs="Arial"/>
                <w:b/>
                <w:bCs/>
                <w:sz w:val="16"/>
                <w:szCs w:val="16"/>
                <w:vertAlign w:val="superscript"/>
                <w:lang w:val="en-IE"/>
              </w:rPr>
            </w:pPr>
            <w:r w:rsidRPr="00706680">
              <w:rPr>
                <w:rFonts w:ascii="Arial" w:hAnsi="Arial" w:cs="Arial"/>
                <w:b/>
                <w:bCs/>
                <w:sz w:val="16"/>
                <w:szCs w:val="16"/>
                <w:lang w:val="en-IE"/>
              </w:rPr>
              <w:t>Specificit</w:t>
            </w:r>
            <w:r w:rsidR="00D6374C" w:rsidRPr="00706680">
              <w:rPr>
                <w:rFonts w:ascii="Arial" w:hAnsi="Arial" w:cs="Arial"/>
                <w:b/>
                <w:bCs/>
                <w:sz w:val="16"/>
                <w:szCs w:val="16"/>
                <w:lang w:val="en-IE"/>
              </w:rPr>
              <w:t>y</w:t>
            </w:r>
          </w:p>
        </w:tc>
        <w:tc>
          <w:tcPr>
            <w:tcW w:w="1667" w:type="dxa"/>
            <w:tcBorders>
              <w:top w:val="single" w:sz="4" w:space="0" w:color="auto"/>
              <w:left w:val="nil"/>
              <w:bottom w:val="single" w:sz="4" w:space="0" w:color="auto"/>
              <w:right w:val="nil"/>
            </w:tcBorders>
          </w:tcPr>
          <w:p w14:paraId="4AE8472E" w14:textId="77777777" w:rsidR="00F02585" w:rsidRPr="00706680" w:rsidRDefault="00F02585" w:rsidP="00F02585">
            <w:pPr>
              <w:spacing w:before="120" w:after="120"/>
              <w:jc w:val="center"/>
              <w:rPr>
                <w:rFonts w:ascii="Arial" w:hAnsi="Arial" w:cs="Arial"/>
                <w:b/>
                <w:bCs/>
                <w:sz w:val="16"/>
                <w:szCs w:val="16"/>
                <w:lang w:val="en-IE"/>
              </w:rPr>
            </w:pPr>
            <w:r w:rsidRPr="00706680">
              <w:rPr>
                <w:rFonts w:ascii="Arial" w:hAnsi="Arial" w:cs="Arial"/>
                <w:b/>
                <w:bCs/>
                <w:sz w:val="16"/>
                <w:szCs w:val="16"/>
                <w:lang w:val="en-IE"/>
              </w:rPr>
              <w:t>Reference</w:t>
            </w:r>
          </w:p>
        </w:tc>
      </w:tr>
      <w:tr w:rsidR="00F02585" w:rsidRPr="00706680" w14:paraId="74615153" w14:textId="77777777" w:rsidTr="00D81CCB">
        <w:trPr>
          <w:jc w:val="center"/>
        </w:trPr>
        <w:tc>
          <w:tcPr>
            <w:tcW w:w="1202" w:type="dxa"/>
            <w:tcBorders>
              <w:top w:val="single" w:sz="4" w:space="0" w:color="auto"/>
              <w:left w:val="nil"/>
              <w:bottom w:val="single" w:sz="4" w:space="0" w:color="auto"/>
              <w:right w:val="nil"/>
            </w:tcBorders>
          </w:tcPr>
          <w:p w14:paraId="2535B8EE"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CAP-21</w:t>
            </w:r>
            <w:r w:rsidRPr="00706680">
              <w:rPr>
                <w:rFonts w:ascii="Arial" w:hAnsi="Arial" w:cs="Arial"/>
                <w:bCs/>
                <w:sz w:val="16"/>
                <w:szCs w:val="16"/>
                <w:lang w:val="en-IE"/>
              </w:rPr>
              <w:br/>
            </w:r>
            <w:r w:rsidRPr="00706680">
              <w:rPr>
                <w:rFonts w:ascii="Arial" w:hAnsi="Arial" w:cs="Arial"/>
                <w:sz w:val="16"/>
                <w:szCs w:val="16"/>
                <w:lang w:val="en-IE"/>
              </w:rPr>
              <w:t>(position</w:t>
            </w:r>
            <w:r w:rsidR="00687197" w:rsidRPr="00706680">
              <w:rPr>
                <w:rFonts w:ascii="Arial" w:hAnsi="Arial" w:cs="Arial"/>
                <w:sz w:val="16"/>
                <w:szCs w:val="16"/>
                <w:lang w:val="en-IE"/>
              </w:rPr>
              <w:t>:</w:t>
            </w:r>
            <w:r w:rsidRPr="00706680">
              <w:rPr>
                <w:rFonts w:ascii="Arial" w:hAnsi="Arial" w:cs="Arial"/>
                <w:sz w:val="16"/>
                <w:szCs w:val="16"/>
                <w:lang w:val="en-IE"/>
              </w:rPr>
              <w:t xml:space="preserve"> 181628)</w:t>
            </w:r>
          </w:p>
        </w:tc>
        <w:tc>
          <w:tcPr>
            <w:tcW w:w="1276" w:type="dxa"/>
            <w:tcBorders>
              <w:top w:val="single" w:sz="4" w:space="0" w:color="auto"/>
              <w:left w:val="nil"/>
              <w:bottom w:val="single" w:sz="4" w:space="0" w:color="auto"/>
              <w:right w:val="nil"/>
            </w:tcBorders>
          </w:tcPr>
          <w:p w14:paraId="19045675"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574</w:t>
            </w:r>
          </w:p>
        </w:tc>
        <w:tc>
          <w:tcPr>
            <w:tcW w:w="1417" w:type="dxa"/>
            <w:tcBorders>
              <w:top w:val="single" w:sz="4" w:space="0" w:color="auto"/>
              <w:left w:val="nil"/>
              <w:bottom w:val="single" w:sz="4" w:space="0" w:color="auto"/>
              <w:right w:val="nil"/>
            </w:tcBorders>
          </w:tcPr>
          <w:p w14:paraId="567591BB"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i/>
                <w:iCs/>
                <w:sz w:val="16"/>
                <w:szCs w:val="16"/>
                <w:lang w:val="en-IE"/>
              </w:rPr>
              <w:t>Asn</w:t>
            </w:r>
            <w:r w:rsidRPr="00706680">
              <w:rPr>
                <w:rFonts w:ascii="Arial" w:hAnsi="Arial" w:cs="Arial"/>
                <w:sz w:val="16"/>
                <w:szCs w:val="16"/>
                <w:lang w:val="en-IE"/>
              </w:rPr>
              <w:t>I</w:t>
            </w:r>
          </w:p>
        </w:tc>
        <w:tc>
          <w:tcPr>
            <w:tcW w:w="1560" w:type="dxa"/>
            <w:tcBorders>
              <w:top w:val="single" w:sz="4" w:space="0" w:color="auto"/>
              <w:left w:val="nil"/>
              <w:bottom w:val="single" w:sz="4" w:space="0" w:color="auto"/>
              <w:right w:val="nil"/>
            </w:tcBorders>
          </w:tcPr>
          <w:p w14:paraId="77649ADB"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379, 178</w:t>
            </w:r>
            <w:r w:rsidRPr="00706680">
              <w:rPr>
                <w:rFonts w:ascii="Arial" w:hAnsi="Arial" w:cs="Arial"/>
                <w:bCs/>
                <w:sz w:val="16"/>
                <w:szCs w:val="16"/>
                <w:lang w:val="en-IE"/>
              </w:rPr>
              <w:br/>
            </w:r>
            <w:r w:rsidRPr="00706680">
              <w:rPr>
                <w:rFonts w:ascii="Arial" w:hAnsi="Arial" w:cs="Arial"/>
                <w:sz w:val="16"/>
                <w:szCs w:val="16"/>
                <w:lang w:val="en-IE"/>
              </w:rPr>
              <w:t xml:space="preserve">220, 178, 153 </w:t>
            </w:r>
          </w:p>
        </w:tc>
        <w:tc>
          <w:tcPr>
            <w:tcW w:w="1843" w:type="dxa"/>
            <w:tcBorders>
              <w:top w:val="single" w:sz="4" w:space="0" w:color="auto"/>
              <w:left w:val="nil"/>
              <w:bottom w:val="single" w:sz="4" w:space="0" w:color="auto"/>
              <w:right w:val="nil"/>
            </w:tcBorders>
          </w:tcPr>
          <w:p w14:paraId="6995C149" w14:textId="77777777" w:rsidR="00F02585" w:rsidRPr="00706680" w:rsidRDefault="003163B1" w:rsidP="00F02585">
            <w:pPr>
              <w:spacing w:before="120" w:after="120"/>
              <w:jc w:val="center"/>
              <w:rPr>
                <w:rFonts w:ascii="Arial" w:hAnsi="Arial" w:cs="Arial"/>
                <w:sz w:val="16"/>
                <w:szCs w:val="16"/>
                <w:lang w:val="en-IE"/>
              </w:rPr>
            </w:pPr>
            <w:r w:rsidRPr="00706680">
              <w:rPr>
                <w:rFonts w:ascii="Arial" w:hAnsi="Arial" w:cs="Arial"/>
                <w:i/>
                <w:sz w:val="16"/>
                <w:szCs w:val="16"/>
                <w:lang w:val="en-IE"/>
              </w:rPr>
              <w:t>Mmm</w:t>
            </w:r>
            <w:r w:rsidRPr="00A4162A">
              <w:rPr>
                <w:rFonts w:ascii="Arial" w:hAnsi="Arial" w:cs="Arial"/>
                <w:strike/>
                <w:sz w:val="16"/>
                <w:szCs w:val="16"/>
                <w:lang w:val="en-IE"/>
              </w:rPr>
              <w:t>SC</w:t>
            </w:r>
            <w:r w:rsidR="00F02585" w:rsidRPr="00706680">
              <w:rPr>
                <w:rFonts w:ascii="Arial" w:hAnsi="Arial" w:cs="Arial"/>
                <w:bCs/>
                <w:sz w:val="16"/>
                <w:szCs w:val="16"/>
                <w:lang w:val="en-IE"/>
              </w:rPr>
              <w:br/>
            </w:r>
            <w:r w:rsidR="00F02585" w:rsidRPr="00706680">
              <w:rPr>
                <w:rFonts w:ascii="Arial" w:hAnsi="Arial" w:cs="Arial"/>
                <w:i/>
                <w:iCs/>
                <w:sz w:val="16"/>
                <w:szCs w:val="16"/>
                <w:lang w:val="en-IE"/>
              </w:rPr>
              <w:t>Mmc</w:t>
            </w:r>
          </w:p>
        </w:tc>
        <w:tc>
          <w:tcPr>
            <w:tcW w:w="1667" w:type="dxa"/>
            <w:tcBorders>
              <w:top w:val="single" w:sz="4" w:space="0" w:color="auto"/>
              <w:left w:val="nil"/>
              <w:bottom w:val="single" w:sz="4" w:space="0" w:color="auto"/>
              <w:right w:val="nil"/>
            </w:tcBorders>
          </w:tcPr>
          <w:p w14:paraId="312505EE" w14:textId="77777777" w:rsidR="00F02585" w:rsidRPr="00A304D2" w:rsidRDefault="00F02585" w:rsidP="00F02585">
            <w:pPr>
              <w:spacing w:before="120" w:after="120"/>
              <w:jc w:val="center"/>
              <w:rPr>
                <w:rFonts w:ascii="Arial" w:hAnsi="Arial" w:cs="Arial"/>
                <w:sz w:val="16"/>
                <w:szCs w:val="16"/>
                <w:lang w:val="en-IE"/>
              </w:rPr>
            </w:pPr>
            <w:r w:rsidRPr="00A304D2">
              <w:rPr>
                <w:rFonts w:ascii="Arial" w:hAnsi="Arial" w:cs="Arial"/>
                <w:sz w:val="16"/>
                <w:szCs w:val="16"/>
                <w:lang w:val="en-IE"/>
              </w:rPr>
              <w:t xml:space="preserve">Bashiruddin </w:t>
            </w:r>
            <w:r w:rsidRPr="00A304D2">
              <w:rPr>
                <w:rFonts w:ascii="Arial" w:hAnsi="Arial" w:cs="Arial"/>
                <w:sz w:val="16"/>
                <w:szCs w:val="16"/>
                <w:lang w:val="en-IE"/>
              </w:rPr>
              <w:br/>
            </w:r>
            <w:r w:rsidRPr="00A304D2">
              <w:rPr>
                <w:rFonts w:ascii="Arial" w:hAnsi="Arial" w:cs="Arial"/>
                <w:i/>
                <w:iCs/>
                <w:sz w:val="16"/>
                <w:szCs w:val="16"/>
                <w:lang w:val="en-IE"/>
              </w:rPr>
              <w:t>et al.,</w:t>
            </w:r>
            <w:r w:rsidRPr="00A304D2">
              <w:rPr>
                <w:rFonts w:ascii="Arial" w:hAnsi="Arial" w:cs="Arial"/>
                <w:sz w:val="16"/>
                <w:szCs w:val="16"/>
                <w:lang w:val="en-IE"/>
              </w:rPr>
              <w:t>1994</w:t>
            </w:r>
          </w:p>
        </w:tc>
      </w:tr>
      <w:tr w:rsidR="00F02585" w:rsidRPr="00706680" w14:paraId="28E665B5" w14:textId="77777777" w:rsidTr="00D81CCB">
        <w:trPr>
          <w:jc w:val="center"/>
        </w:trPr>
        <w:tc>
          <w:tcPr>
            <w:tcW w:w="1202" w:type="dxa"/>
            <w:tcBorders>
              <w:top w:val="single" w:sz="4" w:space="0" w:color="auto"/>
              <w:left w:val="nil"/>
              <w:bottom w:val="single" w:sz="4" w:space="0" w:color="auto"/>
              <w:right w:val="nil"/>
            </w:tcBorders>
          </w:tcPr>
          <w:p w14:paraId="5479E37F"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(position: 443115)</w:t>
            </w:r>
          </w:p>
        </w:tc>
        <w:tc>
          <w:tcPr>
            <w:tcW w:w="1276" w:type="dxa"/>
            <w:tcBorders>
              <w:top w:val="single" w:sz="4" w:space="0" w:color="auto"/>
              <w:left w:val="nil"/>
              <w:bottom w:val="single" w:sz="4" w:space="0" w:color="auto"/>
              <w:right w:val="nil"/>
            </w:tcBorders>
          </w:tcPr>
          <w:p w14:paraId="63197333"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275</w:t>
            </w:r>
          </w:p>
        </w:tc>
        <w:tc>
          <w:tcPr>
            <w:tcW w:w="1417" w:type="dxa"/>
            <w:tcBorders>
              <w:top w:val="single" w:sz="4" w:space="0" w:color="auto"/>
              <w:left w:val="nil"/>
              <w:bottom w:val="single" w:sz="4" w:space="0" w:color="auto"/>
              <w:right w:val="nil"/>
            </w:tcBorders>
          </w:tcPr>
          <w:p w14:paraId="6265533A" w14:textId="77777777" w:rsidR="00F02585" w:rsidRPr="00A4162A" w:rsidRDefault="00F02585" w:rsidP="00F02585">
            <w:pPr>
              <w:spacing w:before="120" w:after="120"/>
              <w:jc w:val="center"/>
              <w:rPr>
                <w:rFonts w:ascii="Arial" w:hAnsi="Arial" w:cs="Arial"/>
                <w:strike/>
                <w:sz w:val="16"/>
                <w:szCs w:val="16"/>
                <w:lang w:val="en-IE"/>
              </w:rPr>
            </w:pPr>
            <w:r w:rsidRPr="00A4162A">
              <w:rPr>
                <w:rFonts w:ascii="Arial" w:hAnsi="Arial" w:cs="Arial"/>
                <w:i/>
                <w:iCs/>
                <w:strike/>
                <w:sz w:val="16"/>
                <w:szCs w:val="16"/>
                <w:lang w:val="en-IE"/>
              </w:rPr>
              <w:t>Ase</w:t>
            </w:r>
            <w:r w:rsidRPr="00A4162A">
              <w:rPr>
                <w:rFonts w:ascii="Arial" w:hAnsi="Arial" w:cs="Arial"/>
                <w:strike/>
                <w:sz w:val="16"/>
                <w:szCs w:val="16"/>
                <w:lang w:val="en-IE"/>
              </w:rPr>
              <w:t>I</w:t>
            </w:r>
          </w:p>
        </w:tc>
        <w:tc>
          <w:tcPr>
            <w:tcW w:w="1560" w:type="dxa"/>
            <w:tcBorders>
              <w:top w:val="single" w:sz="4" w:space="0" w:color="auto"/>
              <w:left w:val="nil"/>
              <w:bottom w:val="single" w:sz="4" w:space="0" w:color="auto"/>
              <w:right w:val="nil"/>
            </w:tcBorders>
          </w:tcPr>
          <w:p w14:paraId="6436C0E5" w14:textId="77777777" w:rsidR="00F02585" w:rsidRPr="00706680" w:rsidRDefault="00F02585" w:rsidP="00F02585">
            <w:pPr>
              <w:spacing w:before="120" w:after="120"/>
              <w:jc w:val="center"/>
              <w:rPr>
                <w:rFonts w:ascii="Arial" w:hAnsi="Arial" w:cs="Arial"/>
                <w:i/>
                <w:iCs/>
                <w:sz w:val="16"/>
                <w:szCs w:val="16"/>
                <w:lang w:val="en-IE"/>
              </w:rPr>
            </w:pPr>
            <w:r w:rsidRPr="00A4162A">
              <w:rPr>
                <w:rFonts w:ascii="Arial" w:hAnsi="Arial" w:cs="Arial"/>
                <w:strike/>
                <w:sz w:val="16"/>
                <w:szCs w:val="16"/>
                <w:lang w:val="en-IE"/>
              </w:rPr>
              <w:t>232,</w:t>
            </w:r>
            <w:r w:rsidRPr="00706680">
              <w:rPr>
                <w:rFonts w:ascii="Arial" w:hAnsi="Arial" w:cs="Arial"/>
                <w:sz w:val="16"/>
                <w:szCs w:val="16"/>
                <w:lang w:val="en-IE"/>
              </w:rPr>
              <w:t xml:space="preserve"> 43</w:t>
            </w:r>
          </w:p>
        </w:tc>
        <w:tc>
          <w:tcPr>
            <w:tcW w:w="1843" w:type="dxa"/>
            <w:tcBorders>
              <w:top w:val="single" w:sz="4" w:space="0" w:color="auto"/>
              <w:left w:val="nil"/>
              <w:bottom w:val="single" w:sz="4" w:space="0" w:color="auto"/>
              <w:right w:val="nil"/>
            </w:tcBorders>
          </w:tcPr>
          <w:p w14:paraId="2392EF74" w14:textId="77777777" w:rsidR="00F02585" w:rsidRPr="00706680" w:rsidRDefault="003163B1" w:rsidP="00C6156F">
            <w:pPr>
              <w:spacing w:before="120" w:after="120"/>
              <w:jc w:val="center"/>
              <w:rPr>
                <w:rFonts w:ascii="Arial" w:hAnsi="Arial" w:cs="Arial"/>
                <w:sz w:val="16"/>
                <w:szCs w:val="16"/>
                <w:lang w:val="en-IE"/>
              </w:rPr>
            </w:pPr>
            <w:r w:rsidRPr="00706680">
              <w:rPr>
                <w:rFonts w:ascii="Arial" w:hAnsi="Arial" w:cs="Arial"/>
                <w:i/>
                <w:sz w:val="16"/>
                <w:szCs w:val="16"/>
                <w:lang w:val="en-IE"/>
              </w:rPr>
              <w:t>Mmm</w:t>
            </w:r>
            <w:r w:rsidRPr="00A4162A">
              <w:rPr>
                <w:rFonts w:ascii="Arial" w:hAnsi="Arial" w:cs="Arial"/>
                <w:strike/>
                <w:sz w:val="16"/>
                <w:szCs w:val="16"/>
                <w:lang w:val="en-IE"/>
              </w:rPr>
              <w:t>SC</w:t>
            </w:r>
          </w:p>
        </w:tc>
        <w:tc>
          <w:tcPr>
            <w:tcW w:w="1667" w:type="dxa"/>
            <w:tcBorders>
              <w:top w:val="single" w:sz="4" w:space="0" w:color="auto"/>
              <w:left w:val="nil"/>
              <w:bottom w:val="single" w:sz="4" w:space="0" w:color="auto"/>
              <w:right w:val="nil"/>
            </w:tcBorders>
          </w:tcPr>
          <w:p w14:paraId="56F8FBF2" w14:textId="77777777" w:rsidR="00F02585" w:rsidRPr="00A304D2" w:rsidRDefault="00F02585" w:rsidP="00F02585">
            <w:pPr>
              <w:spacing w:before="120" w:after="120"/>
              <w:jc w:val="center"/>
              <w:rPr>
                <w:rFonts w:ascii="Arial" w:hAnsi="Arial" w:cs="Arial"/>
                <w:sz w:val="16"/>
                <w:szCs w:val="16"/>
                <w:lang w:val="en-IE"/>
              </w:rPr>
            </w:pPr>
            <w:r w:rsidRPr="00A304D2">
              <w:rPr>
                <w:rFonts w:ascii="Arial" w:hAnsi="Arial" w:cs="Arial"/>
                <w:sz w:val="16"/>
                <w:szCs w:val="16"/>
                <w:lang w:val="en-IE"/>
              </w:rPr>
              <w:t xml:space="preserve">Dedieu </w:t>
            </w:r>
            <w:r w:rsidR="00706473" w:rsidRPr="00A304D2">
              <w:rPr>
                <w:rFonts w:ascii="Arial" w:hAnsi="Arial" w:cs="Arial"/>
                <w:sz w:val="16"/>
                <w:szCs w:val="16"/>
                <w:lang w:val="en-IE"/>
              </w:rPr>
              <w:br/>
            </w:r>
            <w:r w:rsidRPr="00A304D2">
              <w:rPr>
                <w:rFonts w:ascii="Arial" w:hAnsi="Arial" w:cs="Arial"/>
                <w:i/>
                <w:iCs/>
                <w:sz w:val="16"/>
                <w:szCs w:val="16"/>
                <w:lang w:val="en-IE"/>
              </w:rPr>
              <w:t>et al.</w:t>
            </w:r>
            <w:r w:rsidRPr="00A304D2">
              <w:rPr>
                <w:rFonts w:ascii="Arial" w:hAnsi="Arial" w:cs="Arial"/>
                <w:sz w:val="16"/>
                <w:szCs w:val="16"/>
                <w:lang w:val="en-IE"/>
              </w:rPr>
              <w:t>, 1994**</w:t>
            </w:r>
          </w:p>
        </w:tc>
      </w:tr>
      <w:tr w:rsidR="00F02585" w:rsidRPr="00706680" w14:paraId="36B447D6" w14:textId="77777777" w:rsidTr="00D81CCB">
        <w:trPr>
          <w:jc w:val="center"/>
        </w:trPr>
        <w:tc>
          <w:tcPr>
            <w:tcW w:w="1202" w:type="dxa"/>
            <w:tcBorders>
              <w:top w:val="single" w:sz="4" w:space="0" w:color="auto"/>
              <w:left w:val="nil"/>
              <w:bottom w:val="single" w:sz="4" w:space="0" w:color="auto"/>
              <w:right w:val="nil"/>
            </w:tcBorders>
          </w:tcPr>
          <w:p w14:paraId="29D88EB9" w14:textId="77777777" w:rsidR="00F02585" w:rsidRPr="00706680" w:rsidRDefault="00F02585" w:rsidP="00D6374C">
            <w:pPr>
              <w:spacing w:before="120" w:after="120"/>
              <w:jc w:val="center"/>
              <w:rPr>
                <w:rFonts w:ascii="Arial" w:hAnsi="Arial" w:cs="Arial"/>
                <w:i/>
                <w:iCs/>
                <w:sz w:val="16"/>
                <w:szCs w:val="16"/>
                <w:lang w:val="en-IE"/>
              </w:rPr>
            </w:pPr>
            <w:r w:rsidRPr="00706680">
              <w:rPr>
                <w:rFonts w:ascii="Arial" w:hAnsi="Arial" w:cs="Arial"/>
                <w:sz w:val="16"/>
                <w:szCs w:val="16"/>
                <w:lang w:val="en-IE"/>
              </w:rPr>
              <w:t xml:space="preserve">Gene </w:t>
            </w:r>
            <w:r w:rsidRPr="00706680">
              <w:rPr>
                <w:rFonts w:ascii="Arial" w:hAnsi="Arial" w:cs="Arial"/>
                <w:i/>
                <w:iCs/>
                <w:sz w:val="16"/>
                <w:szCs w:val="16"/>
                <w:lang w:val="en-IE"/>
              </w:rPr>
              <w:t xml:space="preserve">lppA </w:t>
            </w:r>
            <w:r w:rsidRPr="00706680">
              <w:rPr>
                <w:rFonts w:ascii="Arial" w:hAnsi="Arial" w:cs="Arial"/>
                <w:iCs/>
                <w:sz w:val="16"/>
                <w:szCs w:val="16"/>
                <w:lang w:val="en-IE"/>
              </w:rPr>
              <w:t>(nested)</w:t>
            </w:r>
          </w:p>
        </w:tc>
        <w:tc>
          <w:tcPr>
            <w:tcW w:w="1276" w:type="dxa"/>
            <w:tcBorders>
              <w:top w:val="single" w:sz="4" w:space="0" w:color="auto"/>
              <w:left w:val="nil"/>
              <w:bottom w:val="single" w:sz="4" w:space="0" w:color="auto"/>
              <w:right w:val="nil"/>
            </w:tcBorders>
          </w:tcPr>
          <w:p w14:paraId="73E80AFF"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717</w:t>
            </w:r>
          </w:p>
        </w:tc>
        <w:tc>
          <w:tcPr>
            <w:tcW w:w="1417" w:type="dxa"/>
            <w:tcBorders>
              <w:top w:val="single" w:sz="4" w:space="0" w:color="auto"/>
              <w:left w:val="nil"/>
              <w:bottom w:val="single" w:sz="4" w:space="0" w:color="auto"/>
              <w:right w:val="nil"/>
            </w:tcBorders>
          </w:tcPr>
          <w:p w14:paraId="27FAD6E5"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w:t>
            </w:r>
          </w:p>
        </w:tc>
        <w:tc>
          <w:tcPr>
            <w:tcW w:w="1560" w:type="dxa"/>
            <w:tcBorders>
              <w:top w:val="single" w:sz="4" w:space="0" w:color="auto"/>
              <w:left w:val="nil"/>
              <w:bottom w:val="single" w:sz="4" w:space="0" w:color="auto"/>
              <w:right w:val="nil"/>
            </w:tcBorders>
          </w:tcPr>
          <w:p w14:paraId="5D12C537" w14:textId="77777777" w:rsidR="00F02585" w:rsidRPr="00706680" w:rsidRDefault="00F02585" w:rsidP="00F02585">
            <w:pPr>
              <w:spacing w:before="120" w:after="120"/>
              <w:jc w:val="center"/>
              <w:rPr>
                <w:rFonts w:ascii="Arial" w:hAnsi="Arial" w:cs="Arial"/>
                <w:i/>
                <w:iCs/>
                <w:sz w:val="16"/>
                <w:szCs w:val="16"/>
                <w:lang w:val="en-IE"/>
              </w:rPr>
            </w:pPr>
          </w:p>
        </w:tc>
        <w:tc>
          <w:tcPr>
            <w:tcW w:w="1843" w:type="dxa"/>
            <w:tcBorders>
              <w:top w:val="single" w:sz="4" w:space="0" w:color="auto"/>
              <w:left w:val="nil"/>
              <w:bottom w:val="single" w:sz="4" w:space="0" w:color="auto"/>
              <w:right w:val="nil"/>
            </w:tcBorders>
          </w:tcPr>
          <w:p w14:paraId="3424A766" w14:textId="77777777" w:rsidR="00F02585" w:rsidRPr="00706680" w:rsidRDefault="003163B1" w:rsidP="00F02585">
            <w:pPr>
              <w:spacing w:before="120" w:after="120"/>
              <w:jc w:val="center"/>
              <w:rPr>
                <w:rFonts w:ascii="Arial" w:hAnsi="Arial" w:cs="Arial"/>
                <w:sz w:val="16"/>
                <w:szCs w:val="16"/>
                <w:lang w:val="en-IE"/>
              </w:rPr>
            </w:pPr>
            <w:r w:rsidRPr="00706680">
              <w:rPr>
                <w:rFonts w:ascii="Arial" w:hAnsi="Arial" w:cs="Arial"/>
                <w:i/>
                <w:sz w:val="16"/>
                <w:szCs w:val="16"/>
                <w:lang w:val="en-IE"/>
              </w:rPr>
              <w:t>Mmm</w:t>
            </w:r>
            <w:r w:rsidRPr="00A4162A">
              <w:rPr>
                <w:rFonts w:ascii="Arial" w:hAnsi="Arial" w:cs="Arial"/>
                <w:strike/>
                <w:sz w:val="16"/>
                <w:szCs w:val="16"/>
                <w:lang w:val="en-IE"/>
              </w:rPr>
              <w:t>SC</w:t>
            </w:r>
          </w:p>
        </w:tc>
        <w:tc>
          <w:tcPr>
            <w:tcW w:w="1667" w:type="dxa"/>
            <w:tcBorders>
              <w:top w:val="single" w:sz="4" w:space="0" w:color="auto"/>
              <w:left w:val="nil"/>
              <w:bottom w:val="single" w:sz="4" w:space="0" w:color="auto"/>
              <w:right w:val="nil"/>
            </w:tcBorders>
          </w:tcPr>
          <w:p w14:paraId="7D36B46A" w14:textId="77777777" w:rsidR="00F02585" w:rsidRPr="00A304D2" w:rsidRDefault="00F02585" w:rsidP="00F02585">
            <w:pPr>
              <w:spacing w:before="120" w:after="120"/>
              <w:jc w:val="center"/>
              <w:rPr>
                <w:rFonts w:ascii="Arial" w:hAnsi="Arial" w:cs="Arial"/>
                <w:sz w:val="16"/>
                <w:szCs w:val="16"/>
                <w:lang w:val="en-IE"/>
              </w:rPr>
            </w:pPr>
            <w:r w:rsidRPr="00A304D2">
              <w:rPr>
                <w:rFonts w:ascii="Arial" w:hAnsi="Arial" w:cs="Arial"/>
                <w:sz w:val="16"/>
                <w:szCs w:val="16"/>
                <w:lang w:val="en-IE"/>
              </w:rPr>
              <w:t>Miserez</w:t>
            </w:r>
            <w:r w:rsidRPr="00A304D2">
              <w:rPr>
                <w:rFonts w:ascii="Arial" w:hAnsi="Arial" w:cs="Arial"/>
                <w:sz w:val="16"/>
                <w:szCs w:val="16"/>
                <w:lang w:val="en-IE"/>
              </w:rPr>
              <w:br/>
            </w:r>
            <w:r w:rsidRPr="00A304D2">
              <w:rPr>
                <w:rFonts w:ascii="Arial" w:hAnsi="Arial" w:cs="Arial"/>
                <w:i/>
                <w:iCs/>
                <w:sz w:val="16"/>
                <w:szCs w:val="16"/>
                <w:lang w:val="en-IE"/>
              </w:rPr>
              <w:t>et al.</w:t>
            </w:r>
            <w:r w:rsidRPr="00A304D2">
              <w:rPr>
                <w:rFonts w:ascii="Arial" w:hAnsi="Arial" w:cs="Arial"/>
                <w:sz w:val="16"/>
                <w:szCs w:val="16"/>
                <w:lang w:val="en-IE"/>
              </w:rPr>
              <w:t>, 1997***</w:t>
            </w:r>
          </w:p>
        </w:tc>
      </w:tr>
      <w:tr w:rsidR="00F02585" w:rsidRPr="00706680" w14:paraId="55A3A670" w14:textId="77777777" w:rsidTr="00D81CCB">
        <w:trPr>
          <w:jc w:val="center"/>
        </w:trPr>
        <w:tc>
          <w:tcPr>
            <w:tcW w:w="1202" w:type="dxa"/>
            <w:tcBorders>
              <w:top w:val="single" w:sz="4" w:space="0" w:color="auto"/>
              <w:left w:val="nil"/>
              <w:bottom w:val="single" w:sz="4" w:space="0" w:color="auto"/>
              <w:right w:val="nil"/>
            </w:tcBorders>
          </w:tcPr>
          <w:p w14:paraId="3D34A400" w14:textId="77777777" w:rsidR="00F02585" w:rsidRPr="00706680" w:rsidRDefault="00F02585" w:rsidP="00F02585">
            <w:pPr>
              <w:spacing w:before="120" w:after="120"/>
              <w:jc w:val="center"/>
              <w:rPr>
                <w:rFonts w:ascii="Arial" w:hAnsi="Arial" w:cs="Arial"/>
                <w:i/>
                <w:iCs/>
                <w:sz w:val="16"/>
                <w:szCs w:val="16"/>
                <w:lang w:val="en-IE"/>
              </w:rPr>
            </w:pPr>
            <w:r w:rsidRPr="00706680">
              <w:rPr>
                <w:rFonts w:ascii="Arial" w:hAnsi="Arial" w:cs="Arial"/>
                <w:iCs/>
                <w:sz w:val="16"/>
                <w:szCs w:val="16"/>
                <w:lang w:val="en-IE"/>
              </w:rPr>
              <w:t>(position: 20061)</w:t>
            </w:r>
          </w:p>
        </w:tc>
        <w:tc>
          <w:tcPr>
            <w:tcW w:w="1276" w:type="dxa"/>
            <w:tcBorders>
              <w:top w:val="single" w:sz="4" w:space="0" w:color="auto"/>
              <w:left w:val="nil"/>
              <w:bottom w:val="single" w:sz="4" w:space="0" w:color="auto"/>
              <w:right w:val="nil"/>
            </w:tcBorders>
          </w:tcPr>
          <w:p w14:paraId="278463E0" w14:textId="77777777" w:rsidR="00F02585" w:rsidRPr="00706680" w:rsidRDefault="00F02585" w:rsidP="00F02585">
            <w:pPr>
              <w:spacing w:before="120" w:after="120"/>
              <w:jc w:val="center"/>
              <w:rPr>
                <w:rFonts w:ascii="Arial" w:hAnsi="Arial" w:cs="Arial"/>
                <w:sz w:val="16"/>
                <w:szCs w:val="16"/>
                <w:lang w:val="en-IE"/>
              </w:rPr>
            </w:pPr>
            <w:r w:rsidRPr="00706680">
              <w:rPr>
                <w:rFonts w:ascii="Arial" w:hAnsi="Arial" w:cs="Arial"/>
                <w:sz w:val="16"/>
                <w:szCs w:val="16"/>
                <w:lang w:val="en-IE"/>
              </w:rPr>
              <w:t>503</w:t>
            </w:r>
          </w:p>
        </w:tc>
        <w:tc>
          <w:tcPr>
            <w:tcW w:w="1417" w:type="dxa"/>
            <w:tcBorders>
              <w:top w:val="single" w:sz="4" w:space="0" w:color="auto"/>
              <w:left w:val="nil"/>
              <w:bottom w:val="single" w:sz="4" w:space="0" w:color="auto"/>
              <w:right w:val="nil"/>
            </w:tcBorders>
          </w:tcPr>
          <w:p w14:paraId="1CF853FB" w14:textId="77777777" w:rsidR="00F02585" w:rsidRPr="00706680" w:rsidRDefault="00F02585" w:rsidP="00F02585">
            <w:pPr>
              <w:spacing w:before="120" w:after="120"/>
              <w:jc w:val="center"/>
              <w:rPr>
                <w:rFonts w:ascii="Arial" w:hAnsi="Arial" w:cs="Arial"/>
                <w:sz w:val="16"/>
                <w:szCs w:val="16"/>
                <w:lang w:val="en-IE"/>
              </w:rPr>
            </w:pPr>
          </w:p>
        </w:tc>
        <w:tc>
          <w:tcPr>
            <w:tcW w:w="1560" w:type="dxa"/>
            <w:tcBorders>
              <w:top w:val="single" w:sz="4" w:space="0" w:color="auto"/>
              <w:left w:val="nil"/>
              <w:bottom w:val="single" w:sz="4" w:space="0" w:color="auto"/>
              <w:right w:val="nil"/>
            </w:tcBorders>
          </w:tcPr>
          <w:p w14:paraId="7DBA8239" w14:textId="77777777" w:rsidR="00F02585" w:rsidRPr="00706680" w:rsidRDefault="00F02585" w:rsidP="00F02585">
            <w:pPr>
              <w:spacing w:before="120" w:after="120"/>
              <w:jc w:val="center"/>
              <w:rPr>
                <w:rFonts w:ascii="Arial" w:hAnsi="Arial" w:cs="Arial"/>
                <w:i/>
                <w:iCs/>
                <w:sz w:val="16"/>
                <w:szCs w:val="16"/>
                <w:lang w:val="en-IE"/>
              </w:rPr>
            </w:pPr>
          </w:p>
        </w:tc>
        <w:tc>
          <w:tcPr>
            <w:tcW w:w="1843" w:type="dxa"/>
            <w:tcBorders>
              <w:top w:val="single" w:sz="4" w:space="0" w:color="auto"/>
              <w:left w:val="nil"/>
              <w:bottom w:val="single" w:sz="4" w:space="0" w:color="auto"/>
              <w:right w:val="nil"/>
            </w:tcBorders>
          </w:tcPr>
          <w:p w14:paraId="7722ADD4" w14:textId="77777777" w:rsidR="00F02585" w:rsidRPr="00706680" w:rsidRDefault="00F02585" w:rsidP="00F02585">
            <w:pPr>
              <w:spacing w:before="120" w:after="120"/>
              <w:jc w:val="center"/>
              <w:rPr>
                <w:rFonts w:ascii="Arial" w:hAnsi="Arial" w:cs="Arial"/>
                <w:sz w:val="16"/>
                <w:szCs w:val="16"/>
                <w:lang w:val="en-IE"/>
              </w:rPr>
            </w:pPr>
          </w:p>
        </w:tc>
        <w:tc>
          <w:tcPr>
            <w:tcW w:w="1667" w:type="dxa"/>
            <w:tcBorders>
              <w:top w:val="single" w:sz="4" w:space="0" w:color="auto"/>
              <w:left w:val="nil"/>
              <w:bottom w:val="single" w:sz="4" w:space="0" w:color="auto"/>
              <w:right w:val="nil"/>
            </w:tcBorders>
          </w:tcPr>
          <w:p w14:paraId="0873983A" w14:textId="77777777" w:rsidR="00F02585" w:rsidRPr="00A304D2" w:rsidRDefault="00F02585" w:rsidP="00F02585">
            <w:pPr>
              <w:spacing w:before="120" w:after="120"/>
              <w:jc w:val="center"/>
              <w:rPr>
                <w:rFonts w:ascii="Arial" w:hAnsi="Arial" w:cs="Arial"/>
                <w:sz w:val="16"/>
                <w:szCs w:val="16"/>
                <w:lang w:val="en-IE"/>
              </w:rPr>
            </w:pPr>
          </w:p>
        </w:tc>
      </w:tr>
    </w:tbl>
    <w:p w14:paraId="0234E777" w14:textId="77777777" w:rsidR="00F02585" w:rsidRPr="00706680" w:rsidRDefault="00F02585" w:rsidP="00F02585">
      <w:pPr>
        <w:pStyle w:val="paraa"/>
        <w:spacing w:before="120" w:after="0"/>
        <w:ind w:left="0"/>
        <w:jc w:val="center"/>
        <w:rPr>
          <w:bCs/>
          <w:sz w:val="16"/>
          <w:szCs w:val="16"/>
          <w:lang w:val="en-IE"/>
        </w:rPr>
      </w:pPr>
      <w:r w:rsidRPr="00706680">
        <w:rPr>
          <w:sz w:val="16"/>
          <w:szCs w:val="16"/>
          <w:lang w:val="en-IE"/>
        </w:rPr>
        <w:t>*</w:t>
      </w:r>
      <w:r w:rsidR="003163B1" w:rsidRPr="00706680">
        <w:rPr>
          <w:i/>
          <w:sz w:val="16"/>
          <w:szCs w:val="16"/>
          <w:lang w:val="en-IE"/>
        </w:rPr>
        <w:t>Mmm</w:t>
      </w:r>
      <w:r w:rsidR="003163B1" w:rsidRPr="00A4162A">
        <w:rPr>
          <w:strike/>
          <w:sz w:val="16"/>
          <w:szCs w:val="16"/>
          <w:lang w:val="en-IE"/>
        </w:rPr>
        <w:t>SC</w:t>
      </w:r>
      <w:r w:rsidR="003163B1" w:rsidRPr="00706680">
        <w:rPr>
          <w:sz w:val="16"/>
          <w:szCs w:val="16"/>
          <w:lang w:val="en-IE"/>
        </w:rPr>
        <w:t xml:space="preserve"> </w:t>
      </w:r>
      <w:r w:rsidRPr="00706680">
        <w:rPr>
          <w:sz w:val="16"/>
          <w:szCs w:val="16"/>
          <w:lang w:val="en-IE"/>
        </w:rPr>
        <w:t xml:space="preserve">PG1 sequence Gene Bank accession number: </w:t>
      </w:r>
      <w:r w:rsidRPr="00706680">
        <w:rPr>
          <w:bCs/>
          <w:sz w:val="16"/>
          <w:szCs w:val="16"/>
          <w:lang w:val="en-IE"/>
        </w:rPr>
        <w:t>NC005364</w:t>
      </w:r>
    </w:p>
    <w:p w14:paraId="42A06C5D" w14:textId="77777777" w:rsidR="00F02585" w:rsidRPr="00706680" w:rsidRDefault="00F02585" w:rsidP="00F02585">
      <w:pPr>
        <w:pStyle w:val="paraa"/>
        <w:spacing w:after="0"/>
        <w:ind w:left="0"/>
        <w:jc w:val="center"/>
        <w:rPr>
          <w:sz w:val="16"/>
          <w:szCs w:val="16"/>
          <w:lang w:val="en-IE"/>
        </w:rPr>
      </w:pPr>
      <w:r w:rsidRPr="00706680">
        <w:rPr>
          <w:bCs/>
          <w:sz w:val="16"/>
          <w:szCs w:val="16"/>
          <w:lang w:val="en-IE"/>
        </w:rPr>
        <w:t>**Primers sequence:</w:t>
      </w:r>
      <w:r w:rsidRPr="00706680">
        <w:rPr>
          <w:sz w:val="16"/>
          <w:szCs w:val="16"/>
          <w:lang w:val="en-IE"/>
        </w:rPr>
        <w:t xml:space="preserve"> MSC1: ATA-CTT-CTG-TTC-TAG-TAA-TAT-G; MSC2: CTG-ATT-ATG-ATG-ACA-GTG-GTC-A</w:t>
      </w:r>
    </w:p>
    <w:p w14:paraId="1F6A051B" w14:textId="77777777" w:rsidR="00F02585" w:rsidRPr="00706680" w:rsidRDefault="00F02585" w:rsidP="00F02585">
      <w:pPr>
        <w:pStyle w:val="paraa"/>
        <w:ind w:left="0"/>
        <w:jc w:val="center"/>
        <w:rPr>
          <w:sz w:val="16"/>
          <w:szCs w:val="16"/>
          <w:lang w:val="en-IE"/>
        </w:rPr>
      </w:pPr>
      <w:r w:rsidRPr="00706680">
        <w:rPr>
          <w:sz w:val="16"/>
          <w:szCs w:val="16"/>
          <w:lang w:val="en-IE"/>
        </w:rPr>
        <w:t>***Primers sequence: SC3NEST1-L: ACA-AAA-AGA-AGA-TAT-GGT-GTT-GG and SC3NEST1-R: ATC-AGG-TTT-ATC-CAT-TGG-TTG-G; SC3VII: ATT-AGG-ATT-AGC-TGG-TGG-AGG-AAC and SC3IV-S: TCT-GGG-TTA-TTC-GAA-CCA-TTA-T</w:t>
      </w:r>
    </w:p>
    <w:p w14:paraId="415294B5" w14:textId="77777777" w:rsidR="00F02585" w:rsidRPr="00706680" w:rsidRDefault="00F02585" w:rsidP="00706473">
      <w:pPr>
        <w:pStyle w:val="11Para"/>
        <w:rPr>
          <w:lang w:val="en-IE"/>
        </w:rPr>
      </w:pPr>
      <w:r w:rsidRPr="00706680">
        <w:rPr>
          <w:lang w:val="en-IE"/>
        </w:rPr>
        <w:t xml:space="preserve">As an example of one PCR system that is used in routine for </w:t>
      </w:r>
      <w:r w:rsidR="003163B1" w:rsidRPr="00706680">
        <w:rPr>
          <w:i/>
          <w:lang w:val="en-IE"/>
        </w:rPr>
        <w:t>Mmm</w:t>
      </w:r>
      <w:r w:rsidR="003163B1" w:rsidRPr="00A4162A">
        <w:rPr>
          <w:strike/>
          <w:lang w:val="en-IE"/>
        </w:rPr>
        <w:t>SC</w:t>
      </w:r>
      <w:r w:rsidR="003163B1" w:rsidRPr="00706680">
        <w:rPr>
          <w:lang w:val="en-IE"/>
        </w:rPr>
        <w:t xml:space="preserve"> </w:t>
      </w:r>
      <w:r w:rsidRPr="00706680">
        <w:rPr>
          <w:lang w:val="en-IE"/>
        </w:rPr>
        <w:t xml:space="preserve">identification, the PCR-REA </w:t>
      </w:r>
      <w:r w:rsidR="00706473" w:rsidRPr="00706680">
        <w:rPr>
          <w:lang w:val="en-IE"/>
        </w:rPr>
        <w:t xml:space="preserve">procedure </w:t>
      </w:r>
      <w:r w:rsidRPr="00706680">
        <w:rPr>
          <w:lang w:val="en-IE"/>
        </w:rPr>
        <w:t xml:space="preserve">adapted </w:t>
      </w:r>
      <w:r w:rsidRPr="00A304D2">
        <w:rPr>
          <w:lang w:val="en-IE"/>
        </w:rPr>
        <w:t xml:space="preserve">from Bashiruddin </w:t>
      </w:r>
      <w:r w:rsidRPr="00A304D2">
        <w:rPr>
          <w:i/>
          <w:lang w:val="en-IE"/>
        </w:rPr>
        <w:t>et al.,</w:t>
      </w:r>
      <w:r w:rsidRPr="00A304D2">
        <w:rPr>
          <w:lang w:val="en-IE"/>
        </w:rPr>
        <w:t>1994,</w:t>
      </w:r>
      <w:r w:rsidRPr="00706680">
        <w:rPr>
          <w:lang w:val="en-IE"/>
        </w:rPr>
        <w:t xml:space="preserve"> is provided</w:t>
      </w:r>
      <w:r w:rsidR="00864AE9" w:rsidRPr="00706680">
        <w:rPr>
          <w:lang w:val="en-IE"/>
        </w:rPr>
        <w:t xml:space="preserve"> below</w:t>
      </w:r>
      <w:r w:rsidRPr="00706680">
        <w:rPr>
          <w:lang w:val="en-IE"/>
        </w:rPr>
        <w:t>.</w:t>
      </w:r>
      <w:r w:rsidR="00864AE9" w:rsidRPr="00706680">
        <w:rPr>
          <w:lang w:val="en-IE"/>
        </w:rPr>
        <w:t xml:space="preserve"> </w:t>
      </w:r>
      <w:r w:rsidR="00864AE9" w:rsidRPr="00A4162A">
        <w:rPr>
          <w:strike/>
          <w:lang w:val="en-IE"/>
        </w:rPr>
        <w:t xml:space="preserve">A single step PCR has also been described by Miles </w:t>
      </w:r>
      <w:r w:rsidR="00864AE9" w:rsidRPr="00A4162A">
        <w:rPr>
          <w:i/>
          <w:strike/>
          <w:lang w:val="en-IE"/>
        </w:rPr>
        <w:t>et al.</w:t>
      </w:r>
      <w:r w:rsidR="00864AE9" w:rsidRPr="00A4162A">
        <w:rPr>
          <w:strike/>
          <w:lang w:val="en-IE"/>
        </w:rPr>
        <w:t xml:space="preserve"> (2006).</w:t>
      </w:r>
    </w:p>
    <w:p w14:paraId="181FAA90" w14:textId="77777777" w:rsidR="00F02585" w:rsidRPr="00706680" w:rsidRDefault="00706473" w:rsidP="00706473">
      <w:pPr>
        <w:pStyle w:val="111"/>
        <w:rPr>
          <w:bCs/>
          <w:lang w:val="en-IE"/>
        </w:rPr>
      </w:pPr>
      <w:r w:rsidRPr="00706680">
        <w:rPr>
          <w:bCs/>
          <w:lang w:val="en-IE"/>
        </w:rPr>
        <w:t>1.4.1.</w:t>
      </w:r>
      <w:r w:rsidR="00882818" w:rsidRPr="00706680">
        <w:rPr>
          <w:bCs/>
          <w:lang w:val="en-IE"/>
        </w:rPr>
        <w:tab/>
        <w:t>DNA extraction</w:t>
      </w:r>
    </w:p>
    <w:p w14:paraId="11DF22BE" w14:textId="1FDCCEA3" w:rsidR="00F02585" w:rsidRPr="00706680" w:rsidRDefault="00882818" w:rsidP="00706473">
      <w:pPr>
        <w:pStyle w:val="111Para"/>
        <w:rPr>
          <w:lang w:val="en-IE"/>
        </w:rPr>
      </w:pPr>
      <w:r w:rsidRPr="00706680">
        <w:rPr>
          <w:lang w:val="en-IE"/>
        </w:rPr>
        <w:t>Any accepted method for DNA extraction would be a</w:t>
      </w:r>
      <w:r w:rsidR="004365EC" w:rsidRPr="00706680">
        <w:rPr>
          <w:lang w:val="en-IE"/>
        </w:rPr>
        <w:t>ppropriate</w:t>
      </w:r>
      <w:r w:rsidRPr="00706680">
        <w:rPr>
          <w:lang w:val="en-IE"/>
        </w:rPr>
        <w:t>. A simple and effective method is to select a single colony, resuspend in 100 µl of PCR-grade water, boil for 15</w:t>
      </w:r>
      <w:r w:rsidR="00D81CCB" w:rsidRPr="00706680">
        <w:rPr>
          <w:lang w:val="en-IE"/>
        </w:rPr>
        <w:t> </w:t>
      </w:r>
      <w:r w:rsidRPr="00706680">
        <w:rPr>
          <w:lang w:val="en-IE"/>
        </w:rPr>
        <w:t xml:space="preserve">minutes to lyse the cells and release the DNA, and centrifuge at </w:t>
      </w:r>
      <w:r w:rsidR="00B850FA" w:rsidRPr="00B850FA">
        <w:rPr>
          <w:u w:val="double"/>
          <w:lang w:val="en-IE"/>
        </w:rPr>
        <w:t>8000</w:t>
      </w:r>
      <w:r w:rsidR="00B850FA">
        <w:rPr>
          <w:lang w:val="en-IE"/>
        </w:rPr>
        <w:t xml:space="preserve"> </w:t>
      </w:r>
      <w:r w:rsidRPr="00B850FA">
        <w:rPr>
          <w:strike/>
          <w:lang w:val="en-IE"/>
        </w:rPr>
        <w:t>1500</w:t>
      </w:r>
      <w:r w:rsidRPr="001B4922">
        <w:rPr>
          <w:strike/>
          <w:lang w:val="en-IE"/>
        </w:rPr>
        <w:t xml:space="preserve"> </w:t>
      </w:r>
      <w:r w:rsidRPr="00706680">
        <w:rPr>
          <w:b/>
          <w:i/>
          <w:lang w:val="en-IE"/>
        </w:rPr>
        <w:t>g</w:t>
      </w:r>
      <w:r w:rsidRPr="00706680">
        <w:rPr>
          <w:lang w:val="en-IE"/>
        </w:rPr>
        <w:t xml:space="preserve"> for 1 minute. The supernatant with the DNA will be used in the PCR reaction after </w:t>
      </w:r>
      <w:r w:rsidR="004365EC" w:rsidRPr="00706680">
        <w:rPr>
          <w:lang w:val="en-IE"/>
        </w:rPr>
        <w:t xml:space="preserve">diluting </w:t>
      </w:r>
      <w:r w:rsidRPr="00706680">
        <w:rPr>
          <w:lang w:val="en-IE"/>
        </w:rPr>
        <w:t xml:space="preserve">1/10 in PCR-grade water. </w:t>
      </w:r>
      <w:r w:rsidR="004365EC" w:rsidRPr="00706680">
        <w:rPr>
          <w:lang w:val="en-IE"/>
        </w:rPr>
        <w:t>A</w:t>
      </w:r>
      <w:r w:rsidRPr="00706680">
        <w:rPr>
          <w:lang w:val="en-IE"/>
        </w:rPr>
        <w:t>lternative</w:t>
      </w:r>
      <w:r w:rsidR="004365EC" w:rsidRPr="00706680">
        <w:rPr>
          <w:lang w:val="en-IE"/>
        </w:rPr>
        <w:t>ly</w:t>
      </w:r>
      <w:r w:rsidRPr="00706680">
        <w:rPr>
          <w:lang w:val="en-IE"/>
        </w:rPr>
        <w:t xml:space="preserve"> 500 µl of a 4</w:t>
      </w:r>
      <w:r w:rsidR="004365EC" w:rsidRPr="00706680">
        <w:rPr>
          <w:lang w:val="en-IE"/>
        </w:rPr>
        <w:t>-</w:t>
      </w:r>
      <w:r w:rsidRPr="00706680">
        <w:rPr>
          <w:lang w:val="en-IE"/>
        </w:rPr>
        <w:t xml:space="preserve">day broth culture, from a single colony, </w:t>
      </w:r>
      <w:r w:rsidR="004365EC" w:rsidRPr="00706680">
        <w:rPr>
          <w:lang w:val="en-IE"/>
        </w:rPr>
        <w:t>is</w:t>
      </w:r>
      <w:r w:rsidRPr="00706680">
        <w:rPr>
          <w:lang w:val="en-IE"/>
        </w:rPr>
        <w:t xml:space="preserve"> centrifuged at </w:t>
      </w:r>
      <w:r w:rsidR="001B4922" w:rsidRPr="001B4922">
        <w:rPr>
          <w:highlight w:val="yellow"/>
          <w:u w:val="double"/>
          <w:lang w:val="en-IE"/>
        </w:rPr>
        <w:t>8000</w:t>
      </w:r>
      <w:r w:rsidR="001B4922" w:rsidRPr="001B4922">
        <w:rPr>
          <w:highlight w:val="yellow"/>
          <w:lang w:val="en-IE"/>
        </w:rPr>
        <w:t xml:space="preserve"> </w:t>
      </w:r>
      <w:r w:rsidR="001B4922" w:rsidRPr="001B4922">
        <w:rPr>
          <w:strike/>
          <w:highlight w:val="yellow"/>
          <w:lang w:val="en-IE"/>
        </w:rPr>
        <w:t>1500</w:t>
      </w:r>
      <w:r w:rsidR="001B4922" w:rsidRPr="001B4922">
        <w:rPr>
          <w:strike/>
          <w:lang w:val="en-IE"/>
        </w:rPr>
        <w:t xml:space="preserve"> </w:t>
      </w:r>
      <w:r w:rsidR="001B4922" w:rsidRPr="00706680">
        <w:rPr>
          <w:b/>
          <w:i/>
          <w:lang w:val="en-IE"/>
        </w:rPr>
        <w:t>g</w:t>
      </w:r>
      <w:r w:rsidR="001B4922" w:rsidRPr="00706680">
        <w:rPr>
          <w:lang w:val="en-IE"/>
        </w:rPr>
        <w:t xml:space="preserve"> for </w:t>
      </w:r>
      <w:r w:rsidR="001B4922" w:rsidRPr="001B4922">
        <w:rPr>
          <w:strike/>
          <w:highlight w:val="yellow"/>
          <w:lang w:val="en-IE"/>
        </w:rPr>
        <w:t>5</w:t>
      </w:r>
      <w:r w:rsidR="001B4922" w:rsidRPr="001B4922">
        <w:rPr>
          <w:highlight w:val="yellow"/>
          <w:lang w:val="en-IE"/>
        </w:rPr>
        <w:t xml:space="preserve"> </w:t>
      </w:r>
      <w:r w:rsidR="001B4922" w:rsidRPr="001B4922">
        <w:rPr>
          <w:highlight w:val="yellow"/>
          <w:u w:val="double"/>
          <w:lang w:val="en-IE"/>
        </w:rPr>
        <w:t>1</w:t>
      </w:r>
      <w:r w:rsidR="001B4922" w:rsidRPr="00706680">
        <w:rPr>
          <w:lang w:val="en-IE"/>
        </w:rPr>
        <w:t xml:space="preserve"> minute</w:t>
      </w:r>
      <w:r w:rsidR="001B4922" w:rsidRPr="001B4922">
        <w:rPr>
          <w:strike/>
          <w:highlight w:val="yellow"/>
          <w:lang w:val="en-IE"/>
        </w:rPr>
        <w:t>s</w:t>
      </w:r>
      <w:r w:rsidRPr="00706680">
        <w:rPr>
          <w:lang w:val="en-IE"/>
        </w:rPr>
        <w:t>, the pellet is resuspended in 100 µl of PCR-grade water and boiled and centrifuged as</w:t>
      </w:r>
      <w:r w:rsidR="004365EC" w:rsidRPr="00706680">
        <w:rPr>
          <w:lang w:val="en-IE"/>
        </w:rPr>
        <w:t xml:space="preserve"> above. After diluti</w:t>
      </w:r>
      <w:r w:rsidRPr="00706680">
        <w:rPr>
          <w:lang w:val="en-IE"/>
        </w:rPr>
        <w:t>n</w:t>
      </w:r>
      <w:r w:rsidR="004365EC" w:rsidRPr="00706680">
        <w:rPr>
          <w:lang w:val="en-IE"/>
        </w:rPr>
        <w:t>g</w:t>
      </w:r>
      <w:r w:rsidRPr="00706680">
        <w:rPr>
          <w:lang w:val="en-IE"/>
        </w:rPr>
        <w:t xml:space="preserve"> 1/10, 1 µl of the supernatant is used </w:t>
      </w:r>
      <w:r w:rsidR="009819E5" w:rsidRPr="00A4162A">
        <w:rPr>
          <w:u w:val="double"/>
          <w:lang w:val="en-IE"/>
        </w:rPr>
        <w:t>as template</w:t>
      </w:r>
      <w:r w:rsidR="009819E5">
        <w:rPr>
          <w:lang w:val="en-IE"/>
        </w:rPr>
        <w:t xml:space="preserve"> </w:t>
      </w:r>
      <w:r w:rsidRPr="00706680">
        <w:rPr>
          <w:lang w:val="en-IE"/>
        </w:rPr>
        <w:t>in the PCR</w:t>
      </w:r>
      <w:r w:rsidR="0073402F" w:rsidRPr="00706680">
        <w:rPr>
          <w:lang w:val="en-IE"/>
        </w:rPr>
        <w:t>.</w:t>
      </w:r>
    </w:p>
    <w:p w14:paraId="384490FD" w14:textId="77777777" w:rsidR="00882818" w:rsidRPr="00706680" w:rsidRDefault="00706473" w:rsidP="00706473">
      <w:pPr>
        <w:pStyle w:val="111"/>
        <w:rPr>
          <w:bCs/>
          <w:lang w:val="en-IE"/>
        </w:rPr>
      </w:pPr>
      <w:r w:rsidRPr="00706680">
        <w:rPr>
          <w:bCs/>
          <w:lang w:val="en-IE"/>
        </w:rPr>
        <w:t>1.4.2.</w:t>
      </w:r>
      <w:r w:rsidR="00882818" w:rsidRPr="00706680">
        <w:rPr>
          <w:bCs/>
          <w:lang w:val="en-IE"/>
        </w:rPr>
        <w:tab/>
        <w:t>PCR amplification</w:t>
      </w:r>
    </w:p>
    <w:p w14:paraId="397B1C11" w14:textId="77777777" w:rsidR="00882818" w:rsidRPr="00706680" w:rsidRDefault="007A2093" w:rsidP="007A2093">
      <w:pPr>
        <w:pStyle w:val="i"/>
        <w:rPr>
          <w:lang w:val="en-IE"/>
        </w:rPr>
      </w:pPr>
      <w:r w:rsidRPr="00706680">
        <w:rPr>
          <w:lang w:val="en-IE"/>
        </w:rPr>
        <w:t>i</w:t>
      </w:r>
      <w:r w:rsidR="00882818" w:rsidRPr="00706680">
        <w:rPr>
          <w:lang w:val="en-IE"/>
        </w:rPr>
        <w:t>)</w:t>
      </w:r>
      <w:r w:rsidR="00882818" w:rsidRPr="00706680">
        <w:rPr>
          <w:lang w:val="en-IE"/>
        </w:rPr>
        <w:tab/>
        <w:t>Preparation of the master mix</w:t>
      </w:r>
    </w:p>
    <w:p w14:paraId="42F09011" w14:textId="77777777" w:rsidR="00882818" w:rsidRPr="00706680" w:rsidRDefault="00882818" w:rsidP="00E420C2">
      <w:pPr>
        <w:pStyle w:val="afourthpara"/>
        <w:spacing w:after="120"/>
        <w:rPr>
          <w:lang w:val="en-IE"/>
        </w:rPr>
      </w:pPr>
      <w:r w:rsidRPr="00706680">
        <w:rPr>
          <w:lang w:val="en-IE"/>
        </w:rPr>
        <w:t>Synthetic oligonucleotides should be dissolved in TE buffer</w:t>
      </w:r>
      <w:r w:rsidR="007A2093" w:rsidRPr="00706680">
        <w:rPr>
          <w:lang w:val="en-IE"/>
        </w:rPr>
        <w:t xml:space="preserve"> (Tris-EDTA [</w:t>
      </w:r>
      <w:r w:rsidR="007A2093" w:rsidRPr="00A4162A">
        <w:t>ethylene diamine tetra-acetic acid</w:t>
      </w:r>
      <w:r w:rsidR="007A2093" w:rsidRPr="00706680">
        <w:rPr>
          <w:lang w:val="en-IE"/>
        </w:rPr>
        <w:t>])</w:t>
      </w:r>
      <w:r w:rsidRPr="00706680">
        <w:rPr>
          <w:lang w:val="en-IE"/>
        </w:rPr>
        <w:t xml:space="preserve"> to a 100 µM concentration. This stock solution is stable at –20°C for at least 4 years</w:t>
      </w:r>
      <w:r w:rsidR="007A2093" w:rsidRPr="00706680">
        <w:rPr>
          <w:lang w:val="en-IE"/>
        </w:rPr>
        <w:t>. A working</w:t>
      </w:r>
      <w:r w:rsidRPr="00706680">
        <w:rPr>
          <w:lang w:val="en-IE"/>
        </w:rPr>
        <w:t xml:space="preserve"> solution is prepared </w:t>
      </w:r>
      <w:r w:rsidR="007A2093" w:rsidRPr="00706680">
        <w:rPr>
          <w:lang w:val="en-IE"/>
        </w:rPr>
        <w:t xml:space="preserve">from the stock solution </w:t>
      </w:r>
      <w:r w:rsidRPr="00706680">
        <w:rPr>
          <w:lang w:val="en-IE"/>
        </w:rPr>
        <w:t xml:space="preserve">by </w:t>
      </w:r>
      <w:r w:rsidR="007A2093" w:rsidRPr="00706680">
        <w:rPr>
          <w:lang w:val="en-IE"/>
        </w:rPr>
        <w:t xml:space="preserve">a </w:t>
      </w:r>
      <w:r w:rsidRPr="00706680">
        <w:rPr>
          <w:lang w:val="en-IE"/>
        </w:rPr>
        <w:t xml:space="preserve">1/2 dilution, to obtain a final concentration of 50 </w:t>
      </w:r>
      <w:r w:rsidR="007A2093" w:rsidRPr="00706680">
        <w:rPr>
          <w:lang w:val="en-IE"/>
        </w:rPr>
        <w:t>µ</w:t>
      </w:r>
      <w:r w:rsidRPr="00706680">
        <w:rPr>
          <w:lang w:val="en-IE"/>
        </w:rPr>
        <w:t>M. In a final volume of 25 µl the PCR reaction should contain the following:</w:t>
      </w: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0"/>
        <w:gridCol w:w="1647"/>
        <w:gridCol w:w="2126"/>
        <w:gridCol w:w="2465"/>
      </w:tblGrid>
      <w:tr w:rsidR="00882818" w:rsidRPr="00683785" w14:paraId="69A34723" w14:textId="77777777" w:rsidTr="00234D03">
        <w:trPr>
          <w:tblHeader/>
          <w:jc w:val="center"/>
        </w:trPr>
        <w:tc>
          <w:tcPr>
            <w:tcW w:w="2640" w:type="dxa"/>
            <w:tcBorders>
              <w:bottom w:val="single" w:sz="18" w:space="0" w:color="auto"/>
            </w:tcBorders>
          </w:tcPr>
          <w:p w14:paraId="21D3B87D" w14:textId="77777777" w:rsidR="00882818" w:rsidRPr="00706680" w:rsidRDefault="00882818" w:rsidP="00882818">
            <w:pPr>
              <w:spacing w:before="120" w:after="120"/>
              <w:rPr>
                <w:rFonts w:ascii="Arial" w:hAnsi="Arial" w:cs="Arial"/>
                <w:sz w:val="18"/>
                <w:szCs w:val="18"/>
                <w:lang w:val="en-IE"/>
              </w:rPr>
            </w:pPr>
          </w:p>
        </w:tc>
        <w:tc>
          <w:tcPr>
            <w:tcW w:w="1647" w:type="dxa"/>
            <w:tcBorders>
              <w:bottom w:val="single" w:sz="18" w:space="0" w:color="auto"/>
            </w:tcBorders>
            <w:vAlign w:val="center"/>
          </w:tcPr>
          <w:p w14:paraId="525964DB" w14:textId="77777777" w:rsidR="00882818" w:rsidRPr="00706680" w:rsidRDefault="00882818" w:rsidP="00234D03">
            <w:pPr>
              <w:spacing w:before="120" w:after="120"/>
              <w:jc w:val="center"/>
              <w:rPr>
                <w:rFonts w:ascii="Arial" w:hAnsi="Arial" w:cs="Arial"/>
                <w:sz w:val="18"/>
                <w:szCs w:val="18"/>
                <w:lang w:val="en-IE"/>
              </w:rPr>
            </w:pPr>
            <w:r w:rsidRPr="00706680">
              <w:rPr>
                <w:rFonts w:ascii="Arial" w:hAnsi="Arial" w:cs="Arial"/>
                <w:sz w:val="18"/>
                <w:szCs w:val="18"/>
                <w:lang w:val="en-IE"/>
              </w:rPr>
              <w:t>Concentration</w:t>
            </w:r>
          </w:p>
        </w:tc>
        <w:tc>
          <w:tcPr>
            <w:tcW w:w="2126" w:type="dxa"/>
            <w:tcBorders>
              <w:bottom w:val="single" w:sz="18" w:space="0" w:color="auto"/>
            </w:tcBorders>
          </w:tcPr>
          <w:p w14:paraId="4A7F1068" w14:textId="77777777" w:rsidR="00882818" w:rsidRPr="00706680" w:rsidRDefault="00882818" w:rsidP="00882818">
            <w:pPr>
              <w:spacing w:before="120" w:after="120"/>
              <w:jc w:val="center"/>
              <w:rPr>
                <w:rFonts w:ascii="Arial" w:hAnsi="Arial" w:cs="Arial"/>
                <w:sz w:val="18"/>
                <w:szCs w:val="18"/>
                <w:lang w:val="en-IE"/>
              </w:rPr>
            </w:pPr>
            <w:r w:rsidRPr="00706680">
              <w:rPr>
                <w:rFonts w:ascii="Arial" w:hAnsi="Arial" w:cs="Arial"/>
                <w:sz w:val="18"/>
                <w:szCs w:val="18"/>
                <w:lang w:val="en-IE"/>
              </w:rPr>
              <w:t>Volume in one reaction</w:t>
            </w:r>
            <w:r w:rsidRPr="00706680">
              <w:rPr>
                <w:rFonts w:ascii="Arial" w:hAnsi="Arial" w:cs="Arial"/>
                <w:sz w:val="18"/>
                <w:szCs w:val="18"/>
                <w:lang w:val="en-IE"/>
              </w:rPr>
              <w:br/>
              <w:t>(total volume 25 µl)</w:t>
            </w:r>
          </w:p>
        </w:tc>
        <w:tc>
          <w:tcPr>
            <w:tcW w:w="2465" w:type="dxa"/>
            <w:tcBorders>
              <w:bottom w:val="single" w:sz="18" w:space="0" w:color="auto"/>
            </w:tcBorders>
          </w:tcPr>
          <w:p w14:paraId="07A54060" w14:textId="77777777" w:rsidR="00882818" w:rsidRPr="00706680" w:rsidRDefault="00882818" w:rsidP="00882818">
            <w:pPr>
              <w:spacing w:before="120" w:after="120"/>
              <w:jc w:val="center"/>
              <w:rPr>
                <w:rFonts w:ascii="Arial" w:hAnsi="Arial" w:cs="Arial"/>
                <w:sz w:val="18"/>
                <w:szCs w:val="18"/>
                <w:lang w:val="en-IE"/>
              </w:rPr>
            </w:pPr>
            <w:r w:rsidRPr="00706680">
              <w:rPr>
                <w:rFonts w:ascii="Arial" w:hAnsi="Arial" w:cs="Arial"/>
                <w:sz w:val="18"/>
                <w:szCs w:val="18"/>
                <w:lang w:val="en-IE"/>
              </w:rPr>
              <w:t>Final concentration in the reaction</w:t>
            </w:r>
          </w:p>
        </w:tc>
      </w:tr>
      <w:tr w:rsidR="00882818" w:rsidRPr="00706680" w14:paraId="3F11F051" w14:textId="77777777" w:rsidTr="007A2093">
        <w:trPr>
          <w:jc w:val="center"/>
        </w:trPr>
        <w:tc>
          <w:tcPr>
            <w:tcW w:w="2640" w:type="dxa"/>
            <w:tcBorders>
              <w:top w:val="nil"/>
            </w:tcBorders>
          </w:tcPr>
          <w:p w14:paraId="37ED069F" w14:textId="77777777" w:rsidR="00882818" w:rsidRPr="00706680" w:rsidRDefault="00882818" w:rsidP="00882818">
            <w:pPr>
              <w:spacing w:before="60" w:after="60"/>
              <w:jc w:val="center"/>
              <w:rPr>
                <w:rFonts w:ascii="Arial" w:hAnsi="Arial" w:cs="Arial"/>
                <w:sz w:val="16"/>
                <w:szCs w:val="16"/>
                <w:lang w:val="en-IE"/>
              </w:rPr>
            </w:pPr>
            <w:r w:rsidRPr="00706680">
              <w:rPr>
                <w:rFonts w:ascii="Arial" w:hAnsi="Arial" w:cs="Arial"/>
                <w:sz w:val="18"/>
                <w:szCs w:val="18"/>
                <w:lang w:val="en-IE"/>
              </w:rPr>
              <w:t>H</w:t>
            </w:r>
            <w:r w:rsidRPr="00C44BA7">
              <w:rPr>
                <w:rFonts w:ascii="Arial" w:hAnsi="Arial" w:cs="Arial"/>
                <w:sz w:val="18"/>
                <w:szCs w:val="14"/>
                <w:vertAlign w:val="subscript"/>
                <w:lang w:val="en-IE"/>
              </w:rPr>
              <w:t>2</w:t>
            </w:r>
            <w:r w:rsidRPr="00706680">
              <w:rPr>
                <w:rFonts w:ascii="Arial" w:hAnsi="Arial" w:cs="Arial"/>
                <w:sz w:val="18"/>
                <w:szCs w:val="18"/>
                <w:lang w:val="en-IE"/>
              </w:rPr>
              <w:t>O PCR-grade</w:t>
            </w:r>
          </w:p>
        </w:tc>
        <w:tc>
          <w:tcPr>
            <w:tcW w:w="1647" w:type="dxa"/>
            <w:tcBorders>
              <w:top w:val="nil"/>
            </w:tcBorders>
          </w:tcPr>
          <w:p w14:paraId="1B23D3BC" w14:textId="77777777" w:rsidR="00882818" w:rsidRPr="00706680" w:rsidRDefault="00882818" w:rsidP="00882818">
            <w:pPr>
              <w:spacing w:before="60" w:after="60"/>
              <w:jc w:val="center"/>
              <w:rPr>
                <w:rFonts w:ascii="Arial" w:hAnsi="Arial" w:cs="Arial"/>
                <w:sz w:val="18"/>
                <w:szCs w:val="18"/>
                <w:lang w:val="en-IE"/>
              </w:rPr>
            </w:pPr>
            <w:r w:rsidRPr="00706680">
              <w:rPr>
                <w:rFonts w:ascii="Arial" w:hAnsi="Arial" w:cs="Arial"/>
                <w:sz w:val="18"/>
                <w:szCs w:val="18"/>
                <w:lang w:val="en-IE"/>
              </w:rPr>
              <w:t>–</w:t>
            </w:r>
          </w:p>
        </w:tc>
        <w:tc>
          <w:tcPr>
            <w:tcW w:w="2126" w:type="dxa"/>
            <w:tcBorders>
              <w:top w:val="nil"/>
            </w:tcBorders>
          </w:tcPr>
          <w:p w14:paraId="487EA232"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 xml:space="preserve">16 </w:t>
            </w:r>
            <w:r w:rsidR="007A2093" w:rsidRPr="00706680">
              <w:rPr>
                <w:rFonts w:ascii="Arial" w:hAnsi="Arial" w:cs="Arial"/>
                <w:sz w:val="18"/>
                <w:szCs w:val="18"/>
                <w:lang w:val="en-IE"/>
              </w:rPr>
              <w:t>µ</w:t>
            </w:r>
            <w:r w:rsidRPr="00706680">
              <w:rPr>
                <w:rFonts w:ascii="Arial" w:hAnsi="Arial" w:cs="Arial"/>
                <w:sz w:val="18"/>
                <w:szCs w:val="18"/>
                <w:lang w:val="en-IE"/>
              </w:rPr>
              <w:t>l</w:t>
            </w:r>
          </w:p>
        </w:tc>
        <w:tc>
          <w:tcPr>
            <w:tcW w:w="2465" w:type="dxa"/>
            <w:tcBorders>
              <w:top w:val="nil"/>
            </w:tcBorders>
          </w:tcPr>
          <w:p w14:paraId="3D213C45" w14:textId="77777777" w:rsidR="00882818" w:rsidRPr="00706680" w:rsidRDefault="007A2093" w:rsidP="00882818">
            <w:pPr>
              <w:spacing w:before="60" w:after="60"/>
              <w:jc w:val="center"/>
              <w:rPr>
                <w:rFonts w:ascii="Arial" w:hAnsi="Arial" w:cs="Arial"/>
                <w:sz w:val="18"/>
                <w:szCs w:val="18"/>
                <w:lang w:val="en-IE"/>
              </w:rPr>
            </w:pPr>
            <w:r w:rsidRPr="00706680">
              <w:rPr>
                <w:rFonts w:ascii="Arial" w:hAnsi="Arial" w:cs="Arial"/>
                <w:sz w:val="18"/>
                <w:szCs w:val="18"/>
                <w:lang w:val="en-IE"/>
              </w:rPr>
              <w:t>–</w:t>
            </w:r>
          </w:p>
        </w:tc>
      </w:tr>
      <w:tr w:rsidR="00882818" w:rsidRPr="00706680" w14:paraId="41518F81" w14:textId="77777777" w:rsidTr="007A2093">
        <w:trPr>
          <w:jc w:val="center"/>
        </w:trPr>
        <w:tc>
          <w:tcPr>
            <w:tcW w:w="2640" w:type="dxa"/>
          </w:tcPr>
          <w:p w14:paraId="2E3D37AE"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Reaction buffer without MgCl</w:t>
            </w:r>
            <w:r w:rsidRPr="00C44BA7">
              <w:rPr>
                <w:rFonts w:ascii="Arial" w:hAnsi="Arial" w:cs="Arial"/>
                <w:sz w:val="18"/>
                <w:szCs w:val="14"/>
                <w:vertAlign w:val="subscript"/>
                <w:lang w:val="en-IE"/>
              </w:rPr>
              <w:t>2</w:t>
            </w:r>
          </w:p>
        </w:tc>
        <w:tc>
          <w:tcPr>
            <w:tcW w:w="1647" w:type="dxa"/>
          </w:tcPr>
          <w:p w14:paraId="7D8DE965"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10 ×</w:t>
            </w:r>
          </w:p>
        </w:tc>
        <w:tc>
          <w:tcPr>
            <w:tcW w:w="2126" w:type="dxa"/>
          </w:tcPr>
          <w:p w14:paraId="483FCA11"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2.5 µl</w:t>
            </w:r>
          </w:p>
        </w:tc>
        <w:tc>
          <w:tcPr>
            <w:tcW w:w="2465" w:type="dxa"/>
          </w:tcPr>
          <w:p w14:paraId="5237CA1D"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w:t>
            </w:r>
          </w:p>
        </w:tc>
      </w:tr>
      <w:tr w:rsidR="00882818" w:rsidRPr="00706680" w14:paraId="1624B4D6" w14:textId="77777777" w:rsidTr="007A2093">
        <w:trPr>
          <w:jc w:val="center"/>
        </w:trPr>
        <w:tc>
          <w:tcPr>
            <w:tcW w:w="2640" w:type="dxa"/>
          </w:tcPr>
          <w:p w14:paraId="70FB20F3"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MgCl</w:t>
            </w:r>
            <w:r w:rsidRPr="00C44BA7">
              <w:rPr>
                <w:rFonts w:ascii="Arial" w:hAnsi="Arial" w:cs="Arial"/>
                <w:sz w:val="18"/>
                <w:szCs w:val="14"/>
                <w:vertAlign w:val="subscript"/>
                <w:lang w:val="en-IE"/>
              </w:rPr>
              <w:t>2</w:t>
            </w:r>
          </w:p>
        </w:tc>
        <w:tc>
          <w:tcPr>
            <w:tcW w:w="1647" w:type="dxa"/>
          </w:tcPr>
          <w:p w14:paraId="6D2C095A"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25 mM</w:t>
            </w:r>
          </w:p>
        </w:tc>
        <w:tc>
          <w:tcPr>
            <w:tcW w:w="2126" w:type="dxa"/>
          </w:tcPr>
          <w:p w14:paraId="4D6FC44B"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3 µl</w:t>
            </w:r>
          </w:p>
        </w:tc>
        <w:tc>
          <w:tcPr>
            <w:tcW w:w="2465" w:type="dxa"/>
          </w:tcPr>
          <w:p w14:paraId="53CA622A"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3 mM</w:t>
            </w:r>
          </w:p>
        </w:tc>
      </w:tr>
      <w:tr w:rsidR="00882818" w:rsidRPr="00706680" w14:paraId="56FB6CF7" w14:textId="77777777" w:rsidTr="007A2093">
        <w:trPr>
          <w:jc w:val="center"/>
        </w:trPr>
        <w:tc>
          <w:tcPr>
            <w:tcW w:w="2640" w:type="dxa"/>
          </w:tcPr>
          <w:p w14:paraId="193A2579"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dNTPs</w:t>
            </w:r>
          </w:p>
        </w:tc>
        <w:tc>
          <w:tcPr>
            <w:tcW w:w="1647" w:type="dxa"/>
          </w:tcPr>
          <w:p w14:paraId="66BC617B"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10 mM</w:t>
            </w:r>
          </w:p>
        </w:tc>
        <w:tc>
          <w:tcPr>
            <w:tcW w:w="2126" w:type="dxa"/>
          </w:tcPr>
          <w:p w14:paraId="63F4934F"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 µl</w:t>
            </w:r>
          </w:p>
        </w:tc>
        <w:tc>
          <w:tcPr>
            <w:tcW w:w="2465" w:type="dxa"/>
          </w:tcPr>
          <w:p w14:paraId="38C41F8E"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400 µM</w:t>
            </w:r>
          </w:p>
        </w:tc>
      </w:tr>
      <w:tr w:rsidR="00882818" w:rsidRPr="00706680" w14:paraId="2E77C540" w14:textId="77777777" w:rsidTr="007A2093">
        <w:trPr>
          <w:jc w:val="center"/>
        </w:trPr>
        <w:tc>
          <w:tcPr>
            <w:tcW w:w="2640" w:type="dxa"/>
          </w:tcPr>
          <w:p w14:paraId="06902C88"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Primer MM450*</w:t>
            </w:r>
          </w:p>
        </w:tc>
        <w:tc>
          <w:tcPr>
            <w:tcW w:w="1647" w:type="dxa"/>
          </w:tcPr>
          <w:p w14:paraId="640906FD"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50 µM</w:t>
            </w:r>
          </w:p>
        </w:tc>
        <w:tc>
          <w:tcPr>
            <w:tcW w:w="2126" w:type="dxa"/>
          </w:tcPr>
          <w:p w14:paraId="495E10D8"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0.5 µl</w:t>
            </w:r>
          </w:p>
        </w:tc>
        <w:tc>
          <w:tcPr>
            <w:tcW w:w="2465" w:type="dxa"/>
          </w:tcPr>
          <w:p w14:paraId="38B90EC1"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 µM</w:t>
            </w:r>
          </w:p>
        </w:tc>
      </w:tr>
      <w:tr w:rsidR="00882818" w:rsidRPr="00706680" w14:paraId="2AA8953F" w14:textId="77777777" w:rsidTr="007A2093">
        <w:trPr>
          <w:jc w:val="center"/>
        </w:trPr>
        <w:tc>
          <w:tcPr>
            <w:tcW w:w="2640" w:type="dxa"/>
          </w:tcPr>
          <w:p w14:paraId="43D6F880"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lastRenderedPageBreak/>
              <w:t>Primer MM451**</w:t>
            </w:r>
          </w:p>
        </w:tc>
        <w:tc>
          <w:tcPr>
            <w:tcW w:w="1647" w:type="dxa"/>
          </w:tcPr>
          <w:p w14:paraId="29080E95"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50 µM</w:t>
            </w:r>
          </w:p>
        </w:tc>
        <w:tc>
          <w:tcPr>
            <w:tcW w:w="2126" w:type="dxa"/>
          </w:tcPr>
          <w:p w14:paraId="352439EE"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0.5 µl</w:t>
            </w:r>
          </w:p>
        </w:tc>
        <w:tc>
          <w:tcPr>
            <w:tcW w:w="2465" w:type="dxa"/>
          </w:tcPr>
          <w:p w14:paraId="49CF2418"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 µM</w:t>
            </w:r>
          </w:p>
        </w:tc>
      </w:tr>
      <w:tr w:rsidR="00882818" w:rsidRPr="00706680" w14:paraId="50AEC521" w14:textId="77777777" w:rsidTr="007A2093">
        <w:trPr>
          <w:jc w:val="center"/>
        </w:trPr>
        <w:tc>
          <w:tcPr>
            <w:tcW w:w="2640" w:type="dxa"/>
            <w:tcBorders>
              <w:bottom w:val="nil"/>
            </w:tcBorders>
          </w:tcPr>
          <w:p w14:paraId="20725447"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Taq pol.</w:t>
            </w:r>
          </w:p>
        </w:tc>
        <w:tc>
          <w:tcPr>
            <w:tcW w:w="1647" w:type="dxa"/>
            <w:tcBorders>
              <w:bottom w:val="nil"/>
            </w:tcBorders>
          </w:tcPr>
          <w:p w14:paraId="5D17D8B8"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5U/µl</w:t>
            </w:r>
          </w:p>
        </w:tc>
        <w:tc>
          <w:tcPr>
            <w:tcW w:w="2126" w:type="dxa"/>
            <w:tcBorders>
              <w:bottom w:val="nil"/>
            </w:tcBorders>
          </w:tcPr>
          <w:p w14:paraId="76E1FC22"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0.5 µl</w:t>
            </w:r>
          </w:p>
        </w:tc>
        <w:tc>
          <w:tcPr>
            <w:tcW w:w="2465" w:type="dxa"/>
            <w:tcBorders>
              <w:bottom w:val="nil"/>
            </w:tcBorders>
          </w:tcPr>
          <w:p w14:paraId="569296C4"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2.5 U</w:t>
            </w:r>
          </w:p>
        </w:tc>
      </w:tr>
      <w:tr w:rsidR="00882818" w:rsidRPr="00706680" w14:paraId="3D1AA099" w14:textId="77777777" w:rsidTr="007A2093">
        <w:trPr>
          <w:jc w:val="center"/>
        </w:trPr>
        <w:tc>
          <w:tcPr>
            <w:tcW w:w="2640" w:type="dxa"/>
            <w:tcBorders>
              <w:top w:val="single" w:sz="18" w:space="0" w:color="auto"/>
            </w:tcBorders>
          </w:tcPr>
          <w:p w14:paraId="5BCD5A5A"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template DNA</w:t>
            </w:r>
          </w:p>
        </w:tc>
        <w:tc>
          <w:tcPr>
            <w:tcW w:w="1647" w:type="dxa"/>
            <w:tcBorders>
              <w:top w:val="single" w:sz="18" w:space="0" w:color="auto"/>
            </w:tcBorders>
          </w:tcPr>
          <w:p w14:paraId="701026F4" w14:textId="77777777" w:rsidR="00882818" w:rsidRPr="00706680" w:rsidRDefault="00882818" w:rsidP="007A2093">
            <w:pPr>
              <w:spacing w:before="60" w:after="60"/>
              <w:jc w:val="center"/>
              <w:rPr>
                <w:rFonts w:ascii="Arial" w:hAnsi="Arial" w:cs="Arial"/>
                <w:sz w:val="18"/>
                <w:szCs w:val="18"/>
                <w:lang w:val="en-IE"/>
              </w:rPr>
            </w:pPr>
            <w:r w:rsidRPr="00706680">
              <w:rPr>
                <w:rFonts w:ascii="Arial" w:hAnsi="Arial" w:cs="Arial"/>
                <w:sz w:val="18"/>
                <w:szCs w:val="18"/>
                <w:lang w:val="en-IE"/>
              </w:rPr>
              <w:t>1 µl</w:t>
            </w:r>
          </w:p>
        </w:tc>
        <w:tc>
          <w:tcPr>
            <w:tcW w:w="2126" w:type="dxa"/>
            <w:tcBorders>
              <w:top w:val="single" w:sz="18" w:space="0" w:color="auto"/>
            </w:tcBorders>
          </w:tcPr>
          <w:p w14:paraId="36B34CF0" w14:textId="77777777" w:rsidR="00882818" w:rsidRPr="00706680" w:rsidRDefault="00882818" w:rsidP="007A2093">
            <w:pPr>
              <w:spacing w:before="60" w:after="60"/>
              <w:jc w:val="center"/>
              <w:rPr>
                <w:rFonts w:ascii="Arial" w:hAnsi="Arial" w:cs="Arial"/>
                <w:sz w:val="18"/>
                <w:szCs w:val="18"/>
                <w:lang w:val="en-IE"/>
              </w:rPr>
            </w:pPr>
          </w:p>
        </w:tc>
        <w:tc>
          <w:tcPr>
            <w:tcW w:w="2465" w:type="dxa"/>
            <w:tcBorders>
              <w:top w:val="single" w:sz="18" w:space="0" w:color="auto"/>
            </w:tcBorders>
          </w:tcPr>
          <w:p w14:paraId="179B550D" w14:textId="77777777" w:rsidR="00882818" w:rsidRPr="00706680" w:rsidRDefault="00882818" w:rsidP="007A2093">
            <w:pPr>
              <w:spacing w:before="60" w:after="60"/>
              <w:jc w:val="center"/>
              <w:rPr>
                <w:rFonts w:ascii="Arial" w:hAnsi="Arial" w:cs="Arial"/>
                <w:sz w:val="18"/>
                <w:szCs w:val="18"/>
                <w:lang w:val="en-IE"/>
              </w:rPr>
            </w:pPr>
          </w:p>
        </w:tc>
      </w:tr>
    </w:tbl>
    <w:p w14:paraId="418FF55C" w14:textId="77777777" w:rsidR="00882818" w:rsidRPr="00706680" w:rsidRDefault="00882818" w:rsidP="00C6156F">
      <w:pPr>
        <w:pStyle w:val="paraa"/>
        <w:spacing w:before="120" w:after="0"/>
        <w:jc w:val="center"/>
        <w:rPr>
          <w:sz w:val="16"/>
          <w:szCs w:val="16"/>
          <w:lang w:val="en-IE"/>
        </w:rPr>
      </w:pPr>
      <w:r w:rsidRPr="00706680">
        <w:rPr>
          <w:sz w:val="16"/>
          <w:szCs w:val="16"/>
          <w:lang w:val="en-IE"/>
        </w:rPr>
        <w:t>*Sequence: 5’-GTA-TTT-TCC-TTT-CTA-ATT-TG-3’</w:t>
      </w:r>
    </w:p>
    <w:p w14:paraId="4AC493DA" w14:textId="77777777" w:rsidR="00882818" w:rsidRPr="00706680" w:rsidRDefault="00882818" w:rsidP="007A2093">
      <w:pPr>
        <w:pStyle w:val="paraa"/>
        <w:jc w:val="center"/>
        <w:rPr>
          <w:sz w:val="16"/>
          <w:szCs w:val="16"/>
          <w:lang w:val="en-IE"/>
        </w:rPr>
      </w:pPr>
      <w:r w:rsidRPr="00706680">
        <w:rPr>
          <w:sz w:val="16"/>
          <w:szCs w:val="16"/>
          <w:lang w:val="en-IE"/>
        </w:rPr>
        <w:t>**Sequence: 5’-AAA-TCA-AAT-TAA-TAA-GTT-TG-3’</w:t>
      </w:r>
    </w:p>
    <w:p w14:paraId="7268EC55" w14:textId="77777777" w:rsidR="00882818" w:rsidRPr="00706680" w:rsidRDefault="007A2093" w:rsidP="007A2093">
      <w:pPr>
        <w:pStyle w:val="i"/>
        <w:rPr>
          <w:lang w:val="en-IE"/>
        </w:rPr>
      </w:pPr>
      <w:r w:rsidRPr="00706680">
        <w:rPr>
          <w:lang w:val="en-IE"/>
        </w:rPr>
        <w:t>ii</w:t>
      </w:r>
      <w:r w:rsidR="00882818" w:rsidRPr="00706680">
        <w:rPr>
          <w:lang w:val="en-IE"/>
        </w:rPr>
        <w:t>)</w:t>
      </w:r>
      <w:r w:rsidR="00882818" w:rsidRPr="00706680">
        <w:rPr>
          <w:lang w:val="en-IE"/>
        </w:rPr>
        <w:tab/>
        <w:t>Amplification conditions</w:t>
      </w:r>
    </w:p>
    <w:p w14:paraId="3E3F666D" w14:textId="77777777" w:rsidR="00882818" w:rsidRPr="00706680" w:rsidRDefault="00882818" w:rsidP="007A2093">
      <w:pPr>
        <w:pStyle w:val="afourthpara"/>
        <w:rPr>
          <w:lang w:val="en-IE"/>
        </w:rPr>
      </w:pPr>
      <w:r w:rsidRPr="00706680">
        <w:rPr>
          <w:lang w:val="en-IE"/>
        </w:rPr>
        <w:t xml:space="preserve">One µl of template DNA of tested sample, or positive </w:t>
      </w:r>
      <w:r w:rsidR="007A2093" w:rsidRPr="00706680">
        <w:rPr>
          <w:lang w:val="en-IE"/>
        </w:rPr>
        <w:t xml:space="preserve">control </w:t>
      </w:r>
      <w:r w:rsidRPr="00706680">
        <w:rPr>
          <w:lang w:val="en-IE"/>
        </w:rPr>
        <w:t xml:space="preserve">(DNA from </w:t>
      </w:r>
      <w:r w:rsidR="003163B1" w:rsidRPr="00706680">
        <w:rPr>
          <w:i/>
          <w:lang w:val="en-IE"/>
        </w:rPr>
        <w:t>Mmm</w:t>
      </w:r>
      <w:r w:rsidR="003163B1" w:rsidRPr="00A4162A">
        <w:rPr>
          <w:strike/>
          <w:lang w:val="en-IE"/>
        </w:rPr>
        <w:t>SC</w:t>
      </w:r>
      <w:r w:rsidR="007A2093" w:rsidRPr="00706680">
        <w:rPr>
          <w:lang w:val="en-IE"/>
        </w:rPr>
        <w:t>-</w:t>
      </w:r>
      <w:r w:rsidRPr="00706680">
        <w:rPr>
          <w:lang w:val="en-IE"/>
        </w:rPr>
        <w:t xml:space="preserve">type strain PG1) or negative control (water) </w:t>
      </w:r>
      <w:r w:rsidR="007A2093" w:rsidRPr="00706680">
        <w:rPr>
          <w:lang w:val="en-IE"/>
        </w:rPr>
        <w:t>is</w:t>
      </w:r>
      <w:r w:rsidRPr="00706680">
        <w:rPr>
          <w:lang w:val="en-IE"/>
        </w:rPr>
        <w:t xml:space="preserve"> added to the mix. The amplification is performed under the following conditions: </w:t>
      </w:r>
      <w:r w:rsidR="007A2093" w:rsidRPr="00706680">
        <w:rPr>
          <w:lang w:val="en-IE"/>
        </w:rPr>
        <w:t xml:space="preserve">30 cycles of </w:t>
      </w:r>
      <w:r w:rsidRPr="00706680">
        <w:rPr>
          <w:lang w:val="en-IE"/>
        </w:rPr>
        <w:t>94</w:t>
      </w:r>
      <w:r w:rsidR="00A027BA" w:rsidRPr="00706680">
        <w:rPr>
          <w:lang w:val="en-IE"/>
        </w:rPr>
        <w:t>°</w:t>
      </w:r>
      <w:r w:rsidRPr="00706680">
        <w:rPr>
          <w:lang w:val="en-IE"/>
        </w:rPr>
        <w:t xml:space="preserve">C </w:t>
      </w:r>
      <w:r w:rsidR="007A2093" w:rsidRPr="00706680">
        <w:rPr>
          <w:lang w:val="en-IE"/>
        </w:rPr>
        <w:t>for</w:t>
      </w:r>
      <w:r w:rsidRPr="00706680">
        <w:rPr>
          <w:lang w:val="en-IE"/>
        </w:rPr>
        <w:t xml:space="preserve"> 1 min</w:t>
      </w:r>
      <w:r w:rsidR="00A027BA" w:rsidRPr="00706680">
        <w:rPr>
          <w:lang w:val="en-IE"/>
        </w:rPr>
        <w:t>ute</w:t>
      </w:r>
      <w:r w:rsidRPr="00706680">
        <w:rPr>
          <w:lang w:val="en-IE"/>
        </w:rPr>
        <w:t>, 50</w:t>
      </w:r>
      <w:r w:rsidR="00A027BA" w:rsidRPr="00706680">
        <w:rPr>
          <w:lang w:val="en-IE"/>
        </w:rPr>
        <w:t>°</w:t>
      </w:r>
      <w:r w:rsidRPr="00706680">
        <w:rPr>
          <w:lang w:val="en-IE"/>
        </w:rPr>
        <w:t xml:space="preserve">C </w:t>
      </w:r>
      <w:r w:rsidR="007A2093" w:rsidRPr="00706680">
        <w:rPr>
          <w:lang w:val="en-IE"/>
        </w:rPr>
        <w:t>for</w:t>
      </w:r>
      <w:r w:rsidRPr="00706680">
        <w:rPr>
          <w:lang w:val="en-IE"/>
        </w:rPr>
        <w:t xml:space="preserve"> 1 min</w:t>
      </w:r>
      <w:r w:rsidR="00A027BA" w:rsidRPr="00706680">
        <w:rPr>
          <w:lang w:val="en-IE"/>
        </w:rPr>
        <w:t>ute</w:t>
      </w:r>
      <w:r w:rsidRPr="00706680">
        <w:rPr>
          <w:lang w:val="en-IE"/>
        </w:rPr>
        <w:t>, 72</w:t>
      </w:r>
      <w:r w:rsidR="00A027BA" w:rsidRPr="00706680">
        <w:rPr>
          <w:lang w:val="en-IE"/>
        </w:rPr>
        <w:t>°</w:t>
      </w:r>
      <w:r w:rsidRPr="00706680">
        <w:rPr>
          <w:lang w:val="en-IE"/>
        </w:rPr>
        <w:t>C</w:t>
      </w:r>
      <w:r w:rsidR="00A027BA" w:rsidRPr="00706680">
        <w:rPr>
          <w:lang w:val="en-IE"/>
        </w:rPr>
        <w:t xml:space="preserve"> </w:t>
      </w:r>
      <w:r w:rsidR="007A2093" w:rsidRPr="00706680">
        <w:rPr>
          <w:lang w:val="en-IE"/>
        </w:rPr>
        <w:t>for</w:t>
      </w:r>
      <w:r w:rsidRPr="00706680">
        <w:rPr>
          <w:lang w:val="en-IE"/>
        </w:rPr>
        <w:t xml:space="preserve"> 2</w:t>
      </w:r>
      <w:r w:rsidR="002C294A">
        <w:rPr>
          <w:lang w:val="en-IE"/>
        </w:rPr>
        <w:t> </w:t>
      </w:r>
      <w:r w:rsidRPr="00706680">
        <w:rPr>
          <w:lang w:val="en-IE"/>
        </w:rPr>
        <w:t>min</w:t>
      </w:r>
      <w:r w:rsidR="00A027BA" w:rsidRPr="00706680">
        <w:rPr>
          <w:lang w:val="en-IE"/>
        </w:rPr>
        <w:t>utes</w:t>
      </w:r>
      <w:r w:rsidR="007A2093" w:rsidRPr="00706680">
        <w:rPr>
          <w:lang w:val="en-IE"/>
        </w:rPr>
        <w:t xml:space="preserve">; </w:t>
      </w:r>
      <w:r w:rsidRPr="00706680">
        <w:rPr>
          <w:lang w:val="en-IE"/>
        </w:rPr>
        <w:t xml:space="preserve">and </w:t>
      </w:r>
      <w:r w:rsidR="007A2093" w:rsidRPr="00706680">
        <w:rPr>
          <w:lang w:val="en-IE"/>
        </w:rPr>
        <w:t xml:space="preserve">hold at </w:t>
      </w:r>
      <w:r w:rsidRPr="00706680">
        <w:rPr>
          <w:lang w:val="en-IE"/>
        </w:rPr>
        <w:t>4</w:t>
      </w:r>
      <w:r w:rsidR="00A027BA" w:rsidRPr="00706680">
        <w:rPr>
          <w:lang w:val="en-IE"/>
        </w:rPr>
        <w:t>°</w:t>
      </w:r>
      <w:r w:rsidRPr="00706680">
        <w:rPr>
          <w:lang w:val="en-IE"/>
        </w:rPr>
        <w:t>C indefinitely.</w:t>
      </w:r>
    </w:p>
    <w:p w14:paraId="21492CA8" w14:textId="77777777" w:rsidR="00A027BA" w:rsidRPr="00706680" w:rsidRDefault="007A2093" w:rsidP="007A2093">
      <w:pPr>
        <w:pStyle w:val="i"/>
        <w:rPr>
          <w:lang w:val="en-IE"/>
        </w:rPr>
      </w:pPr>
      <w:r w:rsidRPr="00706680">
        <w:rPr>
          <w:lang w:val="en-IE"/>
        </w:rPr>
        <w:t>iii</w:t>
      </w:r>
      <w:r w:rsidR="00A027BA" w:rsidRPr="00706680">
        <w:rPr>
          <w:lang w:val="en-IE"/>
        </w:rPr>
        <w:t>)</w:t>
      </w:r>
      <w:r w:rsidR="00A027BA" w:rsidRPr="00706680">
        <w:rPr>
          <w:lang w:val="en-IE"/>
        </w:rPr>
        <w:tab/>
        <w:t>Detection of amplified products</w:t>
      </w:r>
    </w:p>
    <w:p w14:paraId="0F42E055" w14:textId="77777777" w:rsidR="00A027BA" w:rsidRPr="00706680" w:rsidRDefault="00A027BA" w:rsidP="007A2093">
      <w:pPr>
        <w:pStyle w:val="afourthpara"/>
        <w:rPr>
          <w:lang w:val="en-IE"/>
        </w:rPr>
      </w:pPr>
      <w:r w:rsidRPr="00706680">
        <w:rPr>
          <w:lang w:val="en-IE"/>
        </w:rPr>
        <w:t>After amplification</w:t>
      </w:r>
      <w:r w:rsidR="007A2093" w:rsidRPr="00706680">
        <w:rPr>
          <w:lang w:val="en-IE"/>
        </w:rPr>
        <w:t>,</w:t>
      </w:r>
      <w:r w:rsidRPr="00706680">
        <w:rPr>
          <w:lang w:val="en-IE"/>
        </w:rPr>
        <w:t xml:space="preserve"> the reactions should be open</w:t>
      </w:r>
      <w:r w:rsidR="00607B10">
        <w:rPr>
          <w:lang w:val="en-IE"/>
        </w:rPr>
        <w:t>ed</w:t>
      </w:r>
      <w:r w:rsidRPr="00706680">
        <w:rPr>
          <w:lang w:val="en-IE"/>
        </w:rPr>
        <w:t xml:space="preserve"> in a separate room where the PCR products are detected by 1.5% agarose gel electrophoresis for 2 hours at 90 V. Positive reactions and </w:t>
      </w:r>
      <w:r w:rsidR="007A2093" w:rsidRPr="00706680">
        <w:rPr>
          <w:lang w:val="en-IE"/>
        </w:rPr>
        <w:t xml:space="preserve">the </w:t>
      </w:r>
      <w:r w:rsidRPr="00706680">
        <w:rPr>
          <w:lang w:val="en-IE"/>
        </w:rPr>
        <w:t xml:space="preserve">positive control, </w:t>
      </w:r>
      <w:r w:rsidR="007A2093" w:rsidRPr="00706680">
        <w:rPr>
          <w:lang w:val="en-IE"/>
        </w:rPr>
        <w:t>and not the</w:t>
      </w:r>
      <w:r w:rsidRPr="00706680">
        <w:rPr>
          <w:lang w:val="en-IE"/>
        </w:rPr>
        <w:t xml:space="preserve"> negative control, sh</w:t>
      </w:r>
      <w:r w:rsidR="007A2093" w:rsidRPr="00706680">
        <w:rPr>
          <w:lang w:val="en-IE"/>
        </w:rPr>
        <w:t xml:space="preserve">ould present an </w:t>
      </w:r>
      <w:r w:rsidR="00607B10" w:rsidRPr="00706680">
        <w:rPr>
          <w:lang w:val="en-IE"/>
        </w:rPr>
        <w:t>amplico</w:t>
      </w:r>
      <w:r w:rsidR="00607B10">
        <w:rPr>
          <w:lang w:val="en-IE"/>
        </w:rPr>
        <w:t>n</w:t>
      </w:r>
      <w:r w:rsidR="00607B10" w:rsidRPr="00706680">
        <w:rPr>
          <w:lang w:val="en-IE"/>
        </w:rPr>
        <w:t xml:space="preserve"> </w:t>
      </w:r>
      <w:r w:rsidR="007A2093" w:rsidRPr="00706680">
        <w:rPr>
          <w:lang w:val="en-IE"/>
        </w:rPr>
        <w:t>of 574 </w:t>
      </w:r>
      <w:r w:rsidRPr="00706680">
        <w:rPr>
          <w:lang w:val="en-IE"/>
        </w:rPr>
        <w:t>bp visible under UV light after staining with</w:t>
      </w:r>
      <w:r w:rsidR="00AB5BC4" w:rsidRPr="00706680">
        <w:rPr>
          <w:lang w:val="en-IE"/>
        </w:rPr>
        <w:t xml:space="preserve"> a suitable fluorescent dye</w:t>
      </w:r>
      <w:r w:rsidRPr="00706680">
        <w:rPr>
          <w:lang w:val="en-IE"/>
        </w:rPr>
        <w:t>.</w:t>
      </w:r>
    </w:p>
    <w:p w14:paraId="13A4D24E" w14:textId="77777777" w:rsidR="00A027BA" w:rsidRPr="00706680" w:rsidRDefault="00706473" w:rsidP="00706473">
      <w:pPr>
        <w:pStyle w:val="111"/>
        <w:rPr>
          <w:bCs/>
          <w:lang w:val="en-IE"/>
        </w:rPr>
      </w:pPr>
      <w:r w:rsidRPr="00706680">
        <w:rPr>
          <w:bCs/>
          <w:lang w:val="en-IE"/>
        </w:rPr>
        <w:t>1.4.3.</w:t>
      </w:r>
      <w:r w:rsidR="00A027BA" w:rsidRPr="00706680">
        <w:rPr>
          <w:bCs/>
          <w:lang w:val="en-IE"/>
        </w:rPr>
        <w:tab/>
        <w:t>Restriction endonuclease analysis (REA)</w:t>
      </w:r>
    </w:p>
    <w:p w14:paraId="3524C15E" w14:textId="77777777" w:rsidR="00A027BA" w:rsidRPr="00706680" w:rsidRDefault="00A027BA" w:rsidP="00706473">
      <w:pPr>
        <w:pStyle w:val="111Para"/>
        <w:rPr>
          <w:lang w:val="en-IE"/>
        </w:rPr>
      </w:pPr>
      <w:r w:rsidRPr="00706680">
        <w:rPr>
          <w:lang w:val="en-IE"/>
        </w:rPr>
        <w:t xml:space="preserve">An enzymatic restriction of the PCR product is carried out in 10 </w:t>
      </w:r>
      <w:r w:rsidR="007A2093" w:rsidRPr="00706680">
        <w:rPr>
          <w:lang w:val="en-IE"/>
        </w:rPr>
        <w:t>µl reaction volume containing: 2 </w:t>
      </w:r>
      <w:r w:rsidRPr="00706680">
        <w:rPr>
          <w:lang w:val="en-IE"/>
        </w:rPr>
        <w:t xml:space="preserve">µl of PCR reaction, 5 U </w:t>
      </w:r>
      <w:r w:rsidRPr="00706680">
        <w:rPr>
          <w:i/>
          <w:lang w:val="en-IE"/>
        </w:rPr>
        <w:t>Asn</w:t>
      </w:r>
      <w:r w:rsidRPr="00706680">
        <w:rPr>
          <w:lang w:val="en-IE"/>
        </w:rPr>
        <w:t xml:space="preserve">I (2 µl), 1× buffer, at 37°C for 1 hour. The result is analysed </w:t>
      </w:r>
      <w:r w:rsidR="00C51B79">
        <w:rPr>
          <w:lang w:val="en-IE"/>
        </w:rPr>
        <w:t>in</w:t>
      </w:r>
      <w:r w:rsidR="00C51B79" w:rsidRPr="00706680">
        <w:rPr>
          <w:lang w:val="en-IE"/>
        </w:rPr>
        <w:t xml:space="preserve"> </w:t>
      </w:r>
      <w:r w:rsidRPr="00706680">
        <w:rPr>
          <w:lang w:val="en-IE"/>
        </w:rPr>
        <w:t>a 2% agarose gel electrophoresis for 1</w:t>
      </w:r>
      <w:r w:rsidR="007A2093" w:rsidRPr="00706680">
        <w:rPr>
          <w:lang w:val="en-IE"/>
        </w:rPr>
        <w:t> </w:t>
      </w:r>
      <w:r w:rsidRPr="00706680">
        <w:rPr>
          <w:lang w:val="en-IE"/>
        </w:rPr>
        <w:t>h</w:t>
      </w:r>
      <w:r w:rsidR="007A2093" w:rsidRPr="00706680">
        <w:rPr>
          <w:lang w:val="en-IE"/>
        </w:rPr>
        <w:t>our</w:t>
      </w:r>
      <w:r w:rsidRPr="00706680">
        <w:rPr>
          <w:lang w:val="en-IE"/>
        </w:rPr>
        <w:t xml:space="preserve"> at 100 V and the products visuali</w:t>
      </w:r>
      <w:r w:rsidR="0073402F" w:rsidRPr="00706680">
        <w:rPr>
          <w:lang w:val="en-IE"/>
        </w:rPr>
        <w:t>s</w:t>
      </w:r>
      <w:r w:rsidRPr="00706680">
        <w:rPr>
          <w:lang w:val="en-IE"/>
        </w:rPr>
        <w:t>ed as above.</w:t>
      </w:r>
    </w:p>
    <w:p w14:paraId="5E1B147B" w14:textId="77777777" w:rsidR="00A027BA" w:rsidRPr="00706680" w:rsidRDefault="00A027BA" w:rsidP="00706473">
      <w:pPr>
        <w:pStyle w:val="111Para"/>
        <w:rPr>
          <w:lang w:val="en-IE"/>
        </w:rPr>
      </w:pPr>
      <w:r w:rsidRPr="00706680">
        <w:rPr>
          <w:lang w:val="en-IE"/>
        </w:rPr>
        <w:t>Identification is based on the sizes of the restriction products as presented in Table 2.</w:t>
      </w:r>
    </w:p>
    <w:p w14:paraId="4FED8AA6" w14:textId="77777777" w:rsidR="00A027BA" w:rsidRPr="00706680" w:rsidRDefault="00A027BA" w:rsidP="00706473">
      <w:pPr>
        <w:pStyle w:val="111Para"/>
        <w:rPr>
          <w:lang w:val="en-IE"/>
        </w:rPr>
      </w:pPr>
      <w:r w:rsidRPr="00706680">
        <w:rPr>
          <w:lang w:val="en-IE"/>
        </w:rPr>
        <w:t xml:space="preserve">NB: Direct detection and identification of </w:t>
      </w:r>
      <w:r w:rsidR="003163B1" w:rsidRPr="00706680">
        <w:rPr>
          <w:i/>
          <w:lang w:val="en-IE"/>
        </w:rPr>
        <w:t>Mmm</w:t>
      </w:r>
      <w:r w:rsidR="003163B1" w:rsidRPr="00A4162A">
        <w:rPr>
          <w:strike/>
          <w:lang w:val="en-IE"/>
        </w:rPr>
        <w:t>SC</w:t>
      </w:r>
      <w:r w:rsidR="003163B1" w:rsidRPr="00706680">
        <w:rPr>
          <w:lang w:val="en-IE"/>
        </w:rPr>
        <w:t xml:space="preserve"> </w:t>
      </w:r>
      <w:r w:rsidRPr="00706680">
        <w:rPr>
          <w:lang w:val="en-IE"/>
        </w:rPr>
        <w:t xml:space="preserve">by PCR in clinical samples has not yet been fully evaluated and </w:t>
      </w:r>
      <w:r w:rsidR="007A2093" w:rsidRPr="00706680">
        <w:rPr>
          <w:lang w:val="en-IE"/>
        </w:rPr>
        <w:t>so</w:t>
      </w:r>
      <w:r w:rsidRPr="00706680">
        <w:rPr>
          <w:lang w:val="en-IE"/>
        </w:rPr>
        <w:t xml:space="preserve"> the conventional PCR may be inadequate because of the presence of PCR inhibitors, fewer microorganisms in the sample and </w:t>
      </w:r>
      <w:r w:rsidR="0017553F" w:rsidRPr="00706680">
        <w:rPr>
          <w:lang w:val="en-IE"/>
        </w:rPr>
        <w:t xml:space="preserve">the </w:t>
      </w:r>
      <w:r w:rsidRPr="00706680">
        <w:rPr>
          <w:lang w:val="en-IE"/>
        </w:rPr>
        <w:t xml:space="preserve">presence of other bacteria, with a concomitant reduction in sensitivity and specificity. </w:t>
      </w:r>
      <w:r w:rsidR="0017553F" w:rsidRPr="00706680">
        <w:rPr>
          <w:lang w:val="en-IE"/>
        </w:rPr>
        <w:t>These problems should be avoided through t</w:t>
      </w:r>
      <w:r w:rsidRPr="00706680">
        <w:rPr>
          <w:lang w:val="en-IE"/>
        </w:rPr>
        <w:t xml:space="preserve">he use of real-time PCR assays for </w:t>
      </w:r>
      <w:r w:rsidR="00A4162A" w:rsidRPr="00706680">
        <w:rPr>
          <w:i/>
          <w:lang w:val="en-IE"/>
        </w:rPr>
        <w:t>Mmm</w:t>
      </w:r>
      <w:r w:rsidR="00A4162A" w:rsidRPr="00A4162A">
        <w:rPr>
          <w:strike/>
          <w:lang w:val="en-IE"/>
        </w:rPr>
        <w:t>SC</w:t>
      </w:r>
      <w:r w:rsidR="00A4162A">
        <w:rPr>
          <w:lang w:val="en-IE"/>
        </w:rPr>
        <w:t xml:space="preserve"> </w:t>
      </w:r>
      <w:r w:rsidRPr="00706680">
        <w:rPr>
          <w:lang w:val="en-IE"/>
        </w:rPr>
        <w:t xml:space="preserve">detection, as fluorescence resulting from specific genomic amplification is detected and measured as the amplicon is being synthesised, and a 2–3 log increase in sensitivity, compared with conventional PCR, is </w:t>
      </w:r>
      <w:r w:rsidRPr="00A304D2">
        <w:rPr>
          <w:lang w:val="en-IE"/>
        </w:rPr>
        <w:t xml:space="preserve">obtained (Lorenzon </w:t>
      </w:r>
      <w:r w:rsidRPr="00A304D2">
        <w:rPr>
          <w:i/>
          <w:lang w:val="en-IE"/>
        </w:rPr>
        <w:t>et al.,</w:t>
      </w:r>
      <w:r w:rsidRPr="00A304D2">
        <w:rPr>
          <w:lang w:val="en-IE"/>
        </w:rPr>
        <w:t xml:space="preserve"> 2008</w:t>
      </w:r>
      <w:r w:rsidRPr="00706680">
        <w:rPr>
          <w:lang w:val="en-IE"/>
        </w:rPr>
        <w:t xml:space="preserve">). </w:t>
      </w:r>
      <w:r w:rsidR="00C51B79">
        <w:rPr>
          <w:lang w:val="en-IE"/>
        </w:rPr>
        <w:t>When u</w:t>
      </w:r>
      <w:r w:rsidR="00C51B79" w:rsidRPr="00706680">
        <w:rPr>
          <w:lang w:val="en-IE"/>
        </w:rPr>
        <w:t xml:space="preserve">sing </w:t>
      </w:r>
      <w:r w:rsidRPr="00706680">
        <w:rPr>
          <w:lang w:val="en-IE"/>
        </w:rPr>
        <w:t>samples such as pleural fluid</w:t>
      </w:r>
      <w:r w:rsidR="0017553F" w:rsidRPr="00706680">
        <w:rPr>
          <w:lang w:val="en-IE"/>
        </w:rPr>
        <w:t>,</w:t>
      </w:r>
      <w:r w:rsidRPr="00706680">
        <w:rPr>
          <w:lang w:val="en-IE"/>
        </w:rPr>
        <w:t xml:space="preserve"> the PCR can be performed after boiling the sample and centrifug</w:t>
      </w:r>
      <w:r w:rsidR="0017553F" w:rsidRPr="00706680">
        <w:rPr>
          <w:lang w:val="en-IE"/>
        </w:rPr>
        <w:t>ing</w:t>
      </w:r>
      <w:r w:rsidRPr="00706680">
        <w:rPr>
          <w:lang w:val="en-IE"/>
        </w:rPr>
        <w:t xml:space="preserve"> to recover DNA in the supernatant. For lung fragments, the PCR is applied after DNA extraction procedures using an extraction kit or a phenol/chloro</w:t>
      </w:r>
      <w:r w:rsidR="004F1FC8">
        <w:rPr>
          <w:lang w:val="en-IE"/>
        </w:rPr>
        <w:t>f</w:t>
      </w:r>
      <w:r w:rsidRPr="00706680">
        <w:rPr>
          <w:lang w:val="en-IE"/>
        </w:rPr>
        <w:t>orm extraction.</w:t>
      </w:r>
    </w:p>
    <w:p w14:paraId="66ECE595" w14:textId="77777777" w:rsidR="00A027BA" w:rsidRPr="00706680" w:rsidRDefault="00706473" w:rsidP="00706473">
      <w:pPr>
        <w:pStyle w:val="111"/>
        <w:rPr>
          <w:bCs/>
          <w:lang w:val="en-IE"/>
        </w:rPr>
      </w:pPr>
      <w:r w:rsidRPr="00706680">
        <w:rPr>
          <w:bCs/>
          <w:lang w:val="en-IE"/>
        </w:rPr>
        <w:t>1.4.4.</w:t>
      </w:r>
      <w:r w:rsidR="00A027BA" w:rsidRPr="00706680">
        <w:rPr>
          <w:bCs/>
          <w:lang w:val="en-IE"/>
        </w:rPr>
        <w:tab/>
      </w:r>
      <w:r w:rsidR="003163B1" w:rsidRPr="00706680">
        <w:rPr>
          <w:i/>
          <w:szCs w:val="19"/>
          <w:lang w:val="en-IE"/>
        </w:rPr>
        <w:t>Mmm</w:t>
      </w:r>
      <w:r w:rsidR="003163B1" w:rsidRPr="00A4162A">
        <w:rPr>
          <w:strike/>
          <w:szCs w:val="19"/>
          <w:lang w:val="en-IE"/>
        </w:rPr>
        <w:t>SC</w:t>
      </w:r>
      <w:r w:rsidR="003163B1" w:rsidRPr="00706680">
        <w:rPr>
          <w:bCs/>
          <w:szCs w:val="19"/>
          <w:lang w:val="en-IE"/>
        </w:rPr>
        <w:t xml:space="preserve"> </w:t>
      </w:r>
      <w:r w:rsidR="00A027BA" w:rsidRPr="00706680">
        <w:rPr>
          <w:bCs/>
          <w:szCs w:val="19"/>
          <w:lang w:val="en-IE"/>
        </w:rPr>
        <w:t>strain</w:t>
      </w:r>
      <w:r w:rsidR="00A027BA" w:rsidRPr="00706680">
        <w:rPr>
          <w:bCs/>
          <w:lang w:val="en-IE"/>
        </w:rPr>
        <w:t xml:space="preserve"> typing</w:t>
      </w:r>
    </w:p>
    <w:p w14:paraId="293078D2" w14:textId="77777777" w:rsidR="00A027BA" w:rsidRPr="00A4162A" w:rsidRDefault="00A027BA" w:rsidP="00706473">
      <w:pPr>
        <w:pStyle w:val="111Para"/>
        <w:rPr>
          <w:strike/>
          <w:u w:val="double"/>
          <w:lang w:val="en-IE"/>
        </w:rPr>
      </w:pPr>
      <w:r w:rsidRPr="00A4162A">
        <w:rPr>
          <w:strike/>
          <w:lang w:val="en-IE"/>
        </w:rPr>
        <w:t xml:space="preserve">An enzymatic restriction of the PCR product is carried out in 10 </w:t>
      </w:r>
      <w:r w:rsidR="007A2093" w:rsidRPr="00A4162A">
        <w:rPr>
          <w:strike/>
          <w:lang w:val="en-IE"/>
        </w:rPr>
        <w:t>µ</w:t>
      </w:r>
      <w:r w:rsidR="0017553F" w:rsidRPr="00A4162A">
        <w:rPr>
          <w:strike/>
          <w:lang w:val="en-IE"/>
        </w:rPr>
        <w:t>l reaction volume containing: 2 </w:t>
      </w:r>
      <w:r w:rsidRPr="00A4162A">
        <w:rPr>
          <w:strike/>
          <w:lang w:val="en-IE"/>
        </w:rPr>
        <w:t xml:space="preserve">µl of PCR reaction, 5 U </w:t>
      </w:r>
      <w:r w:rsidRPr="00A4162A">
        <w:rPr>
          <w:i/>
          <w:strike/>
          <w:lang w:val="en-IE"/>
        </w:rPr>
        <w:t>Asn</w:t>
      </w:r>
      <w:r w:rsidRPr="00A4162A">
        <w:rPr>
          <w:strike/>
          <w:lang w:val="en-IE"/>
        </w:rPr>
        <w:t xml:space="preserve">I (2 µl), 1× buffer, at 37°C for 1 hour. The result is analysed </w:t>
      </w:r>
      <w:r w:rsidR="00C51B79" w:rsidRPr="00A4162A">
        <w:rPr>
          <w:strike/>
          <w:lang w:val="en-IE"/>
        </w:rPr>
        <w:t xml:space="preserve">by </w:t>
      </w:r>
      <w:r w:rsidRPr="00A4162A">
        <w:rPr>
          <w:strike/>
          <w:lang w:val="en-IE"/>
        </w:rPr>
        <w:t>a 2% agarose gel electrophoresis for 1</w:t>
      </w:r>
      <w:r w:rsidR="0017553F" w:rsidRPr="00A4162A">
        <w:rPr>
          <w:strike/>
          <w:lang w:val="en-IE"/>
        </w:rPr>
        <w:t> </w:t>
      </w:r>
      <w:r w:rsidRPr="00A4162A">
        <w:rPr>
          <w:strike/>
          <w:lang w:val="en-IE"/>
        </w:rPr>
        <w:t>h</w:t>
      </w:r>
      <w:r w:rsidR="0017553F" w:rsidRPr="00A4162A">
        <w:rPr>
          <w:strike/>
          <w:lang w:val="en-IE"/>
        </w:rPr>
        <w:t>our</w:t>
      </w:r>
      <w:r w:rsidRPr="00A4162A">
        <w:rPr>
          <w:strike/>
          <w:lang w:val="en-IE"/>
        </w:rPr>
        <w:t xml:space="preserve"> at 100 V and the products visual</w:t>
      </w:r>
      <w:r w:rsidR="00D81CCB" w:rsidRPr="00A4162A">
        <w:rPr>
          <w:strike/>
          <w:lang w:val="en-IE"/>
        </w:rPr>
        <w:t>is</w:t>
      </w:r>
      <w:r w:rsidRPr="00A4162A">
        <w:rPr>
          <w:strike/>
          <w:lang w:val="en-IE"/>
        </w:rPr>
        <w:t>ed as above.</w:t>
      </w:r>
    </w:p>
    <w:p w14:paraId="4397D526" w14:textId="77777777" w:rsidR="001D0B47" w:rsidRPr="001D0B47" w:rsidRDefault="001D0B47" w:rsidP="00706473">
      <w:pPr>
        <w:pStyle w:val="111Para"/>
        <w:rPr>
          <w:lang w:val="en-IE"/>
        </w:rPr>
      </w:pPr>
      <w:r w:rsidRPr="00A4162A">
        <w:rPr>
          <w:i/>
          <w:u w:val="double"/>
          <w:lang w:val="en-IE"/>
        </w:rPr>
        <w:t>Mmm</w:t>
      </w:r>
      <w:r w:rsidRPr="00A4162A">
        <w:rPr>
          <w:u w:val="double"/>
          <w:lang w:val="en-IE"/>
        </w:rPr>
        <w:t xml:space="preserve"> strain typing has greatly benefited from advances </w:t>
      </w:r>
      <w:r w:rsidR="00A4162A">
        <w:rPr>
          <w:u w:val="double"/>
          <w:lang w:val="en-IE"/>
        </w:rPr>
        <w:t>in</w:t>
      </w:r>
      <w:r w:rsidRPr="00A4162A">
        <w:rPr>
          <w:u w:val="double"/>
          <w:lang w:val="en-IE"/>
        </w:rPr>
        <w:t xml:space="preserve"> DNA sequencing. There are now a number of </w:t>
      </w:r>
      <w:r w:rsidRPr="00B03850">
        <w:rPr>
          <w:i/>
          <w:u w:val="double"/>
          <w:lang w:val="en-IE"/>
        </w:rPr>
        <w:t>Mmm</w:t>
      </w:r>
      <w:r w:rsidRPr="00A4162A">
        <w:rPr>
          <w:u w:val="double"/>
          <w:lang w:val="en-IE"/>
        </w:rPr>
        <w:t xml:space="preserve"> genomes that are available online (</w:t>
      </w:r>
      <w:hyperlink r:id="rId9" w:history="1">
        <w:r w:rsidRPr="00A4162A">
          <w:rPr>
            <w:rStyle w:val="Lienhypertexte"/>
            <w:u w:val="double"/>
          </w:rPr>
          <w:t>https://www.ncbi.nlm.nih.gov/genomes/GenomesGroup.cgi?taxid=656088</w:t>
        </w:r>
      </w:hyperlink>
      <w:r w:rsidRPr="00A4162A">
        <w:rPr>
          <w:u w:val="double"/>
        </w:rPr>
        <w:t>). However</w:t>
      </w:r>
      <w:r w:rsidR="00A304D2">
        <w:rPr>
          <w:u w:val="double"/>
        </w:rPr>
        <w:t>,</w:t>
      </w:r>
      <w:r w:rsidRPr="00A4162A">
        <w:rPr>
          <w:u w:val="double"/>
        </w:rPr>
        <w:t xml:space="preserve"> the comparison of full </w:t>
      </w:r>
      <w:r w:rsidR="00A304D2" w:rsidRPr="00B03850">
        <w:rPr>
          <w:i/>
          <w:u w:val="double"/>
        </w:rPr>
        <w:t>Mmm</w:t>
      </w:r>
      <w:r w:rsidR="00A304D2" w:rsidRPr="00A4162A">
        <w:rPr>
          <w:u w:val="double"/>
        </w:rPr>
        <w:t xml:space="preserve"> </w:t>
      </w:r>
      <w:r w:rsidRPr="00A4162A">
        <w:rPr>
          <w:u w:val="double"/>
        </w:rPr>
        <w:t xml:space="preserve">genomes is not straightforward </w:t>
      </w:r>
      <w:r w:rsidR="00A304D2">
        <w:rPr>
          <w:u w:val="double"/>
        </w:rPr>
        <w:t>because of</w:t>
      </w:r>
      <w:r w:rsidRPr="00A4162A">
        <w:rPr>
          <w:u w:val="double"/>
        </w:rPr>
        <w:t xml:space="preserve"> multiple genome rearrangements or </w:t>
      </w:r>
      <w:r w:rsidR="00AA57EF" w:rsidRPr="00A4162A">
        <w:rPr>
          <w:u w:val="double"/>
        </w:rPr>
        <w:t xml:space="preserve">DNA insertions. To overcome this problem while keeping </w:t>
      </w:r>
      <w:r w:rsidR="00A304D2">
        <w:rPr>
          <w:u w:val="double"/>
        </w:rPr>
        <w:t>the</w:t>
      </w:r>
      <w:r w:rsidR="00AA57EF" w:rsidRPr="00A4162A">
        <w:rPr>
          <w:u w:val="double"/>
        </w:rPr>
        <w:t xml:space="preserve"> very fine differentiation of strains, an </w:t>
      </w:r>
      <w:r w:rsidR="00AA57EF" w:rsidRPr="00A304D2">
        <w:rPr>
          <w:u w:val="double"/>
        </w:rPr>
        <w:t xml:space="preserve">extended </w:t>
      </w:r>
      <w:r w:rsidR="00A304D2" w:rsidRPr="00A304D2">
        <w:rPr>
          <w:u w:val="double"/>
          <w:shd w:val="clear" w:color="auto" w:fill="FFFFFF"/>
        </w:rPr>
        <w:t>multilocus sequence typing</w:t>
      </w:r>
      <w:r w:rsidR="00A304D2" w:rsidRPr="00A304D2">
        <w:rPr>
          <w:u w:val="double"/>
        </w:rPr>
        <w:t xml:space="preserve"> (</w:t>
      </w:r>
      <w:r w:rsidR="00AA57EF" w:rsidRPr="00A304D2">
        <w:rPr>
          <w:u w:val="double"/>
        </w:rPr>
        <w:t>MLST</w:t>
      </w:r>
      <w:r w:rsidR="00A304D2" w:rsidRPr="00A304D2">
        <w:rPr>
          <w:u w:val="double"/>
        </w:rPr>
        <w:t>)</w:t>
      </w:r>
      <w:r w:rsidR="00AA57EF" w:rsidRPr="00A304D2">
        <w:rPr>
          <w:u w:val="double"/>
        </w:rPr>
        <w:t xml:space="preserve"> approach has been developed that allows unique identification of strains, phylogenetic analysis</w:t>
      </w:r>
      <w:r w:rsidR="00AA57EF" w:rsidRPr="00A4162A">
        <w:rPr>
          <w:u w:val="double"/>
        </w:rPr>
        <w:t xml:space="preserve"> as well as molecular </w:t>
      </w:r>
      <w:r w:rsidR="00AA57EF" w:rsidRPr="00A304D2">
        <w:rPr>
          <w:u w:val="double"/>
        </w:rPr>
        <w:t xml:space="preserve">dating (Dupuy </w:t>
      </w:r>
      <w:r w:rsidR="00AA57EF" w:rsidRPr="00A304D2">
        <w:rPr>
          <w:i/>
          <w:u w:val="double"/>
        </w:rPr>
        <w:t>et al.</w:t>
      </w:r>
      <w:r w:rsidR="00B03850" w:rsidRPr="00A304D2">
        <w:rPr>
          <w:i/>
          <w:u w:val="double"/>
        </w:rPr>
        <w:t>,</w:t>
      </w:r>
      <w:r w:rsidR="00AA57EF" w:rsidRPr="00A304D2">
        <w:rPr>
          <w:u w:val="double"/>
        </w:rPr>
        <w:t xml:space="preserve"> 2012).</w:t>
      </w:r>
    </w:p>
    <w:p w14:paraId="32D8E9DF" w14:textId="77777777" w:rsidR="00093494" w:rsidRPr="00706680" w:rsidRDefault="00093494">
      <w:pPr>
        <w:pStyle w:val="1"/>
        <w:spacing w:after="200"/>
        <w:outlineLvl w:val="0"/>
        <w:rPr>
          <w:lang w:val="en-IE"/>
        </w:rPr>
      </w:pPr>
      <w:r w:rsidRPr="00706680">
        <w:rPr>
          <w:lang w:val="en-IE"/>
        </w:rPr>
        <w:t>2.</w:t>
      </w:r>
      <w:r w:rsidRPr="00706680">
        <w:rPr>
          <w:lang w:val="en-IE"/>
        </w:rPr>
        <w:tab/>
        <w:t>Serological tests</w:t>
      </w:r>
    </w:p>
    <w:p w14:paraId="4690EC66" w14:textId="3525FAFE" w:rsidR="00093494" w:rsidRPr="00706680" w:rsidRDefault="001B4922">
      <w:pPr>
        <w:pStyle w:val="para1"/>
        <w:spacing w:after="200"/>
        <w:rPr>
          <w:lang w:val="en-IE"/>
        </w:rPr>
      </w:pPr>
      <w:r w:rsidRPr="001B4922">
        <w:rPr>
          <w:bCs/>
        </w:rPr>
        <w:t>Serological tests for CBPP</w:t>
      </w:r>
      <w:r w:rsidRPr="001B4922">
        <w:rPr>
          <w:lang w:val="en-IE"/>
        </w:rPr>
        <w:t xml:space="preserve"> </w:t>
      </w:r>
      <w:r w:rsidRPr="001B4922">
        <w:rPr>
          <w:strike/>
          <w:highlight w:val="yellow"/>
          <w:lang w:val="en-IE"/>
        </w:rPr>
        <w:t>are valid at the herd level only</w:t>
      </w:r>
      <w:r w:rsidRPr="001B4922">
        <w:rPr>
          <w:bCs/>
          <w:strike/>
          <w:highlight w:val="yellow"/>
        </w:rPr>
        <w:t xml:space="preserve"> </w:t>
      </w:r>
      <w:r w:rsidRPr="001B4922">
        <w:rPr>
          <w:bCs/>
          <w:highlight w:val="yellow"/>
          <w:u w:val="double"/>
        </w:rPr>
        <w:t>should not be analysed individually but in group</w:t>
      </w:r>
      <w:r w:rsidR="00856085">
        <w:rPr>
          <w:bCs/>
          <w:highlight w:val="yellow"/>
          <w:u w:val="double"/>
        </w:rPr>
        <w:t>s</w:t>
      </w:r>
      <w:r w:rsidRPr="001B4922">
        <w:rPr>
          <w:bCs/>
          <w:highlight w:val="yellow"/>
          <w:u w:val="double"/>
        </w:rPr>
        <w:t xml:space="preserve"> of animals from the same herd or region</w:t>
      </w:r>
      <w:r w:rsidRPr="001B4922">
        <w:rPr>
          <w:bCs/>
        </w:rPr>
        <w:t xml:space="preserve"> </w:t>
      </w:r>
      <w:r w:rsidR="003E3DA9" w:rsidRPr="00706680">
        <w:rPr>
          <w:lang w:val="en-IE"/>
        </w:rPr>
        <w:t>because false positive or false negative results may occur in individual animals</w:t>
      </w:r>
      <w:r w:rsidR="00093494" w:rsidRPr="00706680">
        <w:rPr>
          <w:lang w:val="en-IE"/>
        </w:rPr>
        <w:t>. Tests on single animals can be misleading, either because the animal is in the early stage of disease</w:t>
      </w:r>
      <w:r w:rsidR="00234FF7" w:rsidRPr="00706680">
        <w:rPr>
          <w:lang w:val="en-IE"/>
        </w:rPr>
        <w:t>, which may last for several months</w:t>
      </w:r>
      <w:r w:rsidR="00093494" w:rsidRPr="00706680">
        <w:rPr>
          <w:lang w:val="en-IE"/>
        </w:rPr>
        <w:t>, before specific antibodies are produced, or it may be in the chronic stage of the disease when very few animals are seropositive.</w:t>
      </w:r>
      <w:r w:rsidR="00C06A43" w:rsidRPr="00706680">
        <w:rPr>
          <w:color w:val="0000FF"/>
          <w:lang w:val="en-IE"/>
        </w:rPr>
        <w:t xml:space="preserve"> </w:t>
      </w:r>
      <w:r w:rsidR="00C06A43" w:rsidRPr="00706680">
        <w:rPr>
          <w:lang w:val="en-IE"/>
        </w:rPr>
        <w:t xml:space="preserve">False-positive results can occur (2%), of which an important cause </w:t>
      </w:r>
      <w:r w:rsidR="00C06A43" w:rsidRPr="00706680">
        <w:rPr>
          <w:lang w:val="en-IE"/>
        </w:rPr>
        <w:lastRenderedPageBreak/>
        <w:t xml:space="preserve">is serological cross-reactions with other mycoplasmas, particularly other members of the </w:t>
      </w:r>
      <w:r w:rsidR="00C06A43" w:rsidRPr="00706680">
        <w:rPr>
          <w:i/>
          <w:lang w:val="en-IE"/>
        </w:rPr>
        <w:t>M. mycoides</w:t>
      </w:r>
      <w:r w:rsidR="00C06A43" w:rsidRPr="00706680">
        <w:rPr>
          <w:lang w:val="en-IE"/>
        </w:rPr>
        <w:t xml:space="preserve"> cluster. The validity of the results has to be confirmed by post-mortem and bacteriological examination, and serological tests on blood taken at the time of slaughter.</w:t>
      </w:r>
    </w:p>
    <w:p w14:paraId="40C9DD78" w14:textId="77777777" w:rsidR="0058779B" w:rsidRPr="00706680" w:rsidRDefault="0058779B" w:rsidP="0058779B">
      <w:pPr>
        <w:pStyle w:val="paraa"/>
        <w:ind w:left="0"/>
        <w:rPr>
          <w:lang w:val="en-IE"/>
        </w:rPr>
      </w:pPr>
      <w:r w:rsidRPr="00706680">
        <w:rPr>
          <w:lang w:val="en-IE"/>
        </w:rPr>
        <w:t xml:space="preserve">The complement fixation test </w:t>
      </w:r>
      <w:r w:rsidR="0017553F" w:rsidRPr="00706680">
        <w:rPr>
          <w:lang w:val="en-IE"/>
        </w:rPr>
        <w:t xml:space="preserve">(CFT) </w:t>
      </w:r>
      <w:r w:rsidRPr="00706680">
        <w:rPr>
          <w:lang w:val="en-IE"/>
        </w:rPr>
        <w:t xml:space="preserve">and </w:t>
      </w:r>
      <w:r w:rsidR="0017553F" w:rsidRPr="00706680">
        <w:rPr>
          <w:lang w:val="en-IE"/>
        </w:rPr>
        <w:t>enzyme-linked immunosorbent assays (</w:t>
      </w:r>
      <w:r w:rsidRPr="00706680">
        <w:rPr>
          <w:lang w:val="en-IE"/>
        </w:rPr>
        <w:t>ELISAs</w:t>
      </w:r>
      <w:r w:rsidR="0017553F" w:rsidRPr="00706680">
        <w:rPr>
          <w:lang w:val="en-IE"/>
        </w:rPr>
        <w:t>)</w:t>
      </w:r>
      <w:r w:rsidRPr="00706680">
        <w:rPr>
          <w:lang w:val="en-IE"/>
        </w:rPr>
        <w:t xml:space="preserve"> are recommended for screening and eradication programmes. The highly specific immunoblotting test is useful as a confirmatory test but is not fit for mass screening. </w:t>
      </w:r>
    </w:p>
    <w:p w14:paraId="1B422B53" w14:textId="77777777" w:rsidR="00093494" w:rsidRPr="00D527D5" w:rsidRDefault="0073402F" w:rsidP="0073402F">
      <w:pPr>
        <w:pStyle w:val="11"/>
        <w:rPr>
          <w:lang w:val="en-IE"/>
        </w:rPr>
      </w:pPr>
      <w:r w:rsidRPr="00D527D5">
        <w:rPr>
          <w:lang w:val="en-IE"/>
        </w:rPr>
        <w:t>2.1.</w:t>
      </w:r>
      <w:r w:rsidR="00093494" w:rsidRPr="00D527D5">
        <w:rPr>
          <w:lang w:val="en-IE"/>
        </w:rPr>
        <w:tab/>
        <w:t>Complement fixation (</w:t>
      </w:r>
      <w:r w:rsidR="0058779B" w:rsidRPr="00D527D5">
        <w:rPr>
          <w:lang w:val="en-IE"/>
        </w:rPr>
        <w:t xml:space="preserve">recommended </w:t>
      </w:r>
      <w:r w:rsidR="00093494" w:rsidRPr="00D527D5">
        <w:rPr>
          <w:lang w:val="en-IE"/>
        </w:rPr>
        <w:t xml:space="preserve">for determining disease </w:t>
      </w:r>
      <w:r w:rsidR="0058779B" w:rsidRPr="00D527D5">
        <w:rPr>
          <w:lang w:val="en-IE"/>
        </w:rPr>
        <w:t>free status</w:t>
      </w:r>
      <w:r w:rsidR="00093494" w:rsidRPr="00D527D5">
        <w:rPr>
          <w:lang w:val="en-IE"/>
        </w:rPr>
        <w:t>)</w:t>
      </w:r>
    </w:p>
    <w:p w14:paraId="5484C3C0" w14:textId="77777777" w:rsidR="00093494" w:rsidRPr="00A304D2" w:rsidRDefault="00093494" w:rsidP="0073402F">
      <w:pPr>
        <w:pStyle w:val="11Para"/>
        <w:rPr>
          <w:lang w:val="en-IE"/>
        </w:rPr>
      </w:pPr>
      <w:r w:rsidRPr="00D527D5">
        <w:rPr>
          <w:lang w:val="en-IE"/>
        </w:rPr>
        <w:t xml:space="preserve">The </w:t>
      </w:r>
      <w:r w:rsidR="0058779B" w:rsidRPr="00D527D5">
        <w:rPr>
          <w:lang w:val="en-IE"/>
        </w:rPr>
        <w:t xml:space="preserve">modified </w:t>
      </w:r>
      <w:r w:rsidRPr="00D527D5">
        <w:rPr>
          <w:lang w:val="en-IE"/>
        </w:rPr>
        <w:t>Campbell &amp; Turner CF</w:t>
      </w:r>
      <w:r w:rsidR="0017553F" w:rsidRPr="00D527D5">
        <w:rPr>
          <w:lang w:val="en-IE"/>
        </w:rPr>
        <w:t>T</w:t>
      </w:r>
      <w:r w:rsidRPr="00D527D5">
        <w:rPr>
          <w:lang w:val="en-IE"/>
        </w:rPr>
        <w:t xml:space="preserve"> remains the recommended procedure and it is widely used in </w:t>
      </w:r>
      <w:r w:rsidRPr="00B03850">
        <w:rPr>
          <w:strike/>
          <w:lang w:val="en-IE"/>
        </w:rPr>
        <w:t xml:space="preserve">all </w:t>
      </w:r>
      <w:r w:rsidRPr="00D527D5">
        <w:rPr>
          <w:lang w:val="en-IE"/>
        </w:rPr>
        <w:t xml:space="preserve">countries where infection </w:t>
      </w:r>
      <w:r w:rsidRPr="00A304D2">
        <w:rPr>
          <w:lang w:val="en-IE"/>
        </w:rPr>
        <w:t>occurs (</w:t>
      </w:r>
      <w:r w:rsidR="00391883" w:rsidRPr="00A304D2">
        <w:rPr>
          <w:lang w:val="en-IE"/>
        </w:rPr>
        <w:t xml:space="preserve">Provost </w:t>
      </w:r>
      <w:r w:rsidR="00656C3D" w:rsidRPr="00A304D2">
        <w:rPr>
          <w:i/>
          <w:lang w:val="en-IE"/>
        </w:rPr>
        <w:t>et al</w:t>
      </w:r>
      <w:r w:rsidR="00391883" w:rsidRPr="00A304D2">
        <w:rPr>
          <w:lang w:val="en-IE"/>
        </w:rPr>
        <w:t>., 1987</w:t>
      </w:r>
      <w:r w:rsidRPr="00A304D2">
        <w:rPr>
          <w:lang w:val="en-IE"/>
        </w:rPr>
        <w:t xml:space="preserve">). The </w:t>
      </w:r>
      <w:r w:rsidR="0017553F" w:rsidRPr="00A304D2">
        <w:rPr>
          <w:lang w:val="en-IE"/>
        </w:rPr>
        <w:t>CFT</w:t>
      </w:r>
      <w:r w:rsidRPr="00A304D2">
        <w:rPr>
          <w:lang w:val="en-IE"/>
        </w:rPr>
        <w:t xml:space="preserve"> </w:t>
      </w:r>
      <w:r w:rsidR="0058779B" w:rsidRPr="00A304D2">
        <w:rPr>
          <w:lang w:val="en-IE" w:eastAsia="pt-PT"/>
        </w:rPr>
        <w:t xml:space="preserve">is most conveniently carried out in a </w:t>
      </w:r>
      <w:r w:rsidR="0058779B" w:rsidRPr="00A304D2">
        <w:rPr>
          <w:lang w:eastAsia="pt-PT"/>
        </w:rPr>
        <w:t>microtitre</w:t>
      </w:r>
      <w:r w:rsidR="0058779B" w:rsidRPr="00A304D2">
        <w:rPr>
          <w:lang w:val="en-IE" w:eastAsia="pt-PT"/>
        </w:rPr>
        <w:t xml:space="preserve"> format and </w:t>
      </w:r>
      <w:r w:rsidRPr="00A304D2">
        <w:rPr>
          <w:lang w:val="en-IE"/>
        </w:rPr>
        <w:t xml:space="preserve">has been harmonised </w:t>
      </w:r>
      <w:r w:rsidR="0058779B" w:rsidRPr="00A304D2">
        <w:rPr>
          <w:lang w:val="en-IE"/>
        </w:rPr>
        <w:t>with</w:t>
      </w:r>
      <w:r w:rsidRPr="00A304D2">
        <w:rPr>
          <w:lang w:val="en-IE"/>
        </w:rPr>
        <w:t xml:space="preserve">in </w:t>
      </w:r>
      <w:r w:rsidR="0058779B" w:rsidRPr="00A304D2">
        <w:rPr>
          <w:lang w:val="en-IE"/>
        </w:rPr>
        <w:t xml:space="preserve">countries of </w:t>
      </w:r>
      <w:r w:rsidRPr="00A304D2">
        <w:rPr>
          <w:lang w:val="en-IE"/>
        </w:rPr>
        <w:t>the EU (</w:t>
      </w:r>
      <w:r w:rsidR="00EA1DFC" w:rsidRPr="00A304D2">
        <w:rPr>
          <w:lang w:val="en-IE"/>
        </w:rPr>
        <w:t>European Commission, 2001</w:t>
      </w:r>
      <w:r w:rsidRPr="00A304D2">
        <w:rPr>
          <w:lang w:val="en-IE"/>
        </w:rPr>
        <w:t xml:space="preserve">). </w:t>
      </w:r>
    </w:p>
    <w:p w14:paraId="04568A39" w14:textId="77777777" w:rsidR="00093494" w:rsidRPr="00D527D5" w:rsidRDefault="00093494" w:rsidP="0073402F">
      <w:pPr>
        <w:pStyle w:val="11Para"/>
        <w:rPr>
          <w:lang w:val="en-IE"/>
        </w:rPr>
      </w:pPr>
      <w:r w:rsidRPr="00A304D2">
        <w:rPr>
          <w:lang w:val="en-IE"/>
        </w:rPr>
        <w:t xml:space="preserve">With a sensitivity of </w:t>
      </w:r>
      <w:r w:rsidR="0058779B" w:rsidRPr="00A304D2">
        <w:rPr>
          <w:lang w:val="en-IE"/>
        </w:rPr>
        <w:t>63.8%</w:t>
      </w:r>
      <w:r w:rsidR="00B17050" w:rsidRPr="00A304D2">
        <w:rPr>
          <w:lang w:val="en-IE"/>
        </w:rPr>
        <w:t xml:space="preserve"> and a specificity of 98%</w:t>
      </w:r>
      <w:r w:rsidR="008B3716" w:rsidRPr="00A304D2">
        <w:rPr>
          <w:lang w:val="en-IE"/>
        </w:rPr>
        <w:t xml:space="preserve"> (</w:t>
      </w:r>
      <w:r w:rsidR="00747858" w:rsidRPr="00A304D2">
        <w:rPr>
          <w:lang w:val="en-IE"/>
        </w:rPr>
        <w:t xml:space="preserve">Bellini </w:t>
      </w:r>
      <w:r w:rsidR="00656C3D" w:rsidRPr="00A304D2">
        <w:rPr>
          <w:i/>
          <w:lang w:val="en-IE"/>
        </w:rPr>
        <w:t>et al</w:t>
      </w:r>
      <w:r w:rsidR="00747858" w:rsidRPr="00A304D2">
        <w:rPr>
          <w:lang w:val="en-IE"/>
        </w:rPr>
        <w:t>., 1998</w:t>
      </w:r>
      <w:r w:rsidR="008B3716" w:rsidRPr="00D527D5">
        <w:rPr>
          <w:lang w:val="en-IE"/>
        </w:rPr>
        <w:t>)</w:t>
      </w:r>
      <w:r w:rsidRPr="00D527D5">
        <w:rPr>
          <w:lang w:val="en-IE"/>
        </w:rPr>
        <w:t xml:space="preserve">, the </w:t>
      </w:r>
      <w:r w:rsidR="0017553F" w:rsidRPr="00D527D5">
        <w:rPr>
          <w:lang w:val="en-IE"/>
        </w:rPr>
        <w:t>CFT</w:t>
      </w:r>
      <w:r w:rsidRPr="00D527D5">
        <w:rPr>
          <w:lang w:val="en-IE"/>
        </w:rPr>
        <w:t xml:space="preserve"> can detect nearly all sick animals with acute lesions, but a rather smaller proportion of animals in the early stages of the disease or of animals with chronic lesions. </w:t>
      </w:r>
    </w:p>
    <w:p w14:paraId="07016EA6" w14:textId="77777777" w:rsidR="0058779B" w:rsidRPr="00D527D5" w:rsidRDefault="0073402F" w:rsidP="0073402F">
      <w:pPr>
        <w:pStyle w:val="111"/>
        <w:rPr>
          <w:lang w:val="en-IE"/>
        </w:rPr>
      </w:pPr>
      <w:r w:rsidRPr="00D527D5">
        <w:rPr>
          <w:lang w:val="en-IE"/>
        </w:rPr>
        <w:t>2.1.1.</w:t>
      </w:r>
      <w:r w:rsidR="0058779B" w:rsidRPr="00D527D5">
        <w:rPr>
          <w:lang w:val="en-IE"/>
        </w:rPr>
        <w:tab/>
        <w:t>Reagents</w:t>
      </w:r>
    </w:p>
    <w:p w14:paraId="5CFE83C9" w14:textId="77777777" w:rsidR="0058779B" w:rsidRPr="00D527D5" w:rsidRDefault="0058779B" w:rsidP="0073402F">
      <w:pPr>
        <w:pStyle w:val="111Para"/>
        <w:rPr>
          <w:lang w:val="en-IE"/>
        </w:rPr>
      </w:pPr>
      <w:r w:rsidRPr="00D527D5">
        <w:rPr>
          <w:lang w:val="en-IE"/>
        </w:rPr>
        <w:t xml:space="preserve">For </w:t>
      </w:r>
      <w:r w:rsidR="0017553F" w:rsidRPr="00D527D5">
        <w:rPr>
          <w:lang w:val="en-IE"/>
        </w:rPr>
        <w:t>CFT</w:t>
      </w:r>
      <w:r w:rsidRPr="00D527D5">
        <w:rPr>
          <w:lang w:val="en-IE"/>
        </w:rPr>
        <w:t xml:space="preserve"> validation and accreditation</w:t>
      </w:r>
      <w:r w:rsidR="00CF63F9" w:rsidRPr="00D527D5">
        <w:rPr>
          <w:lang w:val="en-IE"/>
        </w:rPr>
        <w:t>,</w:t>
      </w:r>
      <w:r w:rsidRPr="00D527D5">
        <w:rPr>
          <w:lang w:val="en-IE"/>
        </w:rPr>
        <w:t xml:space="preserve"> the quality control and standardi</w:t>
      </w:r>
      <w:r w:rsidR="0073402F" w:rsidRPr="00D527D5">
        <w:rPr>
          <w:lang w:val="en-IE"/>
        </w:rPr>
        <w:t>s</w:t>
      </w:r>
      <w:r w:rsidRPr="00D527D5">
        <w:rPr>
          <w:lang w:val="en-IE"/>
        </w:rPr>
        <w:t>ation of all the reagents is a critical issue as well as the pipettes and tips that are used to dispense them. To facilitate the accreditation procedure (ISO</w:t>
      </w:r>
      <w:r w:rsidR="00897DA0" w:rsidRPr="00D527D5">
        <w:rPr>
          <w:lang w:val="en-IE"/>
        </w:rPr>
        <w:t>/IEC</w:t>
      </w:r>
      <w:r w:rsidR="00897DA0" w:rsidRPr="00C44BA7">
        <w:rPr>
          <w:rStyle w:val="Appelnotedebasdep"/>
          <w:szCs w:val="14"/>
          <w:lang w:val="en-IE"/>
        </w:rPr>
        <w:footnoteReference w:id="4"/>
      </w:r>
      <w:r w:rsidRPr="00D527D5">
        <w:rPr>
          <w:lang w:val="en-IE"/>
        </w:rPr>
        <w:t xml:space="preserve"> 17025) appropriate antigen and sera controls can be obtained </w:t>
      </w:r>
      <w:r w:rsidR="00CF63F9" w:rsidRPr="00D527D5">
        <w:rPr>
          <w:lang w:val="en-IE"/>
        </w:rPr>
        <w:t>from</w:t>
      </w:r>
      <w:r w:rsidRPr="00D527D5">
        <w:rPr>
          <w:lang w:val="en-IE"/>
        </w:rPr>
        <w:t xml:space="preserve"> OIE </w:t>
      </w:r>
      <w:r w:rsidR="00704FCF" w:rsidRPr="00D527D5">
        <w:rPr>
          <w:lang w:val="en-IE"/>
        </w:rPr>
        <w:t xml:space="preserve">Reference </w:t>
      </w:r>
      <w:r w:rsidRPr="00D527D5">
        <w:rPr>
          <w:lang w:val="en-IE"/>
        </w:rPr>
        <w:t>Laboratories for CBPP.</w:t>
      </w:r>
    </w:p>
    <w:p w14:paraId="2B1299AD" w14:textId="77777777" w:rsidR="0058779B" w:rsidRPr="00D527D5" w:rsidRDefault="0058779B" w:rsidP="0073402F">
      <w:pPr>
        <w:pStyle w:val="111Para"/>
        <w:rPr>
          <w:lang w:val="en-IE"/>
        </w:rPr>
      </w:pPr>
      <w:r w:rsidRPr="00D527D5">
        <w:rPr>
          <w:lang w:val="en-IE"/>
        </w:rPr>
        <w:t xml:space="preserve">The features of the following reagents, should be taken into account, </w:t>
      </w:r>
      <w:r w:rsidR="00C6156F" w:rsidRPr="00D527D5">
        <w:rPr>
          <w:lang w:val="en-IE"/>
        </w:rPr>
        <w:t>as</w:t>
      </w:r>
      <w:r w:rsidRPr="00D527D5">
        <w:rPr>
          <w:lang w:val="en-IE"/>
        </w:rPr>
        <w:t xml:space="preserve"> they have</w:t>
      </w:r>
      <w:r w:rsidR="00CF63F9" w:rsidRPr="00D527D5">
        <w:rPr>
          <w:lang w:val="en-IE"/>
        </w:rPr>
        <w:t xml:space="preserve"> an</w:t>
      </w:r>
      <w:r w:rsidRPr="00D527D5">
        <w:rPr>
          <w:lang w:val="en-IE"/>
        </w:rPr>
        <w:t xml:space="preserve"> impact in the final result.</w:t>
      </w:r>
    </w:p>
    <w:p w14:paraId="039E4BA8" w14:textId="77777777" w:rsidR="0058779B" w:rsidRPr="00D527D5" w:rsidRDefault="0058779B" w:rsidP="0058779B">
      <w:pPr>
        <w:pStyle w:val="i"/>
        <w:rPr>
          <w:lang w:val="en-IE"/>
        </w:rPr>
      </w:pPr>
      <w:r w:rsidRPr="00B03850">
        <w:rPr>
          <w:lang w:val="it-IT"/>
        </w:rPr>
        <w:t>i)</w:t>
      </w:r>
      <w:r w:rsidRPr="00B03850">
        <w:rPr>
          <w:lang w:val="it-IT"/>
        </w:rPr>
        <w:tab/>
        <w:t xml:space="preserve">Ultra-pure </w:t>
      </w:r>
      <w:r w:rsidRPr="00B03850">
        <w:rPr>
          <w:lang w:val="en-GB"/>
        </w:rPr>
        <w:t>steril</w:t>
      </w:r>
      <w:r w:rsidR="00D81CCB" w:rsidRPr="00B03850">
        <w:rPr>
          <w:lang w:val="en-GB"/>
        </w:rPr>
        <w:t>is</w:t>
      </w:r>
      <w:r w:rsidR="00CF63F9" w:rsidRPr="00B03850">
        <w:rPr>
          <w:lang w:val="en-GB"/>
        </w:rPr>
        <w:t>e</w:t>
      </w:r>
      <w:r w:rsidRPr="00B03850">
        <w:rPr>
          <w:lang w:val="en-GB"/>
        </w:rPr>
        <w:t>d</w:t>
      </w:r>
      <w:r w:rsidRPr="00B03850">
        <w:rPr>
          <w:lang w:val="it-IT"/>
        </w:rPr>
        <w:t xml:space="preserve"> water. </w:t>
      </w:r>
      <w:r w:rsidRPr="00D527D5">
        <w:rPr>
          <w:lang w:val="en-IE"/>
        </w:rPr>
        <w:t>The quality of the water is critical for the development of the reaction</w:t>
      </w:r>
      <w:r w:rsidR="00CF63F9" w:rsidRPr="00D527D5">
        <w:rPr>
          <w:lang w:val="en-IE"/>
        </w:rPr>
        <w:t>.</w:t>
      </w:r>
    </w:p>
    <w:p w14:paraId="6AC91C48" w14:textId="77777777" w:rsidR="0058779B" w:rsidRPr="00D527D5" w:rsidRDefault="0058779B" w:rsidP="0058779B">
      <w:pPr>
        <w:pStyle w:val="i"/>
        <w:rPr>
          <w:lang w:val="en-IE"/>
        </w:rPr>
      </w:pPr>
      <w:r w:rsidRPr="00D527D5">
        <w:rPr>
          <w:lang w:val="en-IE"/>
        </w:rPr>
        <w:t>ii)</w:t>
      </w:r>
      <w:r w:rsidRPr="00D527D5">
        <w:rPr>
          <w:lang w:val="en-IE"/>
        </w:rPr>
        <w:tab/>
      </w:r>
      <w:r w:rsidRPr="00D527D5">
        <w:rPr>
          <w:i/>
          <w:lang w:val="en-IE"/>
        </w:rPr>
        <w:t>Positive reference sera:</w:t>
      </w:r>
      <w:r w:rsidRPr="00D527D5">
        <w:rPr>
          <w:lang w:val="en-IE"/>
        </w:rPr>
        <w:t xml:space="preserve"> </w:t>
      </w:r>
      <w:r w:rsidR="00CF63F9" w:rsidRPr="00D527D5">
        <w:rPr>
          <w:lang w:val="en-IE"/>
        </w:rPr>
        <w:t>f</w:t>
      </w:r>
      <w:r w:rsidRPr="00D527D5">
        <w:rPr>
          <w:lang w:val="en-IE"/>
        </w:rPr>
        <w:t>or harmonisation purposes a positive bovine reference standard serum (PRS) is available from the OIE Reference Laboratories in Portugal and Italy</w:t>
      </w:r>
      <w:r w:rsidR="00CF63F9" w:rsidRPr="00D527D5">
        <w:rPr>
          <w:lang w:val="en-IE"/>
        </w:rPr>
        <w:t>,</w:t>
      </w:r>
      <w:r w:rsidRPr="00D527D5">
        <w:rPr>
          <w:lang w:val="en-IE"/>
        </w:rPr>
        <w:t xml:space="preserve"> and should be used in the diagnostic laboratory for routine use and antigen titration. The PRS has been obtained from a naturally CBPP</w:t>
      </w:r>
      <w:r w:rsidR="00CF63F9" w:rsidRPr="00D527D5">
        <w:rPr>
          <w:lang w:val="en-IE"/>
        </w:rPr>
        <w:t>-</w:t>
      </w:r>
      <w:r w:rsidRPr="00D527D5">
        <w:rPr>
          <w:lang w:val="en-IE"/>
        </w:rPr>
        <w:t xml:space="preserve">infected bovine, and is negative against </w:t>
      </w:r>
      <w:r w:rsidRPr="00D527D5">
        <w:rPr>
          <w:i/>
          <w:iCs/>
          <w:lang w:val="en-IE"/>
        </w:rPr>
        <w:t>Brucella</w:t>
      </w:r>
      <w:r w:rsidRPr="00D527D5">
        <w:rPr>
          <w:lang w:val="en-IE"/>
        </w:rPr>
        <w:t xml:space="preserve">, </w:t>
      </w:r>
      <w:r w:rsidRPr="00D527D5">
        <w:rPr>
          <w:i/>
          <w:lang w:val="en-IE"/>
        </w:rPr>
        <w:t>Mycobacterium paratuberculosis</w:t>
      </w:r>
      <w:r w:rsidRPr="00D527D5">
        <w:rPr>
          <w:lang w:val="en-IE"/>
        </w:rPr>
        <w:t xml:space="preserve">, </w:t>
      </w:r>
      <w:r w:rsidRPr="00D527D5">
        <w:rPr>
          <w:i/>
          <w:lang w:val="en-IE"/>
        </w:rPr>
        <w:t>Chlamydia</w:t>
      </w:r>
      <w:r w:rsidRPr="00D527D5">
        <w:rPr>
          <w:lang w:val="en-IE"/>
        </w:rPr>
        <w:t xml:space="preserve">, </w:t>
      </w:r>
      <w:r w:rsidRPr="00D527D5">
        <w:rPr>
          <w:i/>
          <w:lang w:val="en-IE"/>
        </w:rPr>
        <w:t>Coxiella burnetii</w:t>
      </w:r>
      <w:r w:rsidRPr="00D527D5">
        <w:rPr>
          <w:lang w:val="en-IE"/>
        </w:rPr>
        <w:t xml:space="preserve">, </w:t>
      </w:r>
      <w:r w:rsidRPr="00D527D5">
        <w:rPr>
          <w:i/>
          <w:lang w:val="en-IE"/>
        </w:rPr>
        <w:t>Leptospira</w:t>
      </w:r>
      <w:r w:rsidRPr="00D527D5">
        <w:rPr>
          <w:lang w:val="en-IE"/>
        </w:rPr>
        <w:t>, bovine viral diarrhoea virus, respiratory syncytial virus, infectious bovine rhinotracheitis virus, adenovirus, bovine herpes virus 4, foot and mouth disease viruses, bovine leu</w:t>
      </w:r>
      <w:r w:rsidR="00CF63F9" w:rsidRPr="00D527D5">
        <w:rPr>
          <w:lang w:val="en-IE"/>
        </w:rPr>
        <w:t>k</w:t>
      </w:r>
      <w:r w:rsidRPr="00D527D5">
        <w:rPr>
          <w:lang w:val="en-IE"/>
        </w:rPr>
        <w:t xml:space="preserve">osis virus, </w:t>
      </w:r>
      <w:r w:rsidR="00CF63F9" w:rsidRPr="00D527D5">
        <w:rPr>
          <w:lang w:val="en-IE"/>
        </w:rPr>
        <w:t xml:space="preserve">and </w:t>
      </w:r>
      <w:r w:rsidRPr="00D527D5">
        <w:rPr>
          <w:lang w:val="en-IE"/>
        </w:rPr>
        <w:t>parainfluenza 3 virus</w:t>
      </w:r>
      <w:r w:rsidR="00CF63F9" w:rsidRPr="00D527D5">
        <w:rPr>
          <w:lang w:val="en-IE"/>
        </w:rPr>
        <w:t>,</w:t>
      </w:r>
      <w:r w:rsidRPr="00D527D5">
        <w:rPr>
          <w:lang w:val="en-IE"/>
        </w:rPr>
        <w:t xml:space="preserve"> and should also be negative for adventitious viruses. The PRS presents 0% haemolysis in </w:t>
      </w:r>
      <w:r w:rsidR="00CF63F9" w:rsidRPr="00D527D5">
        <w:rPr>
          <w:lang w:val="en-IE" w:eastAsia="pt-PT"/>
        </w:rPr>
        <w:t xml:space="preserve">a dilution of </w:t>
      </w:r>
      <w:r w:rsidRPr="00D527D5">
        <w:rPr>
          <w:lang w:val="en-IE"/>
        </w:rPr>
        <w:t xml:space="preserve">1/160 and 50% haemolysis in </w:t>
      </w:r>
      <w:r w:rsidR="00CF63F9" w:rsidRPr="00D527D5">
        <w:rPr>
          <w:lang w:val="en-IE" w:eastAsia="pt-PT"/>
        </w:rPr>
        <w:t xml:space="preserve">a dilution of </w:t>
      </w:r>
      <w:r w:rsidRPr="00D527D5">
        <w:rPr>
          <w:lang w:val="en-IE"/>
        </w:rPr>
        <w:t>1/320. The PRS should be stored at –20°C in aliquots, this would prevent repetitive freeze</w:t>
      </w:r>
      <w:r w:rsidR="00CF63F9" w:rsidRPr="00D527D5">
        <w:rPr>
          <w:lang w:val="en-IE"/>
        </w:rPr>
        <w:t>–</w:t>
      </w:r>
      <w:r w:rsidRPr="00D527D5">
        <w:rPr>
          <w:lang w:val="en-IE"/>
        </w:rPr>
        <w:t>thawing</w:t>
      </w:r>
      <w:r w:rsidR="00CF63F9" w:rsidRPr="00D527D5">
        <w:rPr>
          <w:lang w:val="en-IE"/>
        </w:rPr>
        <w:t>,</w:t>
      </w:r>
      <w:r w:rsidRPr="00D527D5">
        <w:rPr>
          <w:lang w:val="en-IE"/>
        </w:rPr>
        <w:t xml:space="preserve"> which causes deterioration of the serum.</w:t>
      </w:r>
    </w:p>
    <w:p w14:paraId="404EF576" w14:textId="77777777" w:rsidR="0058779B" w:rsidRPr="00D527D5" w:rsidRDefault="0058779B" w:rsidP="0058779B">
      <w:pPr>
        <w:pStyle w:val="i"/>
        <w:rPr>
          <w:lang w:val="en-IE"/>
        </w:rPr>
      </w:pPr>
      <w:r w:rsidRPr="00D527D5">
        <w:rPr>
          <w:lang w:val="en-IE"/>
        </w:rPr>
        <w:t>iii)</w:t>
      </w:r>
      <w:r w:rsidRPr="00D527D5">
        <w:rPr>
          <w:lang w:val="en-IE"/>
        </w:rPr>
        <w:tab/>
      </w:r>
      <w:r w:rsidRPr="00D527D5">
        <w:rPr>
          <w:i/>
          <w:lang w:val="en-IE"/>
        </w:rPr>
        <w:t xml:space="preserve">Negative reference sera: </w:t>
      </w:r>
      <w:r w:rsidR="00CF63F9" w:rsidRPr="00D527D5">
        <w:rPr>
          <w:lang w:val="en-IE"/>
        </w:rPr>
        <w:t>t</w:t>
      </w:r>
      <w:r w:rsidRPr="00D527D5">
        <w:rPr>
          <w:lang w:val="en-IE"/>
        </w:rPr>
        <w:t xml:space="preserve">he negative control serum (NRS), also available from OIE Reference Laboratories in Portugal and in Italy, is a serum from a healthy bovine from a </w:t>
      </w:r>
      <w:r w:rsidR="00D65488" w:rsidRPr="00D527D5">
        <w:rPr>
          <w:lang w:val="en-IE"/>
        </w:rPr>
        <w:t>bovine spongiform encephalopathy (</w:t>
      </w:r>
      <w:r w:rsidRPr="00D527D5">
        <w:rPr>
          <w:lang w:val="en-IE"/>
        </w:rPr>
        <w:t>BSE</w:t>
      </w:r>
      <w:r w:rsidR="00D65488" w:rsidRPr="00D527D5">
        <w:rPr>
          <w:lang w:val="en-IE"/>
        </w:rPr>
        <w:t>)-</w:t>
      </w:r>
      <w:r w:rsidRPr="00D527D5">
        <w:rPr>
          <w:lang w:val="en-IE"/>
        </w:rPr>
        <w:t>free source</w:t>
      </w:r>
      <w:r w:rsidR="00D65488" w:rsidRPr="00D527D5">
        <w:rPr>
          <w:lang w:val="en-IE"/>
        </w:rPr>
        <w:t>. It is</w:t>
      </w:r>
      <w:r w:rsidRPr="00D527D5">
        <w:rPr>
          <w:lang w:val="en-IE"/>
        </w:rPr>
        <w:t xml:space="preserve"> CBPP free and should be n</w:t>
      </w:r>
      <w:r w:rsidR="00D65488" w:rsidRPr="00D527D5">
        <w:rPr>
          <w:lang w:val="en-IE"/>
        </w:rPr>
        <w:t>egative against the above micro</w:t>
      </w:r>
      <w:r w:rsidRPr="00D527D5">
        <w:rPr>
          <w:lang w:val="en-IE"/>
        </w:rPr>
        <w:t>organisms. The NRS should be stored in aliquots</w:t>
      </w:r>
      <w:r w:rsidR="00D65488" w:rsidRPr="00D527D5">
        <w:rPr>
          <w:lang w:val="en-IE"/>
        </w:rPr>
        <w:t xml:space="preserve"> at </w:t>
      </w:r>
      <w:r w:rsidR="00D65488" w:rsidRPr="00D527D5">
        <w:rPr>
          <w:lang w:val="en-IE"/>
        </w:rPr>
        <w:br/>
        <w:t>–20°C</w:t>
      </w:r>
      <w:r w:rsidRPr="00D527D5">
        <w:rPr>
          <w:lang w:val="en-IE"/>
        </w:rPr>
        <w:t>.</w:t>
      </w:r>
    </w:p>
    <w:p w14:paraId="302B7AB9" w14:textId="77777777" w:rsidR="0058779B" w:rsidRDefault="0058779B" w:rsidP="0058779B">
      <w:pPr>
        <w:pStyle w:val="i"/>
        <w:rPr>
          <w:lang w:val="en-IE"/>
        </w:rPr>
      </w:pPr>
      <w:r w:rsidRPr="00D527D5">
        <w:rPr>
          <w:lang w:val="en-IE"/>
        </w:rPr>
        <w:t>iv)</w:t>
      </w:r>
      <w:r w:rsidRPr="00D527D5">
        <w:rPr>
          <w:lang w:val="en-IE"/>
        </w:rPr>
        <w:tab/>
      </w:r>
      <w:r w:rsidRPr="00D527D5">
        <w:rPr>
          <w:i/>
          <w:lang w:val="en-IE"/>
        </w:rPr>
        <w:t xml:space="preserve">Antigen: </w:t>
      </w:r>
      <w:r w:rsidR="00CF63F9" w:rsidRPr="00D527D5">
        <w:rPr>
          <w:lang w:val="en-IE"/>
        </w:rPr>
        <w:t>t</w:t>
      </w:r>
      <w:r w:rsidRPr="00D527D5">
        <w:rPr>
          <w:lang w:val="en-IE"/>
        </w:rPr>
        <w:t xml:space="preserve">he test must use an antigen that has been prepared from a suspension of a selected </w:t>
      </w:r>
      <w:r w:rsidRPr="00D527D5">
        <w:rPr>
          <w:i/>
          <w:iCs/>
          <w:lang w:val="en-IE"/>
        </w:rPr>
        <w:t>Mmm</w:t>
      </w:r>
      <w:r w:rsidRPr="00D527D5">
        <w:rPr>
          <w:lang w:val="en-IE"/>
        </w:rPr>
        <w:t xml:space="preserve"> strain essayed previously and presenting the five specific antigenic bands of 110, 98, 95, 62/60 and 48 kDa. The antigen is </w:t>
      </w:r>
      <w:r w:rsidRPr="00D527D5">
        <w:rPr>
          <w:lang w:val="en-IE" w:eastAsia="pt-PT"/>
        </w:rPr>
        <w:t>previously checkerboard titrated and used at a dose of 2 complement fixing units (CF</w:t>
      </w:r>
      <w:r w:rsidR="00D65488" w:rsidRPr="00D527D5">
        <w:rPr>
          <w:lang w:val="en-IE" w:eastAsia="pt-PT"/>
        </w:rPr>
        <w:t>U</w:t>
      </w:r>
      <w:r w:rsidRPr="00D527D5">
        <w:rPr>
          <w:lang w:val="en-IE" w:eastAsia="pt-PT"/>
        </w:rPr>
        <w:t xml:space="preserve">) and should be standardised to give 50% fixation, at a dilution of 1/320 of </w:t>
      </w:r>
      <w:r w:rsidR="00D65488" w:rsidRPr="00D527D5">
        <w:rPr>
          <w:lang w:val="en-IE"/>
        </w:rPr>
        <w:t>PRS</w:t>
      </w:r>
      <w:r w:rsidRPr="00D527D5">
        <w:rPr>
          <w:lang w:val="en-IE" w:eastAsia="pt-PT"/>
        </w:rPr>
        <w:t xml:space="preserve">. It must be stored at 4°C ± 3°C and should not be frozen. It is produced, standardised and delivered by OIE Reference Laboratories. </w:t>
      </w:r>
      <w:r w:rsidRPr="00D527D5">
        <w:rPr>
          <w:lang w:val="en-IE"/>
        </w:rPr>
        <w:t xml:space="preserve">The use of an antigen standardised against the OIE reference sera promotes international harmonisation of diagnostic testing. </w:t>
      </w:r>
    </w:p>
    <w:p w14:paraId="0F0FD04B" w14:textId="77777777" w:rsidR="00B03850" w:rsidRPr="00D527D5" w:rsidRDefault="00B03850" w:rsidP="0058779B">
      <w:pPr>
        <w:pStyle w:val="i"/>
        <w:rPr>
          <w:lang w:val="en-IE"/>
        </w:rPr>
      </w:pPr>
      <w:r>
        <w:rPr>
          <w:lang w:val="en-IE"/>
        </w:rPr>
        <w:t>v)</w:t>
      </w:r>
      <w:r>
        <w:rPr>
          <w:lang w:val="en-IE"/>
        </w:rPr>
        <w:tab/>
      </w:r>
      <w:r w:rsidRPr="00D527D5">
        <w:rPr>
          <w:i/>
          <w:lang w:val="en-IE" w:eastAsia="pt-PT"/>
        </w:rPr>
        <w:t>Buffer:</w:t>
      </w:r>
      <w:r w:rsidRPr="00D527D5">
        <w:rPr>
          <w:lang w:val="en-IE" w:eastAsia="pt-PT"/>
        </w:rPr>
        <w:t xml:space="preserve"> veronal buffered saline (VB), pH 7.2 ± 1, is the standard diluent for the CFT. The VB can be prepared from tablets commercially available or it may be prepared from a stock solution of sodium chloride (42.5 g), barbituric acid (2.875 g), sodium diethyl barbiturate (1.875 g), magnesium chloride (MgCl</w:t>
      </w:r>
      <w:r w:rsidRPr="00C44BA7">
        <w:rPr>
          <w:vertAlign w:val="subscript"/>
          <w:lang w:val="en-IE" w:eastAsia="pt-PT"/>
        </w:rPr>
        <w:t>2</w:t>
      </w:r>
      <w:r w:rsidRPr="00D527D5">
        <w:rPr>
          <w:lang w:val="en-IE" w:eastAsia="pt-PT"/>
        </w:rPr>
        <w:t xml:space="preserve"> × 6 H</w:t>
      </w:r>
      <w:r w:rsidRPr="00C44BA7">
        <w:rPr>
          <w:vertAlign w:val="subscript"/>
          <w:lang w:val="en-IE" w:eastAsia="pt-PT"/>
        </w:rPr>
        <w:t>2</w:t>
      </w:r>
      <w:r w:rsidRPr="00D527D5">
        <w:rPr>
          <w:lang w:val="en-IE" w:eastAsia="pt-PT"/>
        </w:rPr>
        <w:t>O – 0.501 g), and calcium chloride (CaCl</w:t>
      </w:r>
      <w:r w:rsidRPr="00C44BA7">
        <w:rPr>
          <w:vertAlign w:val="subscript"/>
          <w:lang w:val="en-IE" w:eastAsia="pt-PT"/>
        </w:rPr>
        <w:t>2</w:t>
      </w:r>
      <w:r w:rsidRPr="00D527D5">
        <w:rPr>
          <w:lang w:val="en-IE" w:eastAsia="pt-PT"/>
        </w:rPr>
        <w:t xml:space="preserve"> × 6</w:t>
      </w:r>
      <w:r>
        <w:rPr>
          <w:lang w:val="en-IE" w:eastAsia="pt-PT"/>
        </w:rPr>
        <w:t> </w:t>
      </w:r>
      <w:r w:rsidRPr="00D527D5">
        <w:rPr>
          <w:lang w:val="en-IE" w:eastAsia="pt-PT"/>
        </w:rPr>
        <w:t>H</w:t>
      </w:r>
      <w:r w:rsidRPr="00C44BA7">
        <w:rPr>
          <w:vertAlign w:val="subscript"/>
          <w:lang w:val="en-IE" w:eastAsia="pt-PT"/>
        </w:rPr>
        <w:t>2</w:t>
      </w:r>
      <w:r w:rsidRPr="00D527D5">
        <w:rPr>
          <w:lang w:val="en-IE" w:eastAsia="pt-PT"/>
        </w:rPr>
        <w:t>O – 0.18 g) in 1 litre of distilled water. A concentrated stock solution is used diluted 1/5 in double-distilled water, before use.</w:t>
      </w:r>
    </w:p>
    <w:p w14:paraId="6CB692DA" w14:textId="77777777" w:rsidR="0058779B" w:rsidRPr="00D527D5" w:rsidRDefault="000D6EE4" w:rsidP="00243B60">
      <w:pPr>
        <w:pStyle w:val="i"/>
        <w:keepLines/>
        <w:rPr>
          <w:lang w:val="en-IE"/>
        </w:rPr>
      </w:pPr>
      <w:r w:rsidRPr="00D527D5">
        <w:rPr>
          <w:lang w:val="en-IE"/>
        </w:rPr>
        <w:lastRenderedPageBreak/>
        <w:t>vi)</w:t>
      </w:r>
      <w:r w:rsidRPr="00D527D5">
        <w:rPr>
          <w:lang w:val="en-IE"/>
        </w:rPr>
        <w:tab/>
      </w:r>
      <w:r w:rsidR="0058779B" w:rsidRPr="00D527D5">
        <w:rPr>
          <w:i/>
          <w:lang w:val="en-IE"/>
        </w:rPr>
        <w:t>Haemolysin</w:t>
      </w:r>
      <w:r w:rsidR="0058779B" w:rsidRPr="00D527D5">
        <w:rPr>
          <w:lang w:val="en-IE"/>
        </w:rPr>
        <w:t xml:space="preserve"> (</w:t>
      </w:r>
      <w:r w:rsidR="0058779B" w:rsidRPr="00D527D5">
        <w:rPr>
          <w:i/>
          <w:lang w:val="en-IE"/>
        </w:rPr>
        <w:t>amboceptor</w:t>
      </w:r>
      <w:r w:rsidR="0058779B" w:rsidRPr="00D527D5">
        <w:rPr>
          <w:lang w:val="en-IE"/>
        </w:rPr>
        <w:t>)</w:t>
      </w:r>
      <w:r w:rsidRPr="00D527D5">
        <w:rPr>
          <w:lang w:val="en-IE"/>
        </w:rPr>
        <w:t>:</w:t>
      </w:r>
      <w:r w:rsidR="0058779B" w:rsidRPr="00D527D5">
        <w:rPr>
          <w:lang w:val="en-IE"/>
        </w:rPr>
        <w:t xml:space="preserve"> </w:t>
      </w:r>
      <w:r w:rsidR="00CF63F9" w:rsidRPr="00D527D5">
        <w:rPr>
          <w:lang w:val="en-IE"/>
        </w:rPr>
        <w:t>t</w:t>
      </w:r>
      <w:r w:rsidR="0058779B" w:rsidRPr="00D527D5">
        <w:rPr>
          <w:lang w:val="en-IE"/>
        </w:rPr>
        <w:t>he haemolysin is a hyperimmune rabbit serum to SRBC (</w:t>
      </w:r>
      <w:r w:rsidR="00D65488" w:rsidRPr="00D527D5">
        <w:rPr>
          <w:lang w:val="en-IE"/>
        </w:rPr>
        <w:t>sheep red blood cells</w:t>
      </w:r>
      <w:r w:rsidR="0058779B" w:rsidRPr="00D527D5">
        <w:rPr>
          <w:lang w:val="en-IE"/>
        </w:rPr>
        <w:t>). The quantity used is 6 h</w:t>
      </w:r>
      <w:r w:rsidR="00D65488" w:rsidRPr="00D527D5">
        <w:rPr>
          <w:lang w:val="en-IE"/>
        </w:rPr>
        <w:t>a</w:t>
      </w:r>
      <w:r w:rsidR="0058779B" w:rsidRPr="00D527D5">
        <w:rPr>
          <w:lang w:val="en-IE"/>
        </w:rPr>
        <w:t>emolytic doses read at 50% end-point (HD</w:t>
      </w:r>
      <w:r w:rsidR="0058779B" w:rsidRPr="00C44BA7">
        <w:rPr>
          <w:szCs w:val="14"/>
          <w:vertAlign w:val="subscript"/>
          <w:lang w:val="en-IE"/>
        </w:rPr>
        <w:t>50</w:t>
      </w:r>
      <w:r w:rsidR="00BC7D73" w:rsidRPr="00D527D5">
        <w:rPr>
          <w:lang w:val="en-IE"/>
        </w:rPr>
        <w:t xml:space="preserve"> </w:t>
      </w:r>
      <w:r w:rsidR="0058779B" w:rsidRPr="00D527D5">
        <w:rPr>
          <w:lang w:val="en-IE"/>
        </w:rPr>
        <w:t>[50% haemolysing dose]). The SRBC are obtained by aseptic puncture of the jugular vein. They can be preserved in Alsever’s solution or in sodium citrate. They are used in a 6% suspension. Haemolysin is also available commercially.</w:t>
      </w:r>
    </w:p>
    <w:p w14:paraId="332CAB95" w14:textId="77777777" w:rsidR="0058779B" w:rsidRPr="00D527D5" w:rsidRDefault="000D6EE4" w:rsidP="0058779B">
      <w:pPr>
        <w:pStyle w:val="i"/>
        <w:rPr>
          <w:lang w:val="en-IE"/>
        </w:rPr>
      </w:pPr>
      <w:r w:rsidRPr="00D527D5">
        <w:rPr>
          <w:lang w:val="en-IE"/>
        </w:rPr>
        <w:t>vii)</w:t>
      </w:r>
      <w:r w:rsidRPr="00D527D5">
        <w:rPr>
          <w:lang w:val="en-IE"/>
        </w:rPr>
        <w:tab/>
      </w:r>
      <w:r w:rsidR="0058779B" w:rsidRPr="00D527D5">
        <w:rPr>
          <w:i/>
          <w:lang w:val="en-IE"/>
        </w:rPr>
        <w:t>Haemolytic system</w:t>
      </w:r>
      <w:r w:rsidR="0058779B" w:rsidRPr="00D527D5">
        <w:rPr>
          <w:lang w:val="en-IE"/>
        </w:rPr>
        <w:t xml:space="preserve"> (</w:t>
      </w:r>
      <w:r w:rsidR="0058779B" w:rsidRPr="00D527D5">
        <w:rPr>
          <w:i/>
          <w:lang w:val="en-IE"/>
        </w:rPr>
        <w:t>HS</w:t>
      </w:r>
      <w:r w:rsidR="0058779B" w:rsidRPr="00D527D5">
        <w:rPr>
          <w:lang w:val="en-IE"/>
        </w:rPr>
        <w:t>)</w:t>
      </w:r>
      <w:r w:rsidRPr="00D527D5">
        <w:rPr>
          <w:lang w:val="en-IE"/>
        </w:rPr>
        <w:t>:</w:t>
      </w:r>
      <w:r w:rsidR="0058779B" w:rsidRPr="00D527D5">
        <w:rPr>
          <w:lang w:val="en-IE"/>
        </w:rPr>
        <w:t xml:space="preserve"> </w:t>
      </w:r>
      <w:r w:rsidR="00D65488" w:rsidRPr="00D527D5">
        <w:rPr>
          <w:lang w:val="en-IE"/>
        </w:rPr>
        <w:t>HS i</w:t>
      </w:r>
      <w:r w:rsidR="0058779B" w:rsidRPr="00D527D5">
        <w:rPr>
          <w:lang w:val="en-IE"/>
        </w:rPr>
        <w:t>s prepared by diluting h</w:t>
      </w:r>
      <w:r w:rsidR="00D65488" w:rsidRPr="00D527D5">
        <w:rPr>
          <w:lang w:val="en-IE"/>
        </w:rPr>
        <w:t>a</w:t>
      </w:r>
      <w:r w:rsidR="0058779B" w:rsidRPr="00D527D5">
        <w:rPr>
          <w:lang w:val="en-IE"/>
        </w:rPr>
        <w:t>emolysin in VB to give a dose of 12</w:t>
      </w:r>
      <w:r w:rsidR="00C6156F" w:rsidRPr="00D527D5">
        <w:rPr>
          <w:lang w:val="en-IE"/>
        </w:rPr>
        <w:t> </w:t>
      </w:r>
      <w:r w:rsidR="0058779B" w:rsidRPr="00D527D5">
        <w:rPr>
          <w:lang w:val="en-IE"/>
        </w:rPr>
        <w:t>HD</w:t>
      </w:r>
      <w:r w:rsidR="0058779B" w:rsidRPr="00C44BA7">
        <w:rPr>
          <w:szCs w:val="14"/>
          <w:vertAlign w:val="subscript"/>
          <w:lang w:val="en-IE"/>
        </w:rPr>
        <w:t>50</w:t>
      </w:r>
      <w:r w:rsidR="0058779B" w:rsidRPr="00D527D5">
        <w:rPr>
          <w:lang w:val="en-IE"/>
        </w:rPr>
        <w:t>. An equal volume of 6% SRBC antibody suspension is added, and the system is sensitised in a water bath at 37°C for 30 minutes with periodic shaking.</w:t>
      </w:r>
    </w:p>
    <w:p w14:paraId="53BF4CAB" w14:textId="77777777" w:rsidR="0058779B" w:rsidRPr="00D527D5" w:rsidRDefault="000D6EE4" w:rsidP="00704FCF">
      <w:pPr>
        <w:pStyle w:val="i"/>
        <w:spacing w:after="240"/>
        <w:rPr>
          <w:lang w:val="en-IE"/>
        </w:rPr>
      </w:pPr>
      <w:r w:rsidRPr="00D527D5">
        <w:rPr>
          <w:lang w:val="en-IE"/>
        </w:rPr>
        <w:t>viii)</w:t>
      </w:r>
      <w:r w:rsidRPr="00D527D5">
        <w:rPr>
          <w:lang w:val="en-IE"/>
        </w:rPr>
        <w:tab/>
      </w:r>
      <w:r w:rsidR="0058779B" w:rsidRPr="00D527D5">
        <w:rPr>
          <w:i/>
          <w:lang w:val="en-IE"/>
        </w:rPr>
        <w:t>Complement</w:t>
      </w:r>
      <w:r w:rsidR="0058779B" w:rsidRPr="00D527D5">
        <w:rPr>
          <w:lang w:val="en-IE"/>
        </w:rPr>
        <w:t xml:space="preserve"> (</w:t>
      </w:r>
      <w:r w:rsidR="0058779B" w:rsidRPr="00D527D5">
        <w:rPr>
          <w:i/>
          <w:lang w:val="en-IE"/>
        </w:rPr>
        <w:t>C’</w:t>
      </w:r>
      <w:r w:rsidR="0058779B" w:rsidRPr="00D527D5">
        <w:rPr>
          <w:lang w:val="en-IE"/>
        </w:rPr>
        <w:t>)</w:t>
      </w:r>
      <w:r w:rsidRPr="00D527D5">
        <w:rPr>
          <w:lang w:val="en-IE"/>
        </w:rPr>
        <w:t>:</w:t>
      </w:r>
      <w:r w:rsidR="0058779B" w:rsidRPr="00D527D5">
        <w:rPr>
          <w:lang w:val="en-IE"/>
        </w:rPr>
        <w:t xml:space="preserve"> </w:t>
      </w:r>
      <w:r w:rsidR="00D65488" w:rsidRPr="00D527D5">
        <w:rPr>
          <w:lang w:val="en-IE"/>
        </w:rPr>
        <w:t>C’ i</w:t>
      </w:r>
      <w:r w:rsidR="0058779B" w:rsidRPr="00D527D5">
        <w:rPr>
          <w:lang w:val="en-IE"/>
        </w:rPr>
        <w:t xml:space="preserve">s obtained from normal guinea-pig serum. It is freeze-dried and reconstituted with double-distilled water. It must be kept at –20°C after reconstitution. A commercially produced complement can be used, according to </w:t>
      </w:r>
      <w:r w:rsidR="00D65488" w:rsidRPr="00D527D5">
        <w:rPr>
          <w:lang w:val="en-IE"/>
        </w:rPr>
        <w:t xml:space="preserve">the </w:t>
      </w:r>
      <w:r w:rsidR="0058779B" w:rsidRPr="00D527D5">
        <w:rPr>
          <w:lang w:val="en-IE"/>
        </w:rPr>
        <w:t xml:space="preserve">manufacturer’s instructions. It is titrated by making a close dilution series in VB containing an appropriate quantity of the antigen to be used in the test. After incubation at 37°C for 30 minutes, an appropriate quantity of sensitised SRBC is added to each dilution. The titration is read after incubation for </w:t>
      </w:r>
      <w:r w:rsidR="00D65488" w:rsidRPr="00D527D5">
        <w:rPr>
          <w:lang w:val="en-IE"/>
        </w:rPr>
        <w:t xml:space="preserve">a </w:t>
      </w:r>
      <w:r w:rsidR="0058779B" w:rsidRPr="00D527D5">
        <w:rPr>
          <w:lang w:val="en-IE"/>
        </w:rPr>
        <w:t>further 30 minutes. The highest dilution giving complete haemolysis of the SRBC equals 1 C’ unit, from which can be calculated the dilution required for 2.5 units in 25</w:t>
      </w:r>
      <w:r w:rsidR="00B03850">
        <w:rPr>
          <w:lang w:val="en-IE"/>
        </w:rPr>
        <w:t> </w:t>
      </w:r>
      <w:r w:rsidR="0058779B" w:rsidRPr="00D527D5">
        <w:rPr>
          <w:lang w:val="en-IE"/>
        </w:rPr>
        <w:t>µl.</w:t>
      </w:r>
    </w:p>
    <w:p w14:paraId="6CED1848" w14:textId="77777777" w:rsidR="00704FCF" w:rsidRPr="00D527D5" w:rsidRDefault="0073402F" w:rsidP="0073402F">
      <w:pPr>
        <w:pStyle w:val="111"/>
        <w:rPr>
          <w:bCs/>
          <w:lang w:val="en-IE"/>
        </w:rPr>
      </w:pPr>
      <w:r w:rsidRPr="00D527D5">
        <w:rPr>
          <w:bCs/>
          <w:lang w:val="en-IE"/>
        </w:rPr>
        <w:t>2.1.2.</w:t>
      </w:r>
      <w:r w:rsidR="00704FCF" w:rsidRPr="00D527D5">
        <w:rPr>
          <w:bCs/>
          <w:lang w:val="en-IE"/>
        </w:rPr>
        <w:tab/>
        <w:t>Test procedure (using microplates)</w:t>
      </w:r>
    </w:p>
    <w:p w14:paraId="5EC96C07" w14:textId="77777777" w:rsidR="00704FCF" w:rsidRPr="00D527D5" w:rsidRDefault="00704FCF" w:rsidP="0073402F">
      <w:pPr>
        <w:pStyle w:val="111Para"/>
        <w:rPr>
          <w:lang w:val="en-IE"/>
        </w:rPr>
      </w:pPr>
      <w:r w:rsidRPr="00D527D5">
        <w:rPr>
          <w:lang w:val="en-IE"/>
        </w:rPr>
        <w:t xml:space="preserve">The </w:t>
      </w:r>
      <w:r w:rsidR="00D65488" w:rsidRPr="00D527D5">
        <w:rPr>
          <w:lang w:val="en-IE"/>
        </w:rPr>
        <w:t xml:space="preserve">most critical factors for CFT performance are the </w:t>
      </w:r>
      <w:r w:rsidRPr="00D527D5">
        <w:rPr>
          <w:lang w:val="en-IE"/>
        </w:rPr>
        <w:t xml:space="preserve">control of the reagents and </w:t>
      </w:r>
      <w:r w:rsidR="00D65488" w:rsidRPr="00D527D5">
        <w:rPr>
          <w:lang w:val="en-IE"/>
        </w:rPr>
        <w:t>that it is carried o</w:t>
      </w:r>
      <w:r w:rsidRPr="00D527D5">
        <w:rPr>
          <w:lang w:val="en-IE"/>
        </w:rPr>
        <w:t xml:space="preserve">ut by trained and qualified personnel. </w:t>
      </w:r>
      <w:r w:rsidR="00D65488" w:rsidRPr="00D527D5">
        <w:rPr>
          <w:lang w:val="en-IE"/>
        </w:rPr>
        <w:t>T</w:t>
      </w:r>
      <w:r w:rsidRPr="00D527D5">
        <w:rPr>
          <w:lang w:val="en-IE"/>
        </w:rPr>
        <w:t xml:space="preserve">emperature and </w:t>
      </w:r>
      <w:r w:rsidR="00D65488" w:rsidRPr="00D527D5">
        <w:rPr>
          <w:lang w:val="en-IE"/>
        </w:rPr>
        <w:t xml:space="preserve">incubation </w:t>
      </w:r>
      <w:r w:rsidRPr="00D527D5">
        <w:rPr>
          <w:lang w:val="en-IE"/>
        </w:rPr>
        <w:t>time</w:t>
      </w:r>
      <w:r w:rsidR="00D65488" w:rsidRPr="00D527D5">
        <w:rPr>
          <w:lang w:val="en-IE"/>
        </w:rPr>
        <w:t>s</w:t>
      </w:r>
      <w:r w:rsidRPr="00D527D5">
        <w:rPr>
          <w:lang w:val="en-IE"/>
        </w:rPr>
        <w:t xml:space="preserve"> should also be carefully controlled. </w:t>
      </w:r>
      <w:r w:rsidR="00D65488" w:rsidRPr="00D527D5">
        <w:rPr>
          <w:lang w:val="en-IE"/>
        </w:rPr>
        <w:t>The entire</w:t>
      </w:r>
      <w:r w:rsidRPr="00D527D5">
        <w:rPr>
          <w:lang w:val="en-IE"/>
        </w:rPr>
        <w:t xml:space="preserve"> procedure should be </w:t>
      </w:r>
      <w:r w:rsidR="00D65488" w:rsidRPr="00D527D5">
        <w:rPr>
          <w:lang w:val="en-IE"/>
        </w:rPr>
        <w:t>performed</w:t>
      </w:r>
      <w:r w:rsidRPr="00D527D5">
        <w:rPr>
          <w:lang w:val="en-IE"/>
        </w:rPr>
        <w:t xml:space="preserve"> in a </w:t>
      </w:r>
      <w:r w:rsidR="00D65488" w:rsidRPr="00D527D5">
        <w:rPr>
          <w:lang w:val="en-IE"/>
        </w:rPr>
        <w:t>temperature-</w:t>
      </w:r>
      <w:r w:rsidRPr="00D527D5">
        <w:rPr>
          <w:lang w:val="en-IE"/>
        </w:rPr>
        <w:t xml:space="preserve">controlled </w:t>
      </w:r>
      <w:r w:rsidR="00D65488" w:rsidRPr="00D527D5">
        <w:rPr>
          <w:lang w:val="en-IE"/>
        </w:rPr>
        <w:t xml:space="preserve">room </w:t>
      </w:r>
      <w:r w:rsidRPr="00D527D5">
        <w:rPr>
          <w:lang w:val="en-IE"/>
        </w:rPr>
        <w:t>at 21°C ± 3°C.</w:t>
      </w:r>
    </w:p>
    <w:p w14:paraId="70423BB5" w14:textId="77777777" w:rsidR="00704FCF" w:rsidRPr="00D527D5" w:rsidRDefault="00704FCF" w:rsidP="0073402F">
      <w:pPr>
        <w:pStyle w:val="111Para"/>
        <w:rPr>
          <w:lang w:val="en-IE" w:eastAsia="pt-PT"/>
        </w:rPr>
      </w:pPr>
      <w:r w:rsidRPr="00D527D5">
        <w:rPr>
          <w:lang w:val="en-IE" w:eastAsia="pt-PT"/>
        </w:rPr>
        <w:t xml:space="preserve">Contaminated or haemolysed sera should not be tested, </w:t>
      </w:r>
      <w:r w:rsidR="00C6156F" w:rsidRPr="00D527D5">
        <w:rPr>
          <w:lang w:val="en-IE" w:eastAsia="pt-PT"/>
        </w:rPr>
        <w:t>as</w:t>
      </w:r>
      <w:r w:rsidRPr="00D527D5">
        <w:rPr>
          <w:lang w:val="en-IE" w:eastAsia="pt-PT"/>
        </w:rPr>
        <w:t xml:space="preserve"> this will interfere with the reaction. </w:t>
      </w:r>
      <w:r w:rsidR="00D65488" w:rsidRPr="00D527D5">
        <w:rPr>
          <w:lang w:val="en-IE" w:eastAsia="pt-PT"/>
        </w:rPr>
        <w:t>U</w:t>
      </w:r>
      <w:r w:rsidRPr="00D527D5">
        <w:rPr>
          <w:lang w:val="en-IE" w:eastAsia="pt-PT"/>
        </w:rPr>
        <w:t>ndiluted test sera samples and appropriate working standar</w:t>
      </w:r>
      <w:r w:rsidR="00D65488" w:rsidRPr="00D527D5">
        <w:rPr>
          <w:lang w:val="en-IE" w:eastAsia="pt-PT"/>
        </w:rPr>
        <w:t>ds should be inactivated for 30 </w:t>
      </w:r>
      <w:r w:rsidRPr="00D527D5">
        <w:rPr>
          <w:lang w:val="en-IE" w:eastAsia="pt-PT"/>
        </w:rPr>
        <w:t xml:space="preserve">minutes in water bath at 56°C ± 2°C. This will destroy the complement of the sera and reduce or eliminate the anti-complementary activity (ACA). </w:t>
      </w:r>
    </w:p>
    <w:p w14:paraId="37F96F90" w14:textId="77777777" w:rsidR="00704FCF" w:rsidRPr="00D527D5" w:rsidRDefault="00704FCF" w:rsidP="0073402F">
      <w:pPr>
        <w:pStyle w:val="111Para"/>
        <w:rPr>
          <w:lang w:val="en-IE" w:eastAsia="pt-PT"/>
        </w:rPr>
      </w:pPr>
      <w:r w:rsidRPr="00D527D5">
        <w:rPr>
          <w:lang w:val="en-IE" w:eastAsia="pt-PT"/>
        </w:rPr>
        <w:t>Usually, only one serum dilution (</w:t>
      </w:r>
      <w:r w:rsidRPr="00D527D5">
        <w:rPr>
          <w:lang w:val="en-IE"/>
        </w:rPr>
        <w:t xml:space="preserve">1/10 in VB) </w:t>
      </w:r>
      <w:r w:rsidRPr="00D527D5">
        <w:rPr>
          <w:lang w:val="en-IE" w:eastAsia="pt-PT"/>
        </w:rPr>
        <w:t>is tested routinely but serial dilutions must be done for the positive control (PRS). Using standard 96-well microtitre plates with round (U) bottoms, the technique is performed as follows:</w:t>
      </w:r>
    </w:p>
    <w:p w14:paraId="7739B4DC" w14:textId="77777777" w:rsidR="00704FCF" w:rsidRPr="00D527D5" w:rsidRDefault="00704FCF" w:rsidP="00704FCF">
      <w:pPr>
        <w:pStyle w:val="i"/>
        <w:rPr>
          <w:lang w:val="en-IE" w:eastAsia="pt-PT"/>
        </w:rPr>
      </w:pPr>
      <w:r w:rsidRPr="00D527D5">
        <w:rPr>
          <w:lang w:val="en-IE"/>
        </w:rPr>
        <w:t>i)</w:t>
      </w:r>
      <w:r w:rsidRPr="00D527D5">
        <w:rPr>
          <w:lang w:val="en-IE"/>
        </w:rPr>
        <w:tab/>
        <w:t xml:space="preserve">Dispense </w:t>
      </w:r>
      <w:r w:rsidRPr="00D527D5">
        <w:rPr>
          <w:lang w:val="en-IE" w:eastAsia="pt-PT"/>
        </w:rPr>
        <w:t>25 µl of test serum</w:t>
      </w:r>
      <w:r w:rsidRPr="00D527D5">
        <w:rPr>
          <w:lang w:val="en-IE"/>
        </w:rPr>
        <w:t xml:space="preserve"> inactivated and diluted 1/10 in VB </w:t>
      </w:r>
      <w:r w:rsidRPr="00D527D5">
        <w:rPr>
          <w:lang w:val="en-IE" w:eastAsia="pt-PT"/>
        </w:rPr>
        <w:t>in the wells of the first and second</w:t>
      </w:r>
      <w:r w:rsidRPr="00D527D5">
        <w:rPr>
          <w:lang w:val="en-IE"/>
        </w:rPr>
        <w:t xml:space="preserve"> rows. </w:t>
      </w:r>
      <w:r w:rsidRPr="00D527D5">
        <w:rPr>
          <w:lang w:val="en-IE" w:eastAsia="pt-PT"/>
        </w:rPr>
        <w:t xml:space="preserve">The first row is an anti-complementary control for each serum. </w:t>
      </w:r>
    </w:p>
    <w:p w14:paraId="7BDC5C0C" w14:textId="77777777" w:rsidR="00704FCF" w:rsidRPr="00D527D5" w:rsidRDefault="00704FCF" w:rsidP="00704FCF">
      <w:pPr>
        <w:pStyle w:val="i"/>
        <w:rPr>
          <w:lang w:val="en-IE"/>
        </w:rPr>
      </w:pPr>
      <w:r w:rsidRPr="00D527D5">
        <w:rPr>
          <w:lang w:val="en-IE" w:eastAsia="pt-PT"/>
        </w:rPr>
        <w:t>ii)</w:t>
      </w:r>
      <w:r w:rsidRPr="00D527D5">
        <w:rPr>
          <w:lang w:val="en-IE" w:eastAsia="pt-PT"/>
        </w:rPr>
        <w:tab/>
        <w:t>Volumes of 25 µl of antigen</w:t>
      </w:r>
      <w:r w:rsidRPr="00D527D5">
        <w:rPr>
          <w:lang w:val="en-IE"/>
        </w:rPr>
        <w:t xml:space="preserve"> at a dose of 2 </w:t>
      </w:r>
      <w:r w:rsidR="00D65488" w:rsidRPr="00D527D5">
        <w:rPr>
          <w:lang w:val="en-IE"/>
        </w:rPr>
        <w:t>CFU</w:t>
      </w:r>
      <w:r w:rsidRPr="00D527D5">
        <w:rPr>
          <w:lang w:val="en-IE" w:eastAsia="pt-PT"/>
        </w:rPr>
        <w:t xml:space="preserve"> are added to each well except the anti-complementary controls, </w:t>
      </w:r>
      <w:r w:rsidR="00D65488" w:rsidRPr="00D527D5">
        <w:rPr>
          <w:lang w:val="en-IE" w:eastAsia="pt-PT"/>
        </w:rPr>
        <w:t>to</w:t>
      </w:r>
      <w:r w:rsidRPr="00D527D5">
        <w:rPr>
          <w:lang w:val="en-IE" w:eastAsia="pt-PT"/>
        </w:rPr>
        <w:t xml:space="preserve"> which 25 µl of VB should be added to compensate for lack of antigen.</w:t>
      </w:r>
    </w:p>
    <w:p w14:paraId="4FC42993" w14:textId="77777777" w:rsidR="00704FCF" w:rsidRPr="00D527D5" w:rsidRDefault="00704FCF" w:rsidP="00704FCF">
      <w:pPr>
        <w:pStyle w:val="i"/>
        <w:rPr>
          <w:lang w:val="en-IE"/>
        </w:rPr>
      </w:pPr>
      <w:r w:rsidRPr="00D527D5">
        <w:rPr>
          <w:lang w:val="en-IE"/>
        </w:rPr>
        <w:t>iii)</w:t>
      </w:r>
      <w:r w:rsidRPr="00D527D5">
        <w:rPr>
          <w:lang w:val="en-IE"/>
        </w:rPr>
        <w:tab/>
        <w:t>Add 25 µl of C’ at a dose of 2.5 units. Shake gently and incubate at 37°C for 30 minutes with periodic (at least twice during the incubation period) or continuous shaking.</w:t>
      </w:r>
    </w:p>
    <w:p w14:paraId="337BD7ED" w14:textId="77777777" w:rsidR="00704FCF" w:rsidRPr="00D527D5" w:rsidRDefault="00704FCF" w:rsidP="00E420C2">
      <w:pPr>
        <w:pStyle w:val="i"/>
        <w:rPr>
          <w:lang w:val="en-IE"/>
        </w:rPr>
      </w:pPr>
      <w:r w:rsidRPr="00D527D5">
        <w:rPr>
          <w:lang w:val="en-IE"/>
        </w:rPr>
        <w:t>iv)</w:t>
      </w:r>
      <w:r w:rsidRPr="00D527D5">
        <w:rPr>
          <w:lang w:val="en-IE"/>
        </w:rPr>
        <w:tab/>
        <w:t>Add 25 µl of HS. Shake gently and incubate at 37°C for 30 minutes. Microplates must be shaken twice during the incubation period.</w:t>
      </w:r>
    </w:p>
    <w:p w14:paraId="31176BAD" w14:textId="77777777" w:rsidR="00704FCF" w:rsidRPr="00D527D5" w:rsidRDefault="00D65488" w:rsidP="00D65488">
      <w:pPr>
        <w:pStyle w:val="i"/>
        <w:rPr>
          <w:lang w:val="en-IE"/>
        </w:rPr>
      </w:pPr>
      <w:r w:rsidRPr="00D527D5">
        <w:rPr>
          <w:lang w:val="en-IE"/>
        </w:rPr>
        <w:t>v)</w:t>
      </w:r>
      <w:r w:rsidRPr="00D527D5">
        <w:rPr>
          <w:lang w:val="en-IE"/>
        </w:rPr>
        <w:tab/>
      </w:r>
      <w:r w:rsidR="00704FCF" w:rsidRPr="00D527D5">
        <w:rPr>
          <w:lang w:val="en-IE"/>
        </w:rPr>
        <w:t>It is necessary to set up the following controls:</w:t>
      </w:r>
    </w:p>
    <w:p w14:paraId="6A8A97BF" w14:textId="77777777" w:rsidR="00704FCF" w:rsidRPr="00D527D5" w:rsidRDefault="00D65488" w:rsidP="00D65488">
      <w:pPr>
        <w:pStyle w:val="ififthlevellist"/>
        <w:rPr>
          <w:lang w:val="en-IE"/>
        </w:rPr>
      </w:pPr>
      <w:r w:rsidRPr="00D527D5">
        <w:rPr>
          <w:lang w:val="en-IE"/>
        </w:rPr>
        <w:t>a</w:t>
      </w:r>
      <w:r w:rsidR="00704FCF" w:rsidRPr="00D527D5">
        <w:rPr>
          <w:lang w:val="en-IE"/>
        </w:rPr>
        <w:t>)</w:t>
      </w:r>
      <w:r w:rsidR="00704FCF" w:rsidRPr="00D527D5">
        <w:rPr>
          <w:lang w:val="en-IE"/>
        </w:rPr>
        <w:tab/>
        <w:t>C</w:t>
      </w:r>
      <w:r w:rsidRPr="00D527D5">
        <w:rPr>
          <w:lang w:val="en-IE"/>
        </w:rPr>
        <w:t>’</w:t>
      </w:r>
      <w:r w:rsidR="00704FCF" w:rsidRPr="00D527D5">
        <w:rPr>
          <w:lang w:val="en-IE"/>
        </w:rPr>
        <w:t>: 0.5 units, 1 unit and 2.5 units.</w:t>
      </w:r>
    </w:p>
    <w:p w14:paraId="61EC7AAA" w14:textId="77777777" w:rsidR="00704FCF" w:rsidRPr="00D527D5" w:rsidRDefault="00D65488" w:rsidP="00D65488">
      <w:pPr>
        <w:pStyle w:val="ififthlevellist"/>
        <w:rPr>
          <w:lang w:val="en-IE"/>
        </w:rPr>
      </w:pPr>
      <w:r w:rsidRPr="00D527D5">
        <w:rPr>
          <w:lang w:val="en-IE"/>
        </w:rPr>
        <w:t>b</w:t>
      </w:r>
      <w:r w:rsidR="00704FCF" w:rsidRPr="00D527D5">
        <w:rPr>
          <w:lang w:val="en-IE"/>
        </w:rPr>
        <w:t>)</w:t>
      </w:r>
      <w:r w:rsidR="00704FCF" w:rsidRPr="00D527D5">
        <w:rPr>
          <w:lang w:val="en-IE"/>
        </w:rPr>
        <w:tab/>
        <w:t>H</w:t>
      </w:r>
      <w:r w:rsidRPr="00D527D5">
        <w:rPr>
          <w:lang w:val="en-IE"/>
        </w:rPr>
        <w:t>S</w:t>
      </w:r>
      <w:r w:rsidR="00704FCF" w:rsidRPr="00D527D5">
        <w:rPr>
          <w:lang w:val="en-IE"/>
        </w:rPr>
        <w:t>: 75 µl of VB + 25 µl of HS.</w:t>
      </w:r>
    </w:p>
    <w:p w14:paraId="482AA466" w14:textId="77777777" w:rsidR="00704FCF" w:rsidRPr="00D527D5" w:rsidRDefault="00D65488" w:rsidP="00D65488">
      <w:pPr>
        <w:pStyle w:val="ififthlevellist"/>
        <w:rPr>
          <w:lang w:val="en-IE"/>
        </w:rPr>
      </w:pPr>
      <w:r w:rsidRPr="00D527D5">
        <w:rPr>
          <w:lang w:val="en-IE"/>
        </w:rPr>
        <w:t>c</w:t>
      </w:r>
      <w:r w:rsidR="00704FCF" w:rsidRPr="00D527D5">
        <w:rPr>
          <w:lang w:val="en-IE"/>
        </w:rPr>
        <w:t>)</w:t>
      </w:r>
      <w:r w:rsidR="00704FCF" w:rsidRPr="00D527D5">
        <w:rPr>
          <w:lang w:val="en-IE"/>
        </w:rPr>
        <w:tab/>
        <w:t xml:space="preserve">Antigen: 25 µl of 2 </w:t>
      </w:r>
      <w:r w:rsidRPr="00D527D5">
        <w:rPr>
          <w:lang w:val="en-IE"/>
        </w:rPr>
        <w:t>CFU</w:t>
      </w:r>
      <w:r w:rsidR="00704FCF" w:rsidRPr="00D527D5">
        <w:rPr>
          <w:lang w:val="en-IE"/>
        </w:rPr>
        <w:t xml:space="preserve"> of antigen + 25 µl of C’ at 2.5 units + 25 µl of HS = 25 µl of VB.</w:t>
      </w:r>
    </w:p>
    <w:p w14:paraId="26F1B253" w14:textId="77777777" w:rsidR="00704FCF" w:rsidRPr="00D527D5" w:rsidRDefault="00704FCF" w:rsidP="00D65488">
      <w:pPr>
        <w:pStyle w:val="ififthpara"/>
        <w:rPr>
          <w:lang w:val="en-IE"/>
        </w:rPr>
      </w:pPr>
      <w:r w:rsidRPr="00D527D5">
        <w:rPr>
          <w:lang w:val="en-IE"/>
        </w:rPr>
        <w:t>The</w:t>
      </w:r>
      <w:r w:rsidR="00D65488" w:rsidRPr="00D527D5">
        <w:rPr>
          <w:lang w:val="en-IE"/>
        </w:rPr>
        <w:t>se</w:t>
      </w:r>
      <w:r w:rsidRPr="00D527D5">
        <w:rPr>
          <w:lang w:val="en-IE"/>
        </w:rPr>
        <w:t xml:space="preserve"> controls, </w:t>
      </w:r>
      <w:r w:rsidR="00D65488" w:rsidRPr="00D527D5">
        <w:rPr>
          <w:lang w:val="en-IE"/>
        </w:rPr>
        <w:t>along with</w:t>
      </w:r>
      <w:r w:rsidRPr="00D527D5">
        <w:rPr>
          <w:lang w:val="en-IE"/>
        </w:rPr>
        <w:t xml:space="preserve"> the positive </w:t>
      </w:r>
      <w:r w:rsidR="00D65488" w:rsidRPr="00D527D5">
        <w:rPr>
          <w:lang w:val="en-IE"/>
        </w:rPr>
        <w:t xml:space="preserve">control </w:t>
      </w:r>
      <w:r w:rsidRPr="00D527D5">
        <w:rPr>
          <w:lang w:val="en-IE"/>
        </w:rPr>
        <w:t xml:space="preserve">serum (PRS) and the negative </w:t>
      </w:r>
      <w:r w:rsidR="00D65488" w:rsidRPr="00D527D5">
        <w:rPr>
          <w:lang w:val="en-IE"/>
        </w:rPr>
        <w:t xml:space="preserve">control </w:t>
      </w:r>
      <w:r w:rsidRPr="00D527D5">
        <w:rPr>
          <w:lang w:val="en-IE"/>
        </w:rPr>
        <w:t>serum (NRS), should always be used in each microplate or in a series of microplates where the same batches of reagents are used.</w:t>
      </w:r>
    </w:p>
    <w:p w14:paraId="2152E8C1" w14:textId="77777777" w:rsidR="00704FCF" w:rsidRPr="00D527D5" w:rsidRDefault="00D65488" w:rsidP="00704FCF">
      <w:pPr>
        <w:pStyle w:val="i"/>
        <w:rPr>
          <w:lang w:val="en-IE"/>
        </w:rPr>
      </w:pPr>
      <w:r w:rsidRPr="00D527D5">
        <w:rPr>
          <w:lang w:val="en-IE"/>
        </w:rPr>
        <w:t>v</w:t>
      </w:r>
      <w:r w:rsidR="00704FCF" w:rsidRPr="00D527D5">
        <w:rPr>
          <w:lang w:val="en-IE"/>
        </w:rPr>
        <w:t>i)</w:t>
      </w:r>
      <w:r w:rsidR="00704FCF" w:rsidRPr="00D527D5">
        <w:rPr>
          <w:lang w:val="en-IE"/>
        </w:rPr>
        <w:tab/>
      </w:r>
      <w:r w:rsidR="00704FCF" w:rsidRPr="00D527D5">
        <w:rPr>
          <w:i/>
          <w:lang w:val="en-IE"/>
        </w:rPr>
        <w:t>Interpretation of results</w:t>
      </w:r>
    </w:p>
    <w:p w14:paraId="04B7FC59" w14:textId="77777777" w:rsidR="00704FCF" w:rsidRPr="00D527D5" w:rsidRDefault="00704FCF" w:rsidP="00E420C2">
      <w:pPr>
        <w:pStyle w:val="afourthpara"/>
        <w:spacing w:after="120"/>
        <w:rPr>
          <w:lang w:val="en-IE"/>
        </w:rPr>
      </w:pPr>
      <w:r w:rsidRPr="00D527D5">
        <w:rPr>
          <w:lang w:val="en-IE"/>
        </w:rPr>
        <w:t xml:space="preserve">After centrifugation of the microplates at 125 </w:t>
      </w:r>
      <w:r w:rsidRPr="00D527D5">
        <w:rPr>
          <w:b/>
          <w:i/>
          <w:lang w:val="en-IE"/>
        </w:rPr>
        <w:t>g</w:t>
      </w:r>
      <w:r w:rsidRPr="00D527D5">
        <w:rPr>
          <w:lang w:val="en-IE"/>
        </w:rPr>
        <w:t xml:space="preserve"> for 5 minutes, the analysis is carried out based on the percentage of complement fixation observed.</w:t>
      </w:r>
    </w:p>
    <w:p w14:paraId="215899B5" w14:textId="77777777" w:rsidR="00704FCF" w:rsidRPr="00D527D5" w:rsidRDefault="00704FCF" w:rsidP="00E420C2">
      <w:pPr>
        <w:pStyle w:val="afourthpara"/>
        <w:spacing w:after="120"/>
        <w:rPr>
          <w:lang w:val="en-IE"/>
        </w:rPr>
      </w:pPr>
      <w:r w:rsidRPr="00D527D5">
        <w:rPr>
          <w:lang w:val="en-IE"/>
        </w:rPr>
        <w:t>Positive result: 100% fixation at 1/10;</w:t>
      </w:r>
    </w:p>
    <w:p w14:paraId="5F0D7125" w14:textId="77777777" w:rsidR="00704FCF" w:rsidRPr="00D527D5" w:rsidRDefault="00704FCF" w:rsidP="00E420C2">
      <w:pPr>
        <w:pStyle w:val="afourthpara"/>
        <w:rPr>
          <w:lang w:val="en-IE"/>
        </w:rPr>
      </w:pPr>
      <w:r w:rsidRPr="00D527D5">
        <w:rPr>
          <w:lang w:val="en-IE"/>
        </w:rPr>
        <w:t>Doubtful results: 25, 50 or 75% fixation at 1/10.</w:t>
      </w:r>
    </w:p>
    <w:p w14:paraId="21BA81B8" w14:textId="77777777" w:rsidR="00704FCF" w:rsidRPr="00D527D5" w:rsidRDefault="00D65488" w:rsidP="00243B60">
      <w:pPr>
        <w:pStyle w:val="i"/>
        <w:keepNext/>
        <w:rPr>
          <w:lang w:val="en-IE"/>
        </w:rPr>
      </w:pPr>
      <w:r w:rsidRPr="00D527D5">
        <w:rPr>
          <w:lang w:val="en-IE"/>
        </w:rPr>
        <w:lastRenderedPageBreak/>
        <w:t>v</w:t>
      </w:r>
      <w:r w:rsidR="00704FCF" w:rsidRPr="00D527D5">
        <w:rPr>
          <w:lang w:val="en-IE"/>
        </w:rPr>
        <w:t>ii)</w:t>
      </w:r>
      <w:r w:rsidR="00704FCF" w:rsidRPr="00D527D5">
        <w:rPr>
          <w:lang w:val="en-IE"/>
        </w:rPr>
        <w:tab/>
      </w:r>
      <w:r w:rsidR="00704FCF" w:rsidRPr="00D527D5">
        <w:rPr>
          <w:i/>
          <w:lang w:val="en-IE"/>
        </w:rPr>
        <w:t>Validation of results</w:t>
      </w:r>
    </w:p>
    <w:p w14:paraId="0B0F2B31" w14:textId="77777777" w:rsidR="00704FCF" w:rsidRPr="00D527D5" w:rsidRDefault="00704FCF" w:rsidP="00243B60">
      <w:pPr>
        <w:pStyle w:val="afourthpara"/>
        <w:keepNext/>
        <w:rPr>
          <w:lang w:val="en-IE"/>
        </w:rPr>
      </w:pPr>
      <w:r w:rsidRPr="00D527D5">
        <w:rPr>
          <w:lang w:val="en-IE"/>
        </w:rPr>
        <w:t>Expected results for the plate controls are as follows:</w:t>
      </w:r>
    </w:p>
    <w:p w14:paraId="5FF8A4E1" w14:textId="77777777" w:rsidR="00704FCF" w:rsidRPr="00D527D5" w:rsidRDefault="00704FCF" w:rsidP="00D65488">
      <w:pPr>
        <w:pStyle w:val="ififthlevellist"/>
        <w:rPr>
          <w:lang w:val="en-IE"/>
        </w:rPr>
      </w:pPr>
      <w:r w:rsidRPr="00D527D5">
        <w:rPr>
          <w:lang w:val="en-IE"/>
        </w:rPr>
        <w:t>a)</w:t>
      </w:r>
      <w:r w:rsidR="0090157A" w:rsidRPr="00D527D5">
        <w:rPr>
          <w:lang w:val="en-IE"/>
        </w:rPr>
        <w:tab/>
      </w:r>
      <w:r w:rsidR="00D65488" w:rsidRPr="00D527D5">
        <w:rPr>
          <w:lang w:val="en-IE"/>
        </w:rPr>
        <w:t>PRS</w:t>
      </w:r>
      <w:r w:rsidRPr="00D527D5">
        <w:rPr>
          <w:lang w:val="en-IE"/>
        </w:rPr>
        <w:t xml:space="preserve">: expected titre. </w:t>
      </w:r>
    </w:p>
    <w:p w14:paraId="60DA40C6" w14:textId="77777777" w:rsidR="00704FCF" w:rsidRPr="00D527D5" w:rsidRDefault="00704FCF" w:rsidP="00D65488">
      <w:pPr>
        <w:pStyle w:val="ififthlevellist"/>
        <w:rPr>
          <w:lang w:val="en-IE"/>
        </w:rPr>
      </w:pPr>
      <w:r w:rsidRPr="00D527D5">
        <w:rPr>
          <w:lang w:val="en-IE"/>
        </w:rPr>
        <w:t>b)</w:t>
      </w:r>
      <w:r w:rsidR="0090157A" w:rsidRPr="00D527D5">
        <w:rPr>
          <w:lang w:val="en-IE"/>
        </w:rPr>
        <w:tab/>
      </w:r>
      <w:r w:rsidR="00D65488" w:rsidRPr="00D527D5">
        <w:rPr>
          <w:lang w:val="en-IE"/>
        </w:rPr>
        <w:t>NRS</w:t>
      </w:r>
      <w:r w:rsidRPr="00D527D5">
        <w:rPr>
          <w:lang w:val="en-IE"/>
        </w:rPr>
        <w:t>: 100% haemolysis</w:t>
      </w:r>
    </w:p>
    <w:p w14:paraId="2FF3E17E" w14:textId="77777777" w:rsidR="00704FCF" w:rsidRPr="00D527D5" w:rsidRDefault="00704FCF" w:rsidP="00D65488">
      <w:pPr>
        <w:pStyle w:val="ififthlevellist"/>
        <w:rPr>
          <w:lang w:val="en-IE"/>
        </w:rPr>
      </w:pPr>
      <w:r w:rsidRPr="00D527D5">
        <w:rPr>
          <w:lang w:val="en-IE"/>
        </w:rPr>
        <w:t>c)</w:t>
      </w:r>
      <w:r w:rsidR="0090157A" w:rsidRPr="00D527D5">
        <w:rPr>
          <w:lang w:val="en-IE"/>
        </w:rPr>
        <w:tab/>
      </w:r>
      <w:r w:rsidRPr="00D527D5">
        <w:rPr>
          <w:lang w:val="en-IE"/>
        </w:rPr>
        <w:t>Anticomplementary control of serum samples: 100% haemolysis</w:t>
      </w:r>
    </w:p>
    <w:p w14:paraId="3A1E7863" w14:textId="77777777" w:rsidR="00704FCF" w:rsidRPr="00D527D5" w:rsidRDefault="00704FCF" w:rsidP="00D65488">
      <w:pPr>
        <w:pStyle w:val="ififthlevellist"/>
        <w:rPr>
          <w:lang w:val="en-IE"/>
        </w:rPr>
      </w:pPr>
      <w:r w:rsidRPr="00D527D5">
        <w:rPr>
          <w:lang w:val="en-IE"/>
        </w:rPr>
        <w:t>d)</w:t>
      </w:r>
      <w:r w:rsidR="0090157A" w:rsidRPr="00D527D5">
        <w:rPr>
          <w:lang w:val="en-IE"/>
        </w:rPr>
        <w:tab/>
      </w:r>
      <w:r w:rsidRPr="00D527D5">
        <w:rPr>
          <w:lang w:val="en-IE"/>
        </w:rPr>
        <w:t>Antigen control: 100% haemolysis</w:t>
      </w:r>
    </w:p>
    <w:p w14:paraId="3DFD5118" w14:textId="77777777" w:rsidR="00704FCF" w:rsidRPr="00D527D5" w:rsidRDefault="00704FCF" w:rsidP="00D65488">
      <w:pPr>
        <w:pStyle w:val="ififthlevellist"/>
        <w:rPr>
          <w:lang w:val="en-IE"/>
        </w:rPr>
      </w:pPr>
      <w:r w:rsidRPr="00D527D5">
        <w:rPr>
          <w:lang w:val="en-IE"/>
        </w:rPr>
        <w:t>e)</w:t>
      </w:r>
      <w:r w:rsidR="0090157A" w:rsidRPr="00D527D5">
        <w:rPr>
          <w:lang w:val="en-IE"/>
        </w:rPr>
        <w:tab/>
      </w:r>
      <w:r w:rsidRPr="00D527D5">
        <w:rPr>
          <w:lang w:val="en-IE"/>
        </w:rPr>
        <w:t>Complement units’ control: 100% haemolysis for 2.5 units</w:t>
      </w:r>
    </w:p>
    <w:p w14:paraId="3A1CEB79" w14:textId="77777777" w:rsidR="00704FCF" w:rsidRPr="00D527D5" w:rsidRDefault="00704FCF" w:rsidP="005B4153">
      <w:pPr>
        <w:pStyle w:val="ififthlevellist"/>
        <w:spacing w:after="240"/>
        <w:rPr>
          <w:lang w:val="en-IE"/>
        </w:rPr>
      </w:pPr>
      <w:r w:rsidRPr="00D527D5">
        <w:rPr>
          <w:lang w:val="en-IE"/>
        </w:rPr>
        <w:t>f)</w:t>
      </w:r>
      <w:r w:rsidR="0090157A" w:rsidRPr="00D527D5">
        <w:rPr>
          <w:lang w:val="en-IE"/>
        </w:rPr>
        <w:tab/>
      </w:r>
      <w:r w:rsidRPr="00D527D5">
        <w:rPr>
          <w:lang w:val="en-IE"/>
        </w:rPr>
        <w:t>H</w:t>
      </w:r>
      <w:r w:rsidR="005B4153" w:rsidRPr="00D527D5">
        <w:rPr>
          <w:lang w:val="en-IE"/>
        </w:rPr>
        <w:t>S</w:t>
      </w:r>
      <w:r w:rsidRPr="00D527D5">
        <w:rPr>
          <w:lang w:val="en-IE"/>
        </w:rPr>
        <w:t xml:space="preserve"> control in absence of complement: 0% haemolysis</w:t>
      </w:r>
    </w:p>
    <w:p w14:paraId="02824E10" w14:textId="77777777" w:rsidR="00704FCF" w:rsidRPr="00D527D5" w:rsidRDefault="00704FCF" w:rsidP="005B4153">
      <w:pPr>
        <w:pStyle w:val="11Para"/>
        <w:rPr>
          <w:lang w:val="en-IE"/>
        </w:rPr>
      </w:pPr>
      <w:r w:rsidRPr="00D527D5">
        <w:rPr>
          <w:lang w:val="en-IE"/>
        </w:rPr>
        <w:t>It is recommended that any CF</w:t>
      </w:r>
      <w:r w:rsidR="005B4153" w:rsidRPr="00D527D5">
        <w:rPr>
          <w:lang w:val="en-IE"/>
        </w:rPr>
        <w:t>T</w:t>
      </w:r>
      <w:r w:rsidRPr="00D527D5">
        <w:rPr>
          <w:lang w:val="en-IE"/>
        </w:rPr>
        <w:t xml:space="preserve"> result, even partial (25, 50 or 75%), at a serum dilution of 1/10</w:t>
      </w:r>
      <w:r w:rsidR="005B4153" w:rsidRPr="00D527D5">
        <w:rPr>
          <w:lang w:val="en-IE"/>
        </w:rPr>
        <w:t xml:space="preserve"> </w:t>
      </w:r>
      <w:r w:rsidRPr="00D527D5">
        <w:rPr>
          <w:lang w:val="en-IE"/>
        </w:rPr>
        <w:t>be confirmed by additional investigations, such as immunoblotting or post-mortem examination and bacteriological tests according to contingency.</w:t>
      </w:r>
    </w:p>
    <w:p w14:paraId="5BF96BC4" w14:textId="77777777" w:rsidR="00093494" w:rsidRPr="00D527D5" w:rsidRDefault="0073402F" w:rsidP="00243B60">
      <w:pPr>
        <w:pStyle w:val="11"/>
        <w:spacing w:after="160"/>
        <w:rPr>
          <w:bCs/>
          <w:lang w:val="en-IE"/>
        </w:rPr>
      </w:pPr>
      <w:r w:rsidRPr="00D527D5">
        <w:rPr>
          <w:bCs/>
          <w:lang w:val="en-IE"/>
        </w:rPr>
        <w:t>2.2.</w:t>
      </w:r>
      <w:r w:rsidR="00093494" w:rsidRPr="00D527D5">
        <w:rPr>
          <w:bCs/>
          <w:lang w:val="en-IE"/>
        </w:rPr>
        <w:tab/>
        <w:t>Competitive enzyme-linked immunosorbent assay</w:t>
      </w:r>
    </w:p>
    <w:p w14:paraId="0AA821A4" w14:textId="77777777" w:rsidR="004B1145" w:rsidRPr="00A50845" w:rsidRDefault="00093494" w:rsidP="00243B60">
      <w:pPr>
        <w:pStyle w:val="paraa"/>
        <w:spacing w:after="160"/>
        <w:ind w:left="851"/>
        <w:rPr>
          <w:lang w:val="en-IE"/>
        </w:rPr>
      </w:pPr>
      <w:r w:rsidRPr="00D527D5">
        <w:rPr>
          <w:lang w:val="en-IE"/>
        </w:rPr>
        <w:t xml:space="preserve">A </w:t>
      </w:r>
      <w:r w:rsidRPr="00A50845">
        <w:rPr>
          <w:lang w:val="en-IE"/>
        </w:rPr>
        <w:t xml:space="preserve">competitive </w:t>
      </w:r>
      <w:r w:rsidR="005B4153" w:rsidRPr="00A50845">
        <w:rPr>
          <w:lang w:val="en-IE"/>
        </w:rPr>
        <w:t>ELISA</w:t>
      </w:r>
      <w:r w:rsidRPr="00A50845">
        <w:rPr>
          <w:lang w:val="en-IE"/>
        </w:rPr>
        <w:t xml:space="preserve"> (C-ELISA) developed by the OIE Collaborating Centre for the diagnosis and control of animal diseases in tropical countries (see Table given in </w:t>
      </w:r>
      <w:r w:rsidR="0023484A" w:rsidRPr="00A50845">
        <w:rPr>
          <w:lang w:val="en-IE"/>
        </w:rPr>
        <w:t>Part 4</w:t>
      </w:r>
      <w:r w:rsidRPr="00A50845">
        <w:rPr>
          <w:lang w:val="en-IE"/>
        </w:rPr>
        <w:t xml:space="preserve"> of this </w:t>
      </w:r>
      <w:r w:rsidRPr="00A50845">
        <w:rPr>
          <w:i/>
          <w:iCs/>
          <w:lang w:val="en-IE"/>
        </w:rPr>
        <w:t>Terrestrial</w:t>
      </w:r>
      <w:r w:rsidRPr="00A50845">
        <w:rPr>
          <w:lang w:val="en-IE"/>
        </w:rPr>
        <w:t xml:space="preserve"> </w:t>
      </w:r>
      <w:r w:rsidRPr="00A50845">
        <w:rPr>
          <w:i/>
          <w:lang w:val="en-IE"/>
        </w:rPr>
        <w:t>Manual</w:t>
      </w:r>
      <w:r w:rsidRPr="00A50845">
        <w:rPr>
          <w:lang w:val="en-IE"/>
        </w:rPr>
        <w:t>) (</w:t>
      </w:r>
      <w:r w:rsidR="00802A49" w:rsidRPr="00A50845">
        <w:rPr>
          <w:lang w:val="en-IE"/>
        </w:rPr>
        <w:t>Le Goff &amp; Thiaucourt, 1998</w:t>
      </w:r>
      <w:r w:rsidRPr="00A50845">
        <w:rPr>
          <w:lang w:val="en-IE"/>
        </w:rPr>
        <w:t xml:space="preserve">), has </w:t>
      </w:r>
      <w:r w:rsidR="004B1145" w:rsidRPr="00A50845">
        <w:rPr>
          <w:lang w:val="en-IE"/>
        </w:rPr>
        <w:t xml:space="preserve">been validated internationally in accordance with OIE standards </w:t>
      </w:r>
      <w:r w:rsidRPr="00A50845">
        <w:rPr>
          <w:lang w:val="en-IE"/>
        </w:rPr>
        <w:t>(</w:t>
      </w:r>
      <w:r w:rsidR="00747858" w:rsidRPr="00A50845">
        <w:rPr>
          <w:lang w:val="en-IE"/>
        </w:rPr>
        <w:t xml:space="preserve">Amanfu </w:t>
      </w:r>
      <w:r w:rsidR="00656C3D" w:rsidRPr="00A50845">
        <w:rPr>
          <w:i/>
          <w:lang w:val="en-IE"/>
        </w:rPr>
        <w:t>et al</w:t>
      </w:r>
      <w:r w:rsidR="00747858" w:rsidRPr="00A50845">
        <w:rPr>
          <w:lang w:val="en-IE"/>
        </w:rPr>
        <w:t>., 1998</w:t>
      </w:r>
      <w:r w:rsidRPr="00A50845">
        <w:rPr>
          <w:lang w:val="en-IE"/>
        </w:rPr>
        <w:t xml:space="preserve">). </w:t>
      </w:r>
      <w:r w:rsidR="0036648E" w:rsidRPr="00856085">
        <w:rPr>
          <w:strike/>
          <w:highlight w:val="yellow"/>
          <w:lang w:val="en-IE"/>
        </w:rPr>
        <w:t>T</w:t>
      </w:r>
      <w:r w:rsidR="004B1145" w:rsidRPr="00856085">
        <w:rPr>
          <w:strike/>
          <w:highlight w:val="yellow"/>
          <w:lang w:val="en-IE"/>
        </w:rPr>
        <w:t xml:space="preserve">his </w:t>
      </w:r>
      <w:r w:rsidRPr="00856085">
        <w:rPr>
          <w:strike/>
          <w:highlight w:val="yellow"/>
          <w:lang w:val="en-IE"/>
        </w:rPr>
        <w:t>C-ELISA</w:t>
      </w:r>
      <w:r w:rsidR="0036648E" w:rsidRPr="00856085">
        <w:rPr>
          <w:strike/>
          <w:highlight w:val="yellow"/>
          <w:lang w:val="en-IE"/>
        </w:rPr>
        <w:t xml:space="preserve"> is suitable</w:t>
      </w:r>
      <w:r w:rsidRPr="00856085">
        <w:rPr>
          <w:strike/>
          <w:highlight w:val="yellow"/>
          <w:lang w:val="en-IE"/>
        </w:rPr>
        <w:t xml:space="preserve"> </w:t>
      </w:r>
      <w:r w:rsidR="0036648E" w:rsidRPr="00856085">
        <w:rPr>
          <w:strike/>
          <w:highlight w:val="yellow"/>
        </w:rPr>
        <w:t>for certifying individual animals prior to movement</w:t>
      </w:r>
      <w:r w:rsidR="0036648E" w:rsidRPr="00856085">
        <w:rPr>
          <w:highlight w:val="yellow"/>
        </w:rPr>
        <w:t xml:space="preserve">, </w:t>
      </w:r>
      <w:r w:rsidR="0036648E" w:rsidRPr="00856085">
        <w:rPr>
          <w:strike/>
          <w:highlight w:val="yellow"/>
        </w:rPr>
        <w:t xml:space="preserve">including </w:t>
      </w:r>
      <w:r w:rsidR="0036648E" w:rsidRPr="00856085">
        <w:rPr>
          <w:strike/>
          <w:highlight w:val="yellow"/>
          <w:lang w:val="en-IE"/>
        </w:rPr>
        <w:t>for international trade</w:t>
      </w:r>
      <w:r w:rsidRPr="00856085">
        <w:rPr>
          <w:strike/>
          <w:lang w:val="en-IE"/>
        </w:rPr>
        <w:t xml:space="preserve">. </w:t>
      </w:r>
      <w:r w:rsidR="004B1145" w:rsidRPr="00A50845">
        <w:rPr>
          <w:lang w:val="en-IE"/>
        </w:rPr>
        <w:t>The performance of this C-ELISA method has also been validated by the French Committee for Accreditation in 2009.</w:t>
      </w:r>
    </w:p>
    <w:p w14:paraId="6F1F361D" w14:textId="77777777" w:rsidR="00093494" w:rsidRPr="00A50845" w:rsidRDefault="00093494" w:rsidP="00243B60">
      <w:pPr>
        <w:pStyle w:val="11Para"/>
        <w:spacing w:after="160"/>
        <w:rPr>
          <w:lang w:val="en-IE"/>
        </w:rPr>
      </w:pPr>
      <w:r w:rsidRPr="00A50845">
        <w:rPr>
          <w:lang w:val="en-IE"/>
        </w:rPr>
        <w:t xml:space="preserve">Compared with the </w:t>
      </w:r>
      <w:r w:rsidR="0017553F" w:rsidRPr="00A50845">
        <w:rPr>
          <w:lang w:val="en-IE"/>
        </w:rPr>
        <w:t>CFT</w:t>
      </w:r>
      <w:r w:rsidRPr="00A50845">
        <w:rPr>
          <w:lang w:val="en-IE"/>
        </w:rPr>
        <w:t xml:space="preserve">, the C-ELISA has equal sensitivity and greater specificity. </w:t>
      </w:r>
      <w:r w:rsidR="003E2C42" w:rsidRPr="00A50845">
        <w:rPr>
          <w:lang w:val="en-IE"/>
        </w:rPr>
        <w:t>Advice on</w:t>
      </w:r>
      <w:r w:rsidR="004B1145" w:rsidRPr="00A50845">
        <w:rPr>
          <w:lang w:val="en-IE"/>
        </w:rPr>
        <w:t xml:space="preserve"> standard protocols and</w:t>
      </w:r>
      <w:r w:rsidR="003E2C42" w:rsidRPr="00A50845">
        <w:rPr>
          <w:lang w:val="en-IE"/>
        </w:rPr>
        <w:t xml:space="preserve"> the availability of reagents can be obtained from the OIE Reference Laboratories for CBPP, or the OIE Collaborating Centre for ELISA and Molecular Techniques in Animal Disease Diagnosis (see Table given in </w:t>
      </w:r>
      <w:r w:rsidR="0023484A" w:rsidRPr="00A50845">
        <w:rPr>
          <w:lang w:val="en-IE"/>
        </w:rPr>
        <w:t>Part 4</w:t>
      </w:r>
      <w:r w:rsidR="003E2C42" w:rsidRPr="00A50845">
        <w:rPr>
          <w:lang w:val="en-IE"/>
        </w:rPr>
        <w:t xml:space="preserve"> of this </w:t>
      </w:r>
      <w:r w:rsidR="003E2C42" w:rsidRPr="00A50845">
        <w:rPr>
          <w:i/>
          <w:lang w:val="en-IE"/>
        </w:rPr>
        <w:t>Terrestrial Manual</w:t>
      </w:r>
      <w:r w:rsidR="003E2C42" w:rsidRPr="00A50845">
        <w:rPr>
          <w:lang w:val="en-IE"/>
        </w:rPr>
        <w:t>)</w:t>
      </w:r>
      <w:r w:rsidR="0065743D" w:rsidRPr="00A50845">
        <w:rPr>
          <w:lang w:val="en-IE"/>
        </w:rPr>
        <w:t>.</w:t>
      </w:r>
    </w:p>
    <w:p w14:paraId="1B6BF6D1" w14:textId="77777777" w:rsidR="00093494" w:rsidRPr="00D527D5" w:rsidRDefault="00093494" w:rsidP="00243B60">
      <w:pPr>
        <w:pStyle w:val="11Para"/>
        <w:spacing w:after="160"/>
        <w:rPr>
          <w:lang w:val="en-IE"/>
        </w:rPr>
      </w:pPr>
      <w:r w:rsidRPr="00A50845">
        <w:rPr>
          <w:lang w:val="en-IE"/>
        </w:rPr>
        <w:t>Validation tests (</w:t>
      </w:r>
      <w:r w:rsidR="00747858" w:rsidRPr="00A50845">
        <w:rPr>
          <w:lang w:val="en-IE"/>
        </w:rPr>
        <w:t xml:space="preserve">Amanfu </w:t>
      </w:r>
      <w:r w:rsidR="00656C3D" w:rsidRPr="00A50845">
        <w:rPr>
          <w:i/>
          <w:lang w:val="en-IE"/>
        </w:rPr>
        <w:t>et al</w:t>
      </w:r>
      <w:r w:rsidR="00747858" w:rsidRPr="00A50845">
        <w:rPr>
          <w:i/>
          <w:lang w:val="en-IE"/>
        </w:rPr>
        <w:t>.,</w:t>
      </w:r>
      <w:r w:rsidR="00747858" w:rsidRPr="00A50845">
        <w:rPr>
          <w:lang w:val="en-IE"/>
        </w:rPr>
        <w:t xml:space="preserve"> 1998;</w:t>
      </w:r>
      <w:r w:rsidRPr="00A50845">
        <w:rPr>
          <w:lang w:val="en-IE"/>
        </w:rPr>
        <w:t xml:space="preserve"> </w:t>
      </w:r>
      <w:r w:rsidR="00802A49" w:rsidRPr="00A50845">
        <w:rPr>
          <w:lang w:val="en-IE"/>
        </w:rPr>
        <w:t>Le Goff &amp; Thiaucourt, 1998</w:t>
      </w:r>
      <w:r w:rsidRPr="00A50845">
        <w:rPr>
          <w:lang w:val="en-IE"/>
        </w:rPr>
        <w:t xml:space="preserve">) that have been carried out in several African and European countries </w:t>
      </w:r>
      <w:r w:rsidRPr="00A50845">
        <w:rPr>
          <w:strike/>
          <w:lang w:val="en-IE"/>
        </w:rPr>
        <w:t xml:space="preserve">would </w:t>
      </w:r>
      <w:r w:rsidRPr="00A50845">
        <w:rPr>
          <w:lang w:val="en-IE"/>
        </w:rPr>
        <w:t>indicate</w:t>
      </w:r>
      <w:r w:rsidR="00A205D7" w:rsidRPr="00A50845">
        <w:rPr>
          <w:u w:val="double"/>
          <w:lang w:val="en-IE"/>
        </w:rPr>
        <w:t>d</w:t>
      </w:r>
      <w:r w:rsidR="005B4153" w:rsidRPr="00A50845">
        <w:rPr>
          <w:lang w:val="en-IE"/>
        </w:rPr>
        <w:t>:</w:t>
      </w:r>
      <w:r w:rsidRPr="00A50845">
        <w:rPr>
          <w:lang w:val="en-IE"/>
        </w:rPr>
        <w:t xml:space="preserve"> i) that the true specificity of the C-ELISA has been reported to be at least 99.9%; ii) that the sensitivity of the C-ELISA and the </w:t>
      </w:r>
      <w:r w:rsidR="0017553F" w:rsidRPr="00A50845">
        <w:rPr>
          <w:lang w:val="en-IE"/>
        </w:rPr>
        <w:t>CFT</w:t>
      </w:r>
      <w:r w:rsidRPr="00A50845">
        <w:rPr>
          <w:lang w:val="en-IE"/>
        </w:rPr>
        <w:t xml:space="preserve"> are similar; and iii)</w:t>
      </w:r>
      <w:r w:rsidR="005B4153" w:rsidRPr="00A50845">
        <w:rPr>
          <w:lang w:val="en-IE"/>
        </w:rPr>
        <w:t> </w:t>
      </w:r>
      <w:r w:rsidRPr="00A50845">
        <w:rPr>
          <w:lang w:val="en-IE"/>
        </w:rPr>
        <w:t>antibodies are detected by the C-ELISA in an infected herd very soon after they can be detected by the CFT</w:t>
      </w:r>
      <w:r w:rsidR="005B4153" w:rsidRPr="00A50845">
        <w:rPr>
          <w:lang w:val="en-IE"/>
        </w:rPr>
        <w:t>,</w:t>
      </w:r>
      <w:r w:rsidRPr="00A50845">
        <w:rPr>
          <w:lang w:val="en-IE"/>
        </w:rPr>
        <w:t xml:space="preserve"> and C-ELISA antibody persists for a longer period of time</w:t>
      </w:r>
      <w:r w:rsidR="009573D1" w:rsidRPr="00A50845">
        <w:rPr>
          <w:lang w:val="en-IE"/>
        </w:rPr>
        <w:t xml:space="preserve"> (</w:t>
      </w:r>
      <w:r w:rsidR="00D65F2B" w:rsidRPr="00A50845">
        <w:rPr>
          <w:lang w:val="en-IE"/>
        </w:rPr>
        <w:t xml:space="preserve">Niang </w:t>
      </w:r>
      <w:r w:rsidR="00656C3D" w:rsidRPr="00A50845">
        <w:rPr>
          <w:i/>
          <w:lang w:val="en-IE"/>
        </w:rPr>
        <w:t>et al</w:t>
      </w:r>
      <w:r w:rsidR="00D65F2B" w:rsidRPr="00A50845">
        <w:rPr>
          <w:i/>
          <w:lang w:val="en-IE"/>
        </w:rPr>
        <w:t>.,</w:t>
      </w:r>
      <w:r w:rsidR="00D65F2B" w:rsidRPr="00A50845">
        <w:rPr>
          <w:lang w:val="en-IE"/>
        </w:rPr>
        <w:t xml:space="preserve"> 2006</w:t>
      </w:r>
      <w:r w:rsidR="009573D1" w:rsidRPr="00A50845">
        <w:rPr>
          <w:lang w:val="en-IE"/>
        </w:rPr>
        <w:t>)</w:t>
      </w:r>
      <w:r w:rsidR="00307D77" w:rsidRPr="00A50845">
        <w:rPr>
          <w:lang w:val="en-IE"/>
        </w:rPr>
        <w:t>.</w:t>
      </w:r>
    </w:p>
    <w:p w14:paraId="17E86235" w14:textId="77777777" w:rsidR="00093494" w:rsidRPr="00D527D5" w:rsidRDefault="004B1145" w:rsidP="00CE4943">
      <w:pPr>
        <w:pStyle w:val="11Para"/>
        <w:rPr>
          <w:lang w:val="en-IE"/>
        </w:rPr>
      </w:pPr>
      <w:r w:rsidRPr="00D527D5">
        <w:rPr>
          <w:lang w:val="en-IE"/>
        </w:rPr>
        <w:t xml:space="preserve">To enhance </w:t>
      </w:r>
      <w:r w:rsidR="005B4153" w:rsidRPr="00D527D5">
        <w:rPr>
          <w:lang w:val="en-IE"/>
        </w:rPr>
        <w:t>its</w:t>
      </w:r>
      <w:r w:rsidRPr="00D527D5">
        <w:rPr>
          <w:lang w:val="en-IE"/>
        </w:rPr>
        <w:t xml:space="preserve"> repeatability and the robustness</w:t>
      </w:r>
      <w:r w:rsidR="005B4153" w:rsidRPr="00D527D5">
        <w:rPr>
          <w:lang w:val="en-IE"/>
        </w:rPr>
        <w:t xml:space="preserve">, </w:t>
      </w:r>
      <w:r w:rsidRPr="00D527D5">
        <w:rPr>
          <w:lang w:val="en-IE"/>
        </w:rPr>
        <w:t>t</w:t>
      </w:r>
      <w:r w:rsidR="00093494" w:rsidRPr="00D527D5">
        <w:rPr>
          <w:lang w:val="en-IE"/>
        </w:rPr>
        <w:t xml:space="preserve">his C-ELISA is now provided as a </w:t>
      </w:r>
      <w:r w:rsidR="00C6156F" w:rsidRPr="00D527D5">
        <w:rPr>
          <w:lang w:val="en-IE"/>
        </w:rPr>
        <w:t>ready-made</w:t>
      </w:r>
      <w:r w:rsidR="00093494" w:rsidRPr="00D527D5">
        <w:rPr>
          <w:lang w:val="en-IE"/>
        </w:rPr>
        <w:t xml:space="preserve"> kit that contains all the necessary reagents</w:t>
      </w:r>
      <w:r w:rsidR="005B4153" w:rsidRPr="00D527D5">
        <w:rPr>
          <w:lang w:val="en-IE"/>
        </w:rPr>
        <w:t>,</w:t>
      </w:r>
      <w:r w:rsidR="00093494" w:rsidRPr="00D527D5">
        <w:rPr>
          <w:lang w:val="en-IE"/>
        </w:rPr>
        <w:t xml:space="preserve"> including precoated plates kept in sealed </w:t>
      </w:r>
      <w:r w:rsidRPr="00D527D5">
        <w:rPr>
          <w:lang w:val="en-IE"/>
        </w:rPr>
        <w:t>bags</w:t>
      </w:r>
      <w:r w:rsidR="00093494" w:rsidRPr="00D527D5">
        <w:rPr>
          <w:lang w:val="en-IE"/>
        </w:rPr>
        <w:t xml:space="preserve">. </w:t>
      </w:r>
      <w:r w:rsidR="007F2538" w:rsidRPr="00D527D5">
        <w:rPr>
          <w:lang w:val="en-IE"/>
        </w:rPr>
        <w:t>This kit can be obtained commercially</w:t>
      </w:r>
      <w:r w:rsidRPr="00D527D5">
        <w:rPr>
          <w:lang w:val="en-IE"/>
        </w:rPr>
        <w:t xml:space="preserve"> and availability can be checked through the OIE Reference Laboratory </w:t>
      </w:r>
      <w:r w:rsidR="005B4153" w:rsidRPr="00D527D5">
        <w:rPr>
          <w:lang w:val="en-IE"/>
        </w:rPr>
        <w:t>in</w:t>
      </w:r>
      <w:r w:rsidRPr="00D527D5">
        <w:rPr>
          <w:lang w:val="en-IE"/>
        </w:rPr>
        <w:t xml:space="preserve"> France</w:t>
      </w:r>
      <w:r w:rsidR="007F2538" w:rsidRPr="00D527D5">
        <w:rPr>
          <w:lang w:val="en-IE"/>
        </w:rPr>
        <w:t xml:space="preserve">. </w:t>
      </w:r>
      <w:r w:rsidR="00093494" w:rsidRPr="00D527D5">
        <w:rPr>
          <w:lang w:val="en-IE"/>
        </w:rPr>
        <w:t>The kit has been especially designed to be robust and offer</w:t>
      </w:r>
      <w:r w:rsidR="005B4153" w:rsidRPr="00D527D5">
        <w:rPr>
          <w:lang w:val="en-IE"/>
        </w:rPr>
        <w:t>s</w:t>
      </w:r>
      <w:r w:rsidR="00093494" w:rsidRPr="00D527D5">
        <w:rPr>
          <w:lang w:val="en-IE"/>
        </w:rPr>
        <w:t xml:space="preserve"> a good repeatability. </w:t>
      </w:r>
      <w:r w:rsidR="00C06A43" w:rsidRPr="00D527D5">
        <w:rPr>
          <w:lang w:val="en-IE"/>
        </w:rPr>
        <w:t>S</w:t>
      </w:r>
      <w:r w:rsidR="00093494" w:rsidRPr="00D527D5">
        <w:rPr>
          <w:lang w:val="en-IE"/>
        </w:rPr>
        <w:t xml:space="preserve">era are analysed in single wells. The </w:t>
      </w:r>
      <w:r w:rsidR="00093494" w:rsidRPr="002C294A">
        <w:rPr>
          <w:strike/>
          <w:lang w:val="en-IE"/>
        </w:rPr>
        <w:t xml:space="preserve">substrate has been modified and </w:t>
      </w:r>
      <w:r w:rsidR="00324FAD" w:rsidRPr="002C294A">
        <w:rPr>
          <w:u w:val="double"/>
          <w:lang w:val="en-IE"/>
        </w:rPr>
        <w:t>chrom</w:t>
      </w:r>
      <w:r w:rsidR="00B97456" w:rsidRPr="002C294A">
        <w:rPr>
          <w:u w:val="double"/>
          <w:lang w:val="en-IE"/>
        </w:rPr>
        <w:t>o</w:t>
      </w:r>
      <w:r w:rsidR="00324FAD" w:rsidRPr="002C294A">
        <w:rPr>
          <w:u w:val="double"/>
          <w:lang w:val="en-IE"/>
        </w:rPr>
        <w:t>gen</w:t>
      </w:r>
      <w:r w:rsidR="00324FAD">
        <w:rPr>
          <w:lang w:val="en-IE"/>
        </w:rPr>
        <w:t xml:space="preserve"> </w:t>
      </w:r>
      <w:r w:rsidR="00093494" w:rsidRPr="00D527D5">
        <w:rPr>
          <w:lang w:val="en-IE"/>
        </w:rPr>
        <w:t xml:space="preserve">is </w:t>
      </w:r>
      <w:r w:rsidR="00093494" w:rsidRPr="002C294A">
        <w:rPr>
          <w:strike/>
          <w:lang w:val="en-IE"/>
        </w:rPr>
        <w:t xml:space="preserve">now </w:t>
      </w:r>
      <w:r w:rsidR="00093494" w:rsidRPr="00D527D5">
        <w:rPr>
          <w:lang w:val="en-IE"/>
        </w:rPr>
        <w:t xml:space="preserve">TMB (tetramethyl benzidine) in a liquid buffer and the reading is at 450 nm. The </w:t>
      </w:r>
      <w:r w:rsidR="00093494" w:rsidRPr="002C294A">
        <w:rPr>
          <w:strike/>
          <w:lang w:val="en-IE"/>
        </w:rPr>
        <w:t xml:space="preserve">substrate </w:t>
      </w:r>
      <w:r w:rsidR="00093494" w:rsidRPr="00D527D5">
        <w:rPr>
          <w:lang w:val="en-IE"/>
        </w:rPr>
        <w:t xml:space="preserve">colour turns from pale green to blue in the first place and becomes yellow once the stopping solution has been added. MAb controls exhibit a darker colour while strong positive serum controls are very pale. The cut-off </w:t>
      </w:r>
      <w:r w:rsidR="00093494" w:rsidRPr="00B03850">
        <w:rPr>
          <w:strike/>
          <w:lang w:val="en-IE"/>
        </w:rPr>
        <w:t xml:space="preserve">point </w:t>
      </w:r>
      <w:r w:rsidR="00093494" w:rsidRPr="00D527D5">
        <w:rPr>
          <w:lang w:val="en-IE"/>
        </w:rPr>
        <w:t>has been set at 50% and should be valid in every country.</w:t>
      </w:r>
      <w:r w:rsidR="00507009">
        <w:rPr>
          <w:lang w:val="en-IE"/>
        </w:rPr>
        <w:t xml:space="preserve"> </w:t>
      </w:r>
      <w:r w:rsidR="00507009" w:rsidRPr="00B03850">
        <w:rPr>
          <w:u w:val="double"/>
          <w:lang w:val="en-IE"/>
        </w:rPr>
        <w:t xml:space="preserve">However, each laboratory should establish its own </w:t>
      </w:r>
      <w:r w:rsidR="00A50845" w:rsidRPr="00B03850">
        <w:rPr>
          <w:u w:val="double"/>
          <w:lang w:val="en-IE"/>
        </w:rPr>
        <w:t xml:space="preserve">measurement </w:t>
      </w:r>
      <w:r w:rsidR="00507009" w:rsidRPr="00B03850">
        <w:rPr>
          <w:u w:val="double"/>
          <w:lang w:val="en-IE"/>
        </w:rPr>
        <w:t>uncertainty in agreement with ISO</w:t>
      </w:r>
      <w:r w:rsidR="00A50845">
        <w:rPr>
          <w:u w:val="double"/>
          <w:lang w:val="en-IE"/>
        </w:rPr>
        <w:t xml:space="preserve"> </w:t>
      </w:r>
      <w:r w:rsidR="00507009" w:rsidRPr="00B03850">
        <w:rPr>
          <w:u w:val="double"/>
          <w:lang w:val="en-IE"/>
        </w:rPr>
        <w:t>17025 requirements</w:t>
      </w:r>
      <w:r w:rsidR="00030FBD">
        <w:rPr>
          <w:u w:val="double"/>
          <w:lang w:val="en-IE"/>
        </w:rPr>
        <w:t>;</w:t>
      </w:r>
      <w:r w:rsidR="000652FB">
        <w:rPr>
          <w:u w:val="double"/>
          <w:lang w:val="en-IE"/>
        </w:rPr>
        <w:t xml:space="preserve"> see chapter 2.2.4</w:t>
      </w:r>
      <w:r w:rsidR="0033735B">
        <w:rPr>
          <w:u w:val="double"/>
          <w:lang w:val="en-IE"/>
        </w:rPr>
        <w:t xml:space="preserve"> </w:t>
      </w:r>
      <w:r w:rsidR="0033735B">
        <w:rPr>
          <w:i/>
          <w:iCs/>
          <w:u w:val="double"/>
          <w:lang w:val="en-IE"/>
        </w:rPr>
        <w:t>Measurement uncertainty.</w:t>
      </w:r>
      <w:r w:rsidR="00507009" w:rsidRPr="00B03850">
        <w:rPr>
          <w:u w:val="double"/>
          <w:lang w:val="en-IE"/>
        </w:rPr>
        <w:t>.</w:t>
      </w:r>
    </w:p>
    <w:p w14:paraId="490C3A29" w14:textId="77777777" w:rsidR="00093494" w:rsidRPr="00706680" w:rsidRDefault="00B466DC" w:rsidP="00B466DC">
      <w:pPr>
        <w:pStyle w:val="11"/>
        <w:rPr>
          <w:lang w:val="en-IE"/>
        </w:rPr>
      </w:pPr>
      <w:r w:rsidRPr="00706680">
        <w:rPr>
          <w:lang w:val="en-IE"/>
        </w:rPr>
        <w:t>2.3.</w:t>
      </w:r>
      <w:r w:rsidR="00093494" w:rsidRPr="00706680">
        <w:rPr>
          <w:lang w:val="en-IE"/>
        </w:rPr>
        <w:tab/>
        <w:t>Immunoblotting test</w:t>
      </w:r>
    </w:p>
    <w:p w14:paraId="7520057E" w14:textId="77777777" w:rsidR="00093494" w:rsidRPr="00706680" w:rsidRDefault="00093494" w:rsidP="00B466DC">
      <w:pPr>
        <w:pStyle w:val="11Para"/>
        <w:rPr>
          <w:lang w:val="en-IE"/>
        </w:rPr>
      </w:pPr>
      <w:r w:rsidRPr="00706680">
        <w:rPr>
          <w:lang w:val="en-IE"/>
        </w:rPr>
        <w:t xml:space="preserve">An </w:t>
      </w:r>
      <w:r w:rsidR="004B1145" w:rsidRPr="00706680">
        <w:rPr>
          <w:lang w:val="en-IE"/>
        </w:rPr>
        <w:t xml:space="preserve">immunoblotting test (IBT) is an </w:t>
      </w:r>
      <w:r w:rsidRPr="00706680">
        <w:rPr>
          <w:lang w:val="en-IE"/>
        </w:rPr>
        <w:t xml:space="preserve">immunoenzymatic test </w:t>
      </w:r>
      <w:r w:rsidR="004B1145" w:rsidRPr="00706680">
        <w:rPr>
          <w:lang w:val="en-IE"/>
        </w:rPr>
        <w:t xml:space="preserve">that </w:t>
      </w:r>
      <w:r w:rsidRPr="00706680">
        <w:rPr>
          <w:lang w:val="en-IE"/>
        </w:rPr>
        <w:t xml:space="preserve">has been developed </w:t>
      </w:r>
      <w:r w:rsidR="004B1145" w:rsidRPr="00706680">
        <w:rPr>
          <w:lang w:val="en-IE"/>
        </w:rPr>
        <w:t xml:space="preserve">to confirm doubtful </w:t>
      </w:r>
      <w:r w:rsidR="0017553F" w:rsidRPr="00706680">
        <w:rPr>
          <w:lang w:val="en-IE"/>
        </w:rPr>
        <w:t>CFT</w:t>
      </w:r>
      <w:r w:rsidR="004B1145" w:rsidRPr="00706680">
        <w:rPr>
          <w:lang w:val="en-IE"/>
        </w:rPr>
        <w:t xml:space="preserve"> or C-ELISA results</w:t>
      </w:r>
      <w:r w:rsidRPr="00706680">
        <w:rPr>
          <w:lang w:val="en-IE"/>
        </w:rPr>
        <w:t xml:space="preserve">. A field evaluation indicated a higher specificity than the </w:t>
      </w:r>
      <w:r w:rsidR="0017553F" w:rsidRPr="00706680">
        <w:rPr>
          <w:lang w:val="en-IE"/>
        </w:rPr>
        <w:t>CFT</w:t>
      </w:r>
      <w:r w:rsidR="004B1145" w:rsidRPr="00706680">
        <w:rPr>
          <w:lang w:val="en-IE"/>
        </w:rPr>
        <w:t xml:space="preserve"> enabling the detection of CF</w:t>
      </w:r>
      <w:r w:rsidR="005B4153" w:rsidRPr="00706680">
        <w:rPr>
          <w:lang w:val="en-IE"/>
        </w:rPr>
        <w:t>T</w:t>
      </w:r>
      <w:r w:rsidR="004B1145" w:rsidRPr="00706680">
        <w:rPr>
          <w:lang w:val="en-IE"/>
        </w:rPr>
        <w:t xml:space="preserve"> false positives (</w:t>
      </w:r>
      <w:r w:rsidR="004B1145" w:rsidRPr="00A50845">
        <w:rPr>
          <w:lang w:val="en-IE"/>
        </w:rPr>
        <w:t xml:space="preserve">Gonçalves </w:t>
      </w:r>
      <w:r w:rsidR="004B1145" w:rsidRPr="00A50845">
        <w:rPr>
          <w:i/>
          <w:lang w:val="en-IE"/>
        </w:rPr>
        <w:t>et al.</w:t>
      </w:r>
      <w:r w:rsidR="004B1145" w:rsidRPr="00A50845">
        <w:rPr>
          <w:lang w:val="en-IE"/>
        </w:rPr>
        <w:t xml:space="preserve"> 1998)</w:t>
      </w:r>
      <w:r w:rsidRPr="00A50845">
        <w:rPr>
          <w:lang w:val="en-IE"/>
        </w:rPr>
        <w:t>.</w:t>
      </w:r>
      <w:r w:rsidRPr="00706680">
        <w:rPr>
          <w:lang w:val="en-IE"/>
        </w:rPr>
        <w:t xml:space="preserve"> </w:t>
      </w:r>
    </w:p>
    <w:p w14:paraId="687FA15E" w14:textId="77777777" w:rsidR="007D0E8A" w:rsidRPr="00706680" w:rsidRDefault="00B466DC" w:rsidP="00B466DC">
      <w:pPr>
        <w:pStyle w:val="Style111Doublesoulign"/>
        <w:rPr>
          <w:u w:val="none"/>
          <w:lang w:val="en-IE"/>
        </w:rPr>
      </w:pPr>
      <w:r w:rsidRPr="00706680">
        <w:rPr>
          <w:u w:val="none"/>
          <w:lang w:val="en-IE"/>
        </w:rPr>
        <w:t>2.3.1.</w:t>
      </w:r>
      <w:r w:rsidR="007D0E8A" w:rsidRPr="00706680">
        <w:rPr>
          <w:u w:val="none"/>
          <w:lang w:val="en-IE"/>
        </w:rPr>
        <w:tab/>
        <w:t>Reagents</w:t>
      </w:r>
    </w:p>
    <w:p w14:paraId="035E70E3" w14:textId="77777777" w:rsidR="007D0E8A" w:rsidRPr="00706680" w:rsidRDefault="007D0E8A" w:rsidP="007D0E8A">
      <w:pPr>
        <w:pStyle w:val="i"/>
        <w:rPr>
          <w:lang w:val="en-IE"/>
        </w:rPr>
      </w:pPr>
      <w:r w:rsidRPr="00706680">
        <w:rPr>
          <w:lang w:val="en-IE"/>
        </w:rPr>
        <w:t>i)</w:t>
      </w:r>
      <w:r w:rsidRPr="00706680">
        <w:rPr>
          <w:lang w:val="en-IE"/>
        </w:rPr>
        <w:tab/>
        <w:t xml:space="preserve">Antigen strips (see </w:t>
      </w:r>
      <w:r w:rsidR="00AD0424" w:rsidRPr="00706680">
        <w:rPr>
          <w:lang w:val="en-IE"/>
        </w:rPr>
        <w:t xml:space="preserve">Section B.2.3.2 </w:t>
      </w:r>
      <w:r w:rsidRPr="00706680">
        <w:rPr>
          <w:lang w:val="en-IE"/>
        </w:rPr>
        <w:t>below).</w:t>
      </w:r>
    </w:p>
    <w:p w14:paraId="591D70DB" w14:textId="77777777" w:rsidR="007D0E8A" w:rsidRPr="00706680" w:rsidRDefault="007D0E8A" w:rsidP="007D0E8A">
      <w:pPr>
        <w:pStyle w:val="i"/>
        <w:rPr>
          <w:lang w:val="en-IE"/>
        </w:rPr>
      </w:pPr>
      <w:r w:rsidRPr="00706680">
        <w:rPr>
          <w:lang w:val="en-IE"/>
        </w:rPr>
        <w:t>ii)</w:t>
      </w:r>
      <w:r w:rsidRPr="00706680">
        <w:rPr>
          <w:lang w:val="en-IE"/>
        </w:rPr>
        <w:tab/>
      </w:r>
      <w:r w:rsidRPr="00706680">
        <w:rPr>
          <w:i/>
          <w:lang w:val="en-IE"/>
        </w:rPr>
        <w:t>Positive control serum:</w:t>
      </w:r>
      <w:r w:rsidRPr="00706680">
        <w:rPr>
          <w:lang w:val="en-IE"/>
        </w:rPr>
        <w:t xml:space="preserve"> </w:t>
      </w:r>
      <w:r w:rsidR="00060A44" w:rsidRPr="00706680">
        <w:rPr>
          <w:lang w:val="en-IE"/>
        </w:rPr>
        <w:t>serum</w:t>
      </w:r>
      <w:r w:rsidRPr="00706680">
        <w:rPr>
          <w:lang w:val="en-IE"/>
        </w:rPr>
        <w:t xml:space="preserve"> from a naturally </w:t>
      </w:r>
      <w:r w:rsidR="00060A44" w:rsidRPr="00706680">
        <w:rPr>
          <w:lang w:val="en-IE"/>
        </w:rPr>
        <w:t xml:space="preserve">CBPP </w:t>
      </w:r>
      <w:r w:rsidRPr="00706680">
        <w:rPr>
          <w:lang w:val="en-IE"/>
        </w:rPr>
        <w:t xml:space="preserve">infected animal, </w:t>
      </w:r>
      <w:r w:rsidR="00060A44" w:rsidRPr="00706680">
        <w:rPr>
          <w:lang w:val="en-IE"/>
        </w:rPr>
        <w:t>used at a dilution of 1/100 in the IBT. This control present</w:t>
      </w:r>
      <w:r w:rsidRPr="00706680">
        <w:rPr>
          <w:lang w:val="en-IE"/>
        </w:rPr>
        <w:t xml:space="preserve">s 50% </w:t>
      </w:r>
      <w:r w:rsidR="00060A44" w:rsidRPr="00706680">
        <w:rPr>
          <w:lang w:val="en-IE"/>
        </w:rPr>
        <w:t>fixation</w:t>
      </w:r>
      <w:r w:rsidRPr="00706680">
        <w:rPr>
          <w:lang w:val="en-IE"/>
        </w:rPr>
        <w:t xml:space="preserve"> at 1/80 dilution </w:t>
      </w:r>
      <w:r w:rsidR="00060A44" w:rsidRPr="00706680">
        <w:rPr>
          <w:lang w:val="en-IE"/>
        </w:rPr>
        <w:t>in the CFT</w:t>
      </w:r>
      <w:r w:rsidRPr="00706680">
        <w:rPr>
          <w:lang w:val="en-IE"/>
        </w:rPr>
        <w:t xml:space="preserve"> and </w:t>
      </w:r>
      <w:r w:rsidR="00060A44" w:rsidRPr="00706680">
        <w:rPr>
          <w:lang w:val="en-IE"/>
        </w:rPr>
        <w:t>shows an immunoblotting profile with</w:t>
      </w:r>
      <w:r w:rsidRPr="00706680">
        <w:rPr>
          <w:lang w:val="en-IE"/>
        </w:rPr>
        <w:t xml:space="preserve"> five specific </w:t>
      </w:r>
      <w:r w:rsidRPr="00706680">
        <w:rPr>
          <w:i/>
          <w:lang w:val="en-IE"/>
        </w:rPr>
        <w:t>Mmm</w:t>
      </w:r>
      <w:r w:rsidRPr="00706680">
        <w:rPr>
          <w:lang w:val="en-IE"/>
        </w:rPr>
        <w:t xml:space="preserve"> </w:t>
      </w:r>
      <w:r w:rsidR="00060A44" w:rsidRPr="00706680">
        <w:rPr>
          <w:lang w:val="en-IE"/>
        </w:rPr>
        <w:t>antigenic bands of 110, 98, 95, 62/60 and 48 kDa</w:t>
      </w:r>
      <w:r w:rsidRPr="00706680">
        <w:rPr>
          <w:lang w:val="en-IE"/>
        </w:rPr>
        <w:t xml:space="preserve">. This serum is available from OIE Reference Laboratory </w:t>
      </w:r>
      <w:r w:rsidR="00AD0424" w:rsidRPr="00706680">
        <w:rPr>
          <w:lang w:val="en-IE"/>
        </w:rPr>
        <w:t>in</w:t>
      </w:r>
      <w:r w:rsidRPr="00706680">
        <w:rPr>
          <w:lang w:val="en-IE"/>
        </w:rPr>
        <w:t xml:space="preserve"> Portugal.</w:t>
      </w:r>
    </w:p>
    <w:p w14:paraId="597F6AD5" w14:textId="77777777" w:rsidR="007D0E8A" w:rsidRPr="00A50845" w:rsidRDefault="007D0E8A" w:rsidP="00243B60">
      <w:pPr>
        <w:pStyle w:val="i"/>
        <w:keepLines/>
        <w:rPr>
          <w:lang w:val="en-IE"/>
        </w:rPr>
      </w:pPr>
      <w:r w:rsidRPr="00706680">
        <w:rPr>
          <w:lang w:val="en-IE"/>
        </w:rPr>
        <w:t>iii)</w:t>
      </w:r>
      <w:r w:rsidRPr="00706680">
        <w:rPr>
          <w:lang w:val="en-IE"/>
        </w:rPr>
        <w:tab/>
      </w:r>
      <w:r w:rsidRPr="00706680">
        <w:rPr>
          <w:i/>
          <w:lang w:val="en-IE"/>
        </w:rPr>
        <w:t>Dilution buffer:</w:t>
      </w:r>
      <w:r w:rsidRPr="00706680">
        <w:rPr>
          <w:lang w:val="en-IE"/>
        </w:rPr>
        <w:t xml:space="preserve"> </w:t>
      </w:r>
      <w:r w:rsidR="00AD0424" w:rsidRPr="00706680">
        <w:rPr>
          <w:szCs w:val="20"/>
          <w:lang w:val="en-IE"/>
        </w:rPr>
        <w:t>phosphate-</w:t>
      </w:r>
      <w:r w:rsidRPr="00706680">
        <w:rPr>
          <w:szCs w:val="20"/>
          <w:lang w:val="en-IE"/>
        </w:rPr>
        <w:t>buffer saline</w:t>
      </w:r>
      <w:r w:rsidRPr="00706680">
        <w:rPr>
          <w:rFonts w:ascii="Ottawa" w:hAnsi="Ottawa"/>
          <w:szCs w:val="20"/>
          <w:lang w:val="en-IE"/>
        </w:rPr>
        <w:t xml:space="preserve"> </w:t>
      </w:r>
      <w:r w:rsidRPr="00706680">
        <w:rPr>
          <w:rFonts w:ascii="Ottawa" w:hAnsi="Ottawa"/>
          <w:b/>
          <w:szCs w:val="20"/>
          <w:lang w:val="en-IE"/>
        </w:rPr>
        <w:t>(</w:t>
      </w:r>
      <w:r w:rsidRPr="00706680">
        <w:rPr>
          <w:szCs w:val="20"/>
          <w:lang w:val="en-IE"/>
        </w:rPr>
        <w:t>PBS)</w:t>
      </w:r>
      <w:r w:rsidR="00AD0424" w:rsidRPr="00706680">
        <w:rPr>
          <w:szCs w:val="20"/>
          <w:lang w:val="en-IE"/>
        </w:rPr>
        <w:t>,</w:t>
      </w:r>
      <w:r w:rsidRPr="00706680">
        <w:rPr>
          <w:szCs w:val="20"/>
          <w:lang w:val="en-IE"/>
        </w:rPr>
        <w:t xml:space="preserve"> pH 7.2, containing 0.1% skim milk and 0.1% egg albumin. Skim milk quality is a critical issue, </w:t>
      </w:r>
      <w:r w:rsidR="00AD0424" w:rsidRPr="00706680">
        <w:rPr>
          <w:szCs w:val="20"/>
          <w:lang w:val="en-IE"/>
        </w:rPr>
        <w:t>as</w:t>
      </w:r>
      <w:r w:rsidRPr="00706680">
        <w:rPr>
          <w:szCs w:val="20"/>
          <w:lang w:val="en-IE"/>
        </w:rPr>
        <w:t xml:space="preserve"> it will influence the sensitivity of the reaction. Standardised skim milk should be used instead of common non-fat dry milks</w:t>
      </w:r>
      <w:r w:rsidR="0039743C" w:rsidRPr="00706680">
        <w:rPr>
          <w:szCs w:val="20"/>
          <w:lang w:val="en-IE"/>
        </w:rPr>
        <w:t xml:space="preserve"> </w:t>
      </w:r>
      <w:r w:rsidR="0039743C" w:rsidRPr="00A50845">
        <w:rPr>
          <w:szCs w:val="20"/>
          <w:lang w:val="en-IE"/>
        </w:rPr>
        <w:t>(Gaurivaud &amp; Poumarat, 2012)</w:t>
      </w:r>
      <w:r w:rsidRPr="00A50845">
        <w:rPr>
          <w:szCs w:val="20"/>
          <w:lang w:val="en-IE"/>
        </w:rPr>
        <w:t xml:space="preserve">. </w:t>
      </w:r>
    </w:p>
    <w:p w14:paraId="08324F17" w14:textId="77777777" w:rsidR="007D0E8A" w:rsidRPr="00706680" w:rsidRDefault="007D0E8A" w:rsidP="007D0E8A">
      <w:pPr>
        <w:pStyle w:val="i"/>
        <w:rPr>
          <w:lang w:val="en-IE"/>
        </w:rPr>
      </w:pPr>
      <w:r w:rsidRPr="00A50845">
        <w:rPr>
          <w:szCs w:val="20"/>
          <w:lang w:val="en-IE"/>
        </w:rPr>
        <w:lastRenderedPageBreak/>
        <w:t>iv)</w:t>
      </w:r>
      <w:r w:rsidRPr="00A50845">
        <w:rPr>
          <w:szCs w:val="20"/>
          <w:lang w:val="en-IE"/>
        </w:rPr>
        <w:tab/>
      </w:r>
      <w:r w:rsidRPr="00A50845">
        <w:rPr>
          <w:i/>
          <w:szCs w:val="20"/>
          <w:lang w:val="en-IE"/>
        </w:rPr>
        <w:t>Peroxidase-conjugated anti-bovine IgG</w:t>
      </w:r>
      <w:r w:rsidRPr="00A50845">
        <w:rPr>
          <w:szCs w:val="20"/>
          <w:lang w:val="en-IE"/>
        </w:rPr>
        <w:t xml:space="preserve"> (</w:t>
      </w:r>
      <w:r w:rsidRPr="00A50845">
        <w:rPr>
          <w:i/>
          <w:szCs w:val="20"/>
          <w:lang w:val="en-IE"/>
        </w:rPr>
        <w:t>H + L chains</w:t>
      </w:r>
      <w:r w:rsidRPr="00A50845">
        <w:rPr>
          <w:szCs w:val="20"/>
          <w:lang w:val="en-IE"/>
        </w:rPr>
        <w:t xml:space="preserve">): </w:t>
      </w:r>
      <w:r w:rsidR="00AD0424" w:rsidRPr="00A50845">
        <w:rPr>
          <w:szCs w:val="20"/>
          <w:lang w:val="en-IE"/>
        </w:rPr>
        <w:t xml:space="preserve">this </w:t>
      </w:r>
      <w:r w:rsidRPr="00A50845">
        <w:rPr>
          <w:szCs w:val="20"/>
          <w:lang w:val="en-IE"/>
        </w:rPr>
        <w:t>is commercially available and should be previously checkerboard titrated against the positive control serum, t</w:t>
      </w:r>
      <w:r w:rsidR="00AD0424" w:rsidRPr="00A50845">
        <w:rPr>
          <w:szCs w:val="20"/>
          <w:lang w:val="en-IE"/>
        </w:rPr>
        <w:t>o select the appropriate</w:t>
      </w:r>
      <w:r w:rsidRPr="00A50845">
        <w:rPr>
          <w:szCs w:val="20"/>
          <w:lang w:val="en-IE"/>
        </w:rPr>
        <w:t xml:space="preserve"> dilution at which the five specific bands are clearly visible</w:t>
      </w:r>
      <w:r w:rsidR="0039743C" w:rsidRPr="00A50845">
        <w:rPr>
          <w:szCs w:val="20"/>
          <w:lang w:val="en-IE"/>
        </w:rPr>
        <w:t xml:space="preserve"> (Gaurivaud &amp; Poumarat, 2012)</w:t>
      </w:r>
      <w:r w:rsidRPr="00A50845">
        <w:rPr>
          <w:szCs w:val="20"/>
          <w:lang w:val="en-IE"/>
        </w:rPr>
        <w:t>.</w:t>
      </w:r>
    </w:p>
    <w:p w14:paraId="0D10D371" w14:textId="77777777" w:rsidR="007D0E8A" w:rsidRPr="00706680" w:rsidRDefault="007D0E8A" w:rsidP="0002611F">
      <w:pPr>
        <w:pStyle w:val="i"/>
        <w:spacing w:after="240"/>
        <w:rPr>
          <w:lang w:val="en-IE"/>
        </w:rPr>
      </w:pPr>
      <w:r w:rsidRPr="00706680">
        <w:rPr>
          <w:lang w:val="en-IE"/>
        </w:rPr>
        <w:t>v)</w:t>
      </w:r>
      <w:r w:rsidRPr="00706680">
        <w:rPr>
          <w:lang w:val="en-IE"/>
        </w:rPr>
        <w:tab/>
      </w:r>
      <w:r w:rsidRPr="00706680">
        <w:rPr>
          <w:i/>
          <w:lang w:val="en-IE"/>
        </w:rPr>
        <w:t>Substrate:</w:t>
      </w:r>
      <w:r w:rsidRPr="00706680">
        <w:rPr>
          <w:lang w:val="en-IE"/>
        </w:rPr>
        <w:t xml:space="preserve"> </w:t>
      </w:r>
      <w:r w:rsidR="00AD0424" w:rsidRPr="00706680">
        <w:rPr>
          <w:lang w:val="en-IE"/>
        </w:rPr>
        <w:t xml:space="preserve">substrate </w:t>
      </w:r>
      <w:r w:rsidRPr="00706680">
        <w:rPr>
          <w:lang w:val="en-IE"/>
        </w:rPr>
        <w:t>i</w:t>
      </w:r>
      <w:r w:rsidRPr="00706680">
        <w:rPr>
          <w:szCs w:val="20"/>
          <w:lang w:val="en-IE"/>
        </w:rPr>
        <w:t>s prepared by adding 30 mg 4-chloro-1-naphthol, dissolved in 10 ml methanol, to 50 ml PBS (pH 7.2) and 30 µl H</w:t>
      </w:r>
      <w:r w:rsidRPr="00C44BA7">
        <w:rPr>
          <w:szCs w:val="14"/>
          <w:vertAlign w:val="subscript"/>
          <w:lang w:val="en-IE"/>
        </w:rPr>
        <w:t>2</w:t>
      </w:r>
      <w:r w:rsidRPr="00706680">
        <w:rPr>
          <w:szCs w:val="20"/>
          <w:lang w:val="en-IE"/>
        </w:rPr>
        <w:t>O</w:t>
      </w:r>
      <w:r w:rsidRPr="00C44BA7">
        <w:rPr>
          <w:szCs w:val="14"/>
          <w:vertAlign w:val="subscript"/>
          <w:lang w:val="en-IE"/>
        </w:rPr>
        <w:t>2</w:t>
      </w:r>
      <w:r w:rsidRPr="00706680">
        <w:rPr>
          <w:szCs w:val="20"/>
          <w:lang w:val="en-IE"/>
        </w:rPr>
        <w:t>. Alternative substrates</w:t>
      </w:r>
      <w:r w:rsidR="00AD0424" w:rsidRPr="00706680">
        <w:rPr>
          <w:szCs w:val="20"/>
          <w:lang w:val="en-IE"/>
        </w:rPr>
        <w:t>,</w:t>
      </w:r>
      <w:r w:rsidRPr="00706680">
        <w:rPr>
          <w:szCs w:val="20"/>
          <w:lang w:val="en-IE"/>
        </w:rPr>
        <w:t xml:space="preserve"> such as BCIP/NTB (5-bromo-4-chloro-3-indolyl phosphate combined with nitrotetrazolium blue chloride)</w:t>
      </w:r>
      <w:r w:rsidR="00AD0424" w:rsidRPr="00706680">
        <w:rPr>
          <w:szCs w:val="20"/>
          <w:lang w:val="en-IE"/>
        </w:rPr>
        <w:t>,</w:t>
      </w:r>
      <w:r w:rsidRPr="00706680">
        <w:rPr>
          <w:szCs w:val="20"/>
          <w:lang w:val="en-IE"/>
        </w:rPr>
        <w:t xml:space="preserve"> are available.</w:t>
      </w:r>
    </w:p>
    <w:p w14:paraId="598C3E5C" w14:textId="77777777" w:rsidR="00093494" w:rsidRPr="00706680" w:rsidRDefault="00B466DC" w:rsidP="00B466DC">
      <w:pPr>
        <w:pStyle w:val="111"/>
        <w:rPr>
          <w:lang w:val="en-IE"/>
        </w:rPr>
      </w:pPr>
      <w:r w:rsidRPr="00706680">
        <w:rPr>
          <w:lang w:val="en-IE"/>
        </w:rPr>
        <w:t>2.3.2.</w:t>
      </w:r>
      <w:r w:rsidR="00093494" w:rsidRPr="00706680">
        <w:rPr>
          <w:lang w:val="en-IE"/>
        </w:rPr>
        <w:tab/>
        <w:t>Preparation of antigen strips</w:t>
      </w:r>
    </w:p>
    <w:p w14:paraId="744144FB" w14:textId="77777777" w:rsidR="00093494" w:rsidRPr="00706680" w:rsidRDefault="00093494">
      <w:pPr>
        <w:pStyle w:val="i"/>
        <w:rPr>
          <w:lang w:val="en-IE"/>
        </w:rPr>
      </w:pPr>
      <w:r w:rsidRPr="00706680">
        <w:rPr>
          <w:lang w:val="en-IE"/>
        </w:rPr>
        <w:t>i)</w:t>
      </w:r>
      <w:r w:rsidRPr="00706680">
        <w:rPr>
          <w:lang w:val="en-IE"/>
        </w:rPr>
        <w:tab/>
        <w:t xml:space="preserve">The </w:t>
      </w:r>
      <w:r w:rsidR="009A6D4F" w:rsidRPr="00706680">
        <w:rPr>
          <w:lang w:val="en-IE"/>
        </w:rPr>
        <w:t xml:space="preserve">strain used to prepare the </w:t>
      </w:r>
      <w:r w:rsidRPr="00706680">
        <w:rPr>
          <w:lang w:val="en-IE"/>
        </w:rPr>
        <w:t xml:space="preserve">antigen is </w:t>
      </w:r>
      <w:r w:rsidR="009A6D4F" w:rsidRPr="00706680">
        <w:rPr>
          <w:lang w:val="en-IE"/>
        </w:rPr>
        <w:t xml:space="preserve">critical. Antigen should be </w:t>
      </w:r>
      <w:r w:rsidRPr="00706680">
        <w:rPr>
          <w:lang w:val="en-IE"/>
        </w:rPr>
        <w:t xml:space="preserve">prepared  </w:t>
      </w:r>
      <w:r w:rsidR="009A6D4F" w:rsidRPr="00706680">
        <w:rPr>
          <w:lang w:val="en-IE"/>
        </w:rPr>
        <w:t xml:space="preserve">from a tested </w:t>
      </w:r>
      <w:r w:rsidR="003163B1" w:rsidRPr="00706680">
        <w:rPr>
          <w:rFonts w:cs="Arial"/>
          <w:i/>
          <w:lang w:val="en-IE"/>
        </w:rPr>
        <w:t>Mmm</w:t>
      </w:r>
      <w:r w:rsidR="003163B1" w:rsidRPr="00903D72">
        <w:rPr>
          <w:rFonts w:cs="Arial"/>
          <w:strike/>
          <w:lang w:val="en-IE"/>
        </w:rPr>
        <w:t>SC</w:t>
      </w:r>
      <w:r w:rsidR="003163B1" w:rsidRPr="00706680">
        <w:rPr>
          <w:lang w:val="en-IE"/>
        </w:rPr>
        <w:t xml:space="preserve"> </w:t>
      </w:r>
      <w:r w:rsidR="009A6D4F" w:rsidRPr="00706680">
        <w:rPr>
          <w:lang w:val="en-IE"/>
        </w:rPr>
        <w:t xml:space="preserve">strain </w:t>
      </w:r>
      <w:r w:rsidR="00AD0424" w:rsidRPr="00706680">
        <w:rPr>
          <w:lang w:val="en-IE"/>
        </w:rPr>
        <w:t>that</w:t>
      </w:r>
      <w:r w:rsidR="009A6D4F" w:rsidRPr="00706680">
        <w:rPr>
          <w:lang w:val="en-IE"/>
        </w:rPr>
        <w:t xml:space="preserve"> must present the five specific antigenic bands of 110, 98, 95, 62/60 </w:t>
      </w:r>
      <w:r w:rsidRPr="00706680">
        <w:rPr>
          <w:lang w:val="en-IE"/>
        </w:rPr>
        <w:t xml:space="preserve">and </w:t>
      </w:r>
      <w:r w:rsidR="009A6D4F" w:rsidRPr="00706680">
        <w:rPr>
          <w:lang w:val="en-IE"/>
        </w:rPr>
        <w:t xml:space="preserve">48 kDa. The antigen is </w:t>
      </w:r>
      <w:r w:rsidRPr="00706680">
        <w:rPr>
          <w:lang w:val="en-IE"/>
        </w:rPr>
        <w:t xml:space="preserve">a suspension of </w:t>
      </w:r>
      <w:r w:rsidR="009A6D4F" w:rsidRPr="00706680">
        <w:rPr>
          <w:i/>
          <w:lang w:val="en-IE"/>
        </w:rPr>
        <w:t>Mmm</w:t>
      </w:r>
      <w:r w:rsidR="009A6D4F" w:rsidRPr="00706680">
        <w:rPr>
          <w:lang w:val="en-IE"/>
        </w:rPr>
        <w:t xml:space="preserve"> </w:t>
      </w:r>
      <w:r w:rsidRPr="00706680">
        <w:rPr>
          <w:lang w:val="en-IE"/>
        </w:rPr>
        <w:t xml:space="preserve">cells </w:t>
      </w:r>
      <w:r w:rsidR="009A6D4F" w:rsidRPr="00706680">
        <w:rPr>
          <w:lang w:val="en-IE"/>
        </w:rPr>
        <w:t>in PBS</w:t>
      </w:r>
      <w:r w:rsidR="00AD0424" w:rsidRPr="00706680">
        <w:rPr>
          <w:lang w:val="en-IE"/>
        </w:rPr>
        <w:t>,</w:t>
      </w:r>
      <w:r w:rsidR="009A6D4F" w:rsidRPr="00706680">
        <w:rPr>
          <w:lang w:val="en-IE"/>
        </w:rPr>
        <w:t xml:space="preserve"> pH 7.2</w:t>
      </w:r>
      <w:r w:rsidR="00AD0424" w:rsidRPr="00706680">
        <w:rPr>
          <w:lang w:val="en-IE"/>
        </w:rPr>
        <w:t>,</w:t>
      </w:r>
      <w:r w:rsidR="009A6D4F" w:rsidRPr="00706680">
        <w:rPr>
          <w:lang w:val="en-IE"/>
        </w:rPr>
        <w:t xml:space="preserve"> </w:t>
      </w:r>
      <w:r w:rsidRPr="00706680">
        <w:rPr>
          <w:lang w:val="en-IE"/>
        </w:rPr>
        <w:t>obtained from a 48-hour culture.</w:t>
      </w:r>
    </w:p>
    <w:p w14:paraId="0700512A" w14:textId="77777777" w:rsidR="00093494" w:rsidRPr="00A50845" w:rsidRDefault="00093494">
      <w:pPr>
        <w:pStyle w:val="i"/>
        <w:rPr>
          <w:lang w:val="en-IE"/>
        </w:rPr>
      </w:pPr>
      <w:r w:rsidRPr="00706680">
        <w:rPr>
          <w:lang w:val="en-IE"/>
        </w:rPr>
        <w:t>ii)</w:t>
      </w:r>
      <w:r w:rsidRPr="00706680">
        <w:rPr>
          <w:lang w:val="en-IE"/>
        </w:rPr>
        <w:tab/>
      </w:r>
      <w:r w:rsidR="002159DD" w:rsidRPr="00706680">
        <w:rPr>
          <w:lang w:val="en-IE"/>
        </w:rPr>
        <w:t xml:space="preserve">The </w:t>
      </w:r>
      <w:r w:rsidR="002159DD" w:rsidRPr="00706680">
        <w:rPr>
          <w:bCs/>
          <w:kern w:val="32"/>
          <w:lang w:val="en-IE"/>
        </w:rPr>
        <w:t>5–15% p</w:t>
      </w:r>
      <w:r w:rsidR="009A6D4F" w:rsidRPr="00706680">
        <w:rPr>
          <w:bCs/>
          <w:kern w:val="32"/>
          <w:lang w:val="en-IE"/>
        </w:rPr>
        <w:t xml:space="preserve">olyacrylamide gel gradient </w:t>
      </w:r>
      <w:r w:rsidR="00AD0424" w:rsidRPr="00706680">
        <w:rPr>
          <w:bCs/>
          <w:kern w:val="32"/>
          <w:lang w:val="en-IE"/>
        </w:rPr>
        <w:t xml:space="preserve">used </w:t>
      </w:r>
      <w:r w:rsidR="009A6D4F" w:rsidRPr="00A50845">
        <w:rPr>
          <w:bCs/>
          <w:kern w:val="32"/>
          <w:lang w:val="en-IE"/>
        </w:rPr>
        <w:t xml:space="preserve">historically </w:t>
      </w:r>
      <w:r w:rsidR="009A6D4F" w:rsidRPr="00A50845">
        <w:rPr>
          <w:lang w:val="en-IE"/>
        </w:rPr>
        <w:t xml:space="preserve">(Gonçalves </w:t>
      </w:r>
      <w:r w:rsidR="009A6D4F" w:rsidRPr="00A50845">
        <w:rPr>
          <w:i/>
          <w:lang w:val="en-IE"/>
        </w:rPr>
        <w:t>et al.</w:t>
      </w:r>
      <w:r w:rsidR="009A6D4F" w:rsidRPr="00A50845">
        <w:rPr>
          <w:lang w:val="en-IE"/>
        </w:rPr>
        <w:t xml:space="preserve"> 1998)</w:t>
      </w:r>
      <w:r w:rsidR="009A6D4F" w:rsidRPr="00A50845" w:rsidDel="000708F2">
        <w:rPr>
          <w:bCs/>
          <w:kern w:val="32"/>
          <w:lang w:val="en-IE"/>
        </w:rPr>
        <w:t xml:space="preserve"> </w:t>
      </w:r>
      <w:r w:rsidR="00AD0424" w:rsidRPr="00A50845">
        <w:rPr>
          <w:bCs/>
          <w:kern w:val="32"/>
          <w:lang w:val="en-IE"/>
        </w:rPr>
        <w:t>is</w:t>
      </w:r>
      <w:r w:rsidR="009A6D4F" w:rsidRPr="00A50845">
        <w:rPr>
          <w:bCs/>
          <w:kern w:val="32"/>
          <w:lang w:val="en-IE"/>
        </w:rPr>
        <w:t xml:space="preserve"> not optimal for the repeatability of western blotting. The use of 7.5% polyacrylamide gel as recommended by S</w:t>
      </w:r>
      <w:r w:rsidR="00B4773E" w:rsidRPr="00A50845">
        <w:rPr>
          <w:bCs/>
          <w:kern w:val="32"/>
          <w:lang w:val="en-IE"/>
        </w:rPr>
        <w:t>c</w:t>
      </w:r>
      <w:r w:rsidR="009A6D4F" w:rsidRPr="00A50845">
        <w:rPr>
          <w:bCs/>
          <w:kern w:val="32"/>
          <w:lang w:val="en-IE"/>
        </w:rPr>
        <w:t xml:space="preserve">hubert </w:t>
      </w:r>
      <w:r w:rsidR="009A6D4F" w:rsidRPr="00A50845">
        <w:rPr>
          <w:bCs/>
          <w:i/>
          <w:kern w:val="32"/>
          <w:lang w:val="en-IE"/>
        </w:rPr>
        <w:t>et al.</w:t>
      </w:r>
      <w:r w:rsidR="009A6D4F" w:rsidRPr="00A50845">
        <w:rPr>
          <w:bCs/>
          <w:kern w:val="32"/>
          <w:lang w:val="en-IE"/>
        </w:rPr>
        <w:t xml:space="preserve"> </w:t>
      </w:r>
      <w:r w:rsidR="00BC7D73" w:rsidRPr="00A50845">
        <w:rPr>
          <w:bCs/>
          <w:kern w:val="32"/>
          <w:lang w:val="en-IE"/>
        </w:rPr>
        <w:t>(</w:t>
      </w:r>
      <w:r w:rsidR="009A6D4F" w:rsidRPr="00A50845">
        <w:rPr>
          <w:bCs/>
          <w:kern w:val="32"/>
          <w:lang w:val="en-IE"/>
        </w:rPr>
        <w:t>2011</w:t>
      </w:r>
      <w:r w:rsidR="00BC7D73" w:rsidRPr="00A50845">
        <w:rPr>
          <w:bCs/>
          <w:kern w:val="32"/>
          <w:lang w:val="en-IE"/>
        </w:rPr>
        <w:t>)</w:t>
      </w:r>
      <w:r w:rsidR="0039743C" w:rsidRPr="00A50845">
        <w:rPr>
          <w:bCs/>
          <w:kern w:val="32"/>
          <w:lang w:val="en-IE"/>
        </w:rPr>
        <w:t xml:space="preserve"> and </w:t>
      </w:r>
      <w:r w:rsidR="0039743C" w:rsidRPr="00A50845">
        <w:rPr>
          <w:szCs w:val="20"/>
          <w:lang w:val="en-IE"/>
        </w:rPr>
        <w:t>Gaurivaud &amp; Poumarat (2012)</w:t>
      </w:r>
      <w:r w:rsidR="009A6D4F" w:rsidRPr="00A50845">
        <w:rPr>
          <w:bCs/>
          <w:kern w:val="32"/>
          <w:lang w:val="en-IE"/>
        </w:rPr>
        <w:t>, allows a good separation of all the five antigenic proteins and also a good repeatability of the pattern between electrophoresis</w:t>
      </w:r>
      <w:r w:rsidR="0013729B" w:rsidRPr="00A50845">
        <w:rPr>
          <w:bCs/>
          <w:kern w:val="32"/>
          <w:lang w:val="en-IE"/>
        </w:rPr>
        <w:t xml:space="preserve"> runs</w:t>
      </w:r>
      <w:r w:rsidR="009A6D4F" w:rsidRPr="00A50845">
        <w:rPr>
          <w:bCs/>
          <w:kern w:val="32"/>
          <w:lang w:val="en-IE"/>
        </w:rPr>
        <w:t xml:space="preserve">. </w:t>
      </w:r>
    </w:p>
    <w:p w14:paraId="32367507" w14:textId="77777777" w:rsidR="00093494" w:rsidRPr="00706680" w:rsidRDefault="00093494" w:rsidP="000F5A8C">
      <w:pPr>
        <w:pStyle w:val="i"/>
        <w:rPr>
          <w:lang w:val="en-IE"/>
        </w:rPr>
      </w:pPr>
      <w:r w:rsidRPr="00A50845">
        <w:rPr>
          <w:lang w:val="en-IE"/>
        </w:rPr>
        <w:t>iii)</w:t>
      </w:r>
      <w:r w:rsidRPr="00A50845">
        <w:rPr>
          <w:lang w:val="en-IE"/>
        </w:rPr>
        <w:tab/>
        <w:t xml:space="preserve">The separated proteins are transferred to a 14 </w:t>
      </w:r>
      <w:r w:rsidR="000F5A8C" w:rsidRPr="00A50845">
        <w:rPr>
          <w:lang w:val="en-IE"/>
        </w:rPr>
        <w:t>×</w:t>
      </w:r>
      <w:r w:rsidRPr="00A50845">
        <w:rPr>
          <w:lang w:val="en-IE"/>
        </w:rPr>
        <w:t xml:space="preserve"> 14 cm 0.45 µm nitrocellulose</w:t>
      </w:r>
      <w:r w:rsidRPr="00706680">
        <w:rPr>
          <w:lang w:val="en-IE"/>
        </w:rPr>
        <w:t xml:space="preserve"> membrane at 70 V in transfer buffer (20% methanol</w:t>
      </w:r>
      <w:r w:rsidR="009A6D4F" w:rsidRPr="00706680">
        <w:rPr>
          <w:lang w:val="en-IE"/>
        </w:rPr>
        <w:t>,</w:t>
      </w:r>
      <w:r w:rsidRPr="00706680">
        <w:rPr>
          <w:lang w:val="en-IE"/>
        </w:rPr>
        <w:t xml:space="preserve"> 193 mM glycine, 25 mM Tris/HCl, pH 8.3).</w:t>
      </w:r>
      <w:r w:rsidR="009A6D4F" w:rsidRPr="00706680">
        <w:rPr>
          <w:lang w:val="en-IE"/>
        </w:rPr>
        <w:t xml:space="preserve"> The effectiveness and homogeneity of the transfer have to be checked. This can be easily carried on with commercial staining solutions or kits that allow reversible staining and imaging of the blot prior to use. </w:t>
      </w:r>
    </w:p>
    <w:p w14:paraId="6E344CEE" w14:textId="77777777" w:rsidR="00093494" w:rsidRPr="00706680" w:rsidRDefault="00093494">
      <w:pPr>
        <w:pStyle w:val="i"/>
        <w:rPr>
          <w:lang w:val="en-IE"/>
        </w:rPr>
      </w:pPr>
      <w:r w:rsidRPr="00706680">
        <w:rPr>
          <w:lang w:val="en-IE"/>
        </w:rPr>
        <w:t>iv)</w:t>
      </w:r>
      <w:r w:rsidRPr="00706680">
        <w:rPr>
          <w:lang w:val="en-IE"/>
        </w:rPr>
        <w:tab/>
        <w:t>The membrane is dried and labelled on the side on which the proteins were electrophoresed. The nitrocellulose membrane is incubated in blocking buffer (PBS containing 5% skim milk, 1 M glycine and 1% egg albumin) for 2 hours at room temperature. After washing at room temperature three</w:t>
      </w:r>
      <w:r w:rsidR="009A6D4F" w:rsidRPr="00706680">
        <w:rPr>
          <w:lang w:val="en-IE"/>
        </w:rPr>
        <w:t xml:space="preserve"> times for</w:t>
      </w:r>
      <w:r w:rsidRPr="00706680">
        <w:rPr>
          <w:lang w:val="en-IE"/>
        </w:rPr>
        <w:t xml:space="preserve"> 15</w:t>
      </w:r>
      <w:r w:rsidR="009A6D4F" w:rsidRPr="00706680">
        <w:rPr>
          <w:lang w:val="en-IE"/>
        </w:rPr>
        <w:t> </w:t>
      </w:r>
      <w:r w:rsidRPr="00706680">
        <w:rPr>
          <w:lang w:val="en-IE"/>
        </w:rPr>
        <w:t xml:space="preserve">minutes in 0.1% (v/v) Tween 20 in PBS, the nitrocellulose membrane is </w:t>
      </w:r>
      <w:r w:rsidR="009A6D4F" w:rsidRPr="00706680">
        <w:rPr>
          <w:lang w:val="en-IE"/>
        </w:rPr>
        <w:t>further</w:t>
      </w:r>
      <w:r w:rsidRPr="00706680">
        <w:rPr>
          <w:lang w:val="en-IE"/>
        </w:rPr>
        <w:t xml:space="preserve"> washed in PBS. The </w:t>
      </w:r>
      <w:r w:rsidR="009A6D4F" w:rsidRPr="00706680">
        <w:rPr>
          <w:lang w:val="en-IE"/>
        </w:rPr>
        <w:t xml:space="preserve">membrane </w:t>
      </w:r>
      <w:r w:rsidRPr="00706680">
        <w:rPr>
          <w:lang w:val="en-IE"/>
        </w:rPr>
        <w:t xml:space="preserve">is then dried and one strip cut and tested </w:t>
      </w:r>
      <w:r w:rsidR="009A6D4F" w:rsidRPr="00706680">
        <w:rPr>
          <w:lang w:val="en-IE"/>
        </w:rPr>
        <w:t>for the presence of the five specific</w:t>
      </w:r>
      <w:r w:rsidRPr="00706680">
        <w:rPr>
          <w:lang w:val="en-IE"/>
        </w:rPr>
        <w:t xml:space="preserve"> bands identified at 110, 98, 95, 62/60 and 48 kDa.</w:t>
      </w:r>
    </w:p>
    <w:p w14:paraId="677839EC" w14:textId="77777777" w:rsidR="00093494" w:rsidRPr="00706680" w:rsidRDefault="00093494">
      <w:pPr>
        <w:pStyle w:val="iparalast"/>
        <w:rPr>
          <w:lang w:val="en-IE"/>
        </w:rPr>
      </w:pPr>
      <w:r w:rsidRPr="00706680">
        <w:rPr>
          <w:lang w:val="en-IE"/>
        </w:rPr>
        <w:t>v)</w:t>
      </w:r>
      <w:r w:rsidRPr="00706680">
        <w:rPr>
          <w:lang w:val="en-IE"/>
        </w:rPr>
        <w:tab/>
        <w:t xml:space="preserve">The nitrocellulose membrane is cut into strips, 0.4 cm wide and </w:t>
      </w:r>
      <w:r w:rsidR="00FF610D" w:rsidRPr="00706680">
        <w:rPr>
          <w:lang w:val="en-IE"/>
        </w:rPr>
        <w:t xml:space="preserve">used for antibody testing. Each batch of </w:t>
      </w:r>
      <w:r w:rsidRPr="00706680">
        <w:rPr>
          <w:lang w:val="en-IE"/>
        </w:rPr>
        <w:t xml:space="preserve">strips </w:t>
      </w:r>
      <w:r w:rsidR="00FF610D" w:rsidRPr="00706680">
        <w:rPr>
          <w:lang w:val="en-IE"/>
        </w:rPr>
        <w:t>should be tested, with a positive and negative reference serum, in order to evaluate the clear presence of the five specific antigenic proteins and the absence of background. The resolution of the 95 and 98</w:t>
      </w:r>
      <w:r w:rsidR="00C6156F" w:rsidRPr="00706680">
        <w:rPr>
          <w:lang w:val="en-IE"/>
        </w:rPr>
        <w:t> </w:t>
      </w:r>
      <w:r w:rsidR="00FF610D" w:rsidRPr="00706680">
        <w:rPr>
          <w:lang w:val="en-IE"/>
        </w:rPr>
        <w:t>kDa proteins should be carefully checked</w:t>
      </w:r>
      <w:r w:rsidRPr="00706680">
        <w:rPr>
          <w:lang w:val="en-IE"/>
        </w:rPr>
        <w:t>.</w:t>
      </w:r>
    </w:p>
    <w:p w14:paraId="0A530F7E" w14:textId="77777777" w:rsidR="00093494" w:rsidRPr="00706680" w:rsidRDefault="00B466DC" w:rsidP="00B466DC">
      <w:pPr>
        <w:pStyle w:val="111"/>
        <w:rPr>
          <w:lang w:val="en-IE"/>
        </w:rPr>
      </w:pPr>
      <w:r w:rsidRPr="00706680">
        <w:rPr>
          <w:lang w:val="en-IE"/>
        </w:rPr>
        <w:t>2.3.3.</w:t>
      </w:r>
      <w:r w:rsidR="00093494" w:rsidRPr="00706680">
        <w:rPr>
          <w:lang w:val="en-IE"/>
        </w:rPr>
        <w:tab/>
        <w:t>Test procedure</w:t>
      </w:r>
    </w:p>
    <w:p w14:paraId="2F8618CF" w14:textId="77777777" w:rsidR="00093494" w:rsidRPr="00706680" w:rsidRDefault="00093494" w:rsidP="00B466DC">
      <w:pPr>
        <w:pStyle w:val="111Para"/>
        <w:rPr>
          <w:lang w:val="en-IE"/>
        </w:rPr>
      </w:pPr>
      <w:r w:rsidRPr="00706680">
        <w:rPr>
          <w:lang w:val="en-IE"/>
        </w:rPr>
        <w:t>NB: The strips must be kept with the antigen side up during the procedure.</w:t>
      </w:r>
    </w:p>
    <w:p w14:paraId="46729457" w14:textId="77777777" w:rsidR="00093494" w:rsidRPr="00706680" w:rsidRDefault="00093494">
      <w:pPr>
        <w:pStyle w:val="i"/>
        <w:rPr>
          <w:lang w:val="en-IE"/>
        </w:rPr>
      </w:pPr>
      <w:r w:rsidRPr="00706680">
        <w:rPr>
          <w:lang w:val="en-IE"/>
        </w:rPr>
        <w:t>i)</w:t>
      </w:r>
      <w:r w:rsidRPr="00706680">
        <w:rPr>
          <w:lang w:val="en-IE"/>
        </w:rPr>
        <w:tab/>
        <w:t>Ser</w:t>
      </w:r>
      <w:r w:rsidR="000D1337" w:rsidRPr="00706680">
        <w:rPr>
          <w:lang w:val="en-IE"/>
        </w:rPr>
        <w:t>a</w:t>
      </w:r>
      <w:r w:rsidRPr="00706680">
        <w:rPr>
          <w:lang w:val="en-IE"/>
        </w:rPr>
        <w:t xml:space="preserve"> samples </w:t>
      </w:r>
      <w:r w:rsidR="000D1337" w:rsidRPr="00706680">
        <w:rPr>
          <w:lang w:val="en-IE"/>
        </w:rPr>
        <w:t>to be tested</w:t>
      </w:r>
      <w:r w:rsidRPr="00706680">
        <w:rPr>
          <w:lang w:val="en-IE"/>
        </w:rPr>
        <w:t xml:space="preserve"> are diluted 1/3 </w:t>
      </w:r>
      <w:r w:rsidR="000D1337" w:rsidRPr="00706680">
        <w:rPr>
          <w:lang w:val="en-IE"/>
        </w:rPr>
        <w:t xml:space="preserve">in dilution buffer (see </w:t>
      </w:r>
      <w:r w:rsidR="00AD0424" w:rsidRPr="00706680">
        <w:rPr>
          <w:lang w:val="en-IE"/>
        </w:rPr>
        <w:t>Section B.2.3.1.</w:t>
      </w:r>
      <w:r w:rsidR="000D1337" w:rsidRPr="00706680">
        <w:rPr>
          <w:lang w:val="en-IE"/>
        </w:rPr>
        <w:t>iii)</w:t>
      </w:r>
      <w:r w:rsidRPr="00706680">
        <w:rPr>
          <w:lang w:val="en-IE"/>
        </w:rPr>
        <w:t>.</w:t>
      </w:r>
    </w:p>
    <w:p w14:paraId="34B1B0F6" w14:textId="77777777" w:rsidR="00093494" w:rsidRPr="00706680" w:rsidRDefault="00093494">
      <w:pPr>
        <w:pStyle w:val="i"/>
        <w:rPr>
          <w:lang w:val="en-IE"/>
        </w:rPr>
      </w:pPr>
      <w:r w:rsidRPr="00706680">
        <w:rPr>
          <w:lang w:val="en-IE"/>
        </w:rPr>
        <w:t>ii)</w:t>
      </w:r>
      <w:r w:rsidRPr="00706680">
        <w:rPr>
          <w:lang w:val="en-IE"/>
        </w:rPr>
        <w:tab/>
      </w:r>
      <w:r w:rsidR="000D1337" w:rsidRPr="00706680">
        <w:rPr>
          <w:lang w:val="en-IE"/>
        </w:rPr>
        <w:t xml:space="preserve">Each test sample together with the positive and negative control sera </w:t>
      </w:r>
      <w:r w:rsidR="00AD0424" w:rsidRPr="00706680">
        <w:rPr>
          <w:lang w:val="en-IE"/>
        </w:rPr>
        <w:t>is</w:t>
      </w:r>
      <w:r w:rsidR="000D1337" w:rsidRPr="00706680">
        <w:rPr>
          <w:lang w:val="en-IE"/>
        </w:rPr>
        <w:t xml:space="preserve"> </w:t>
      </w:r>
      <w:r w:rsidRPr="00706680">
        <w:rPr>
          <w:lang w:val="en-IE"/>
        </w:rPr>
        <w:t xml:space="preserve">placed in </w:t>
      </w:r>
      <w:r w:rsidR="000D1337" w:rsidRPr="00706680">
        <w:rPr>
          <w:lang w:val="en-IE"/>
        </w:rPr>
        <w:t xml:space="preserve">contact with the antigens strips </w:t>
      </w:r>
      <w:r w:rsidRPr="00706680">
        <w:rPr>
          <w:lang w:val="en-IE"/>
        </w:rPr>
        <w:t>and incubated at 37°C for 2 hours with continuous agitation. Strips are then washed</w:t>
      </w:r>
      <w:r w:rsidR="000D1337" w:rsidRPr="00706680">
        <w:rPr>
          <w:lang w:val="en-IE"/>
        </w:rPr>
        <w:t xml:space="preserve"> at room temperature three times </w:t>
      </w:r>
      <w:r w:rsidR="00AD0424" w:rsidRPr="00706680">
        <w:rPr>
          <w:lang w:val="en-IE"/>
        </w:rPr>
        <w:t xml:space="preserve">for </w:t>
      </w:r>
      <w:r w:rsidR="000D1337" w:rsidRPr="00706680">
        <w:rPr>
          <w:lang w:val="en-IE"/>
        </w:rPr>
        <w:t>15 minutes</w:t>
      </w:r>
      <w:r w:rsidR="00AD0424" w:rsidRPr="00706680">
        <w:rPr>
          <w:lang w:val="en-IE"/>
        </w:rPr>
        <w:t xml:space="preserve"> each</w:t>
      </w:r>
      <w:r w:rsidR="000D1337" w:rsidRPr="00706680">
        <w:rPr>
          <w:lang w:val="en-IE"/>
        </w:rPr>
        <w:t xml:space="preserve"> in 0.1% (v/v) Tween-20 in PBS, and further washed once in PBS</w:t>
      </w:r>
      <w:r w:rsidRPr="00706680">
        <w:rPr>
          <w:lang w:val="en-IE"/>
        </w:rPr>
        <w:t>.</w:t>
      </w:r>
    </w:p>
    <w:p w14:paraId="1FDEA1AA" w14:textId="77777777" w:rsidR="00093494" w:rsidRPr="00706680" w:rsidRDefault="00093494" w:rsidP="006B50B8">
      <w:pPr>
        <w:pStyle w:val="i"/>
        <w:rPr>
          <w:lang w:val="en-IE"/>
        </w:rPr>
      </w:pPr>
      <w:r w:rsidRPr="00706680">
        <w:rPr>
          <w:lang w:val="en-IE"/>
        </w:rPr>
        <w:t>iii)</w:t>
      </w:r>
      <w:r w:rsidRPr="00706680">
        <w:rPr>
          <w:lang w:val="en-IE"/>
        </w:rPr>
        <w:tab/>
      </w:r>
      <w:r w:rsidR="007C4C85" w:rsidRPr="00706680">
        <w:rPr>
          <w:lang w:val="en-IE"/>
        </w:rPr>
        <w:t>A</w:t>
      </w:r>
      <w:r w:rsidRPr="00706680">
        <w:rPr>
          <w:lang w:val="en-IE"/>
        </w:rPr>
        <w:t xml:space="preserve">n appropriate dilution of peroxidase-conjugated anti-bovine IgG (H </w:t>
      </w:r>
      <w:r w:rsidR="006B50B8" w:rsidRPr="00706680">
        <w:rPr>
          <w:lang w:val="en-IE"/>
        </w:rPr>
        <w:t xml:space="preserve">+ </w:t>
      </w:r>
      <w:r w:rsidR="00706680">
        <w:rPr>
          <w:lang w:val="en-IE"/>
        </w:rPr>
        <w:t>L chains)</w:t>
      </w:r>
      <w:r w:rsidRPr="00706680">
        <w:rPr>
          <w:lang w:val="en-IE"/>
        </w:rPr>
        <w:t xml:space="preserve"> </w:t>
      </w:r>
      <w:r w:rsidR="007C4C85" w:rsidRPr="00706680">
        <w:rPr>
          <w:lang w:val="en-IE"/>
        </w:rPr>
        <w:t xml:space="preserve">is incubated with the strips for 1 hour at room temperature </w:t>
      </w:r>
      <w:r w:rsidRPr="00706680">
        <w:rPr>
          <w:lang w:val="en-IE"/>
        </w:rPr>
        <w:t>with continuous agitation. Wash as above.</w:t>
      </w:r>
    </w:p>
    <w:p w14:paraId="3AECB77F" w14:textId="77777777" w:rsidR="00093494" w:rsidRPr="00706680" w:rsidRDefault="00093494">
      <w:pPr>
        <w:pStyle w:val="i"/>
        <w:rPr>
          <w:lang w:val="en-IE"/>
        </w:rPr>
      </w:pPr>
      <w:r w:rsidRPr="00706680">
        <w:rPr>
          <w:lang w:val="en-IE"/>
        </w:rPr>
        <w:t>iv)</w:t>
      </w:r>
      <w:r w:rsidRPr="00706680">
        <w:rPr>
          <w:lang w:val="en-IE"/>
        </w:rPr>
        <w:tab/>
        <w:t xml:space="preserve">Substrate </w:t>
      </w:r>
      <w:r w:rsidR="007C4C85" w:rsidRPr="00706680">
        <w:rPr>
          <w:lang w:val="en-IE"/>
        </w:rPr>
        <w:t xml:space="preserve">(see </w:t>
      </w:r>
      <w:r w:rsidR="00AD0424" w:rsidRPr="00706680">
        <w:rPr>
          <w:lang w:val="en-IE"/>
        </w:rPr>
        <w:t>Section B.2.3.1.v</w:t>
      </w:r>
      <w:r w:rsidR="007C4C85" w:rsidRPr="00706680">
        <w:rPr>
          <w:lang w:val="en-IE"/>
        </w:rPr>
        <w:t xml:space="preserve">) </w:t>
      </w:r>
      <w:r w:rsidRPr="00706680">
        <w:rPr>
          <w:lang w:val="en-IE"/>
        </w:rPr>
        <w:t>is added to the strips, which are then left in the dark with continuous agitation and examined periodically until the protein bands are</w:t>
      </w:r>
      <w:r w:rsidR="007C4C85" w:rsidRPr="00706680">
        <w:rPr>
          <w:lang w:val="en-IE"/>
        </w:rPr>
        <w:t xml:space="preserve"> visible (maximum 30–40 minutes)</w:t>
      </w:r>
      <w:r w:rsidRPr="00706680">
        <w:rPr>
          <w:lang w:val="en-IE"/>
        </w:rPr>
        <w:t>. The reaction is stopped with distilled water.</w:t>
      </w:r>
    </w:p>
    <w:p w14:paraId="26485A94" w14:textId="77777777" w:rsidR="00093494" w:rsidRPr="00706680" w:rsidRDefault="00093494">
      <w:pPr>
        <w:pStyle w:val="i"/>
        <w:spacing w:after="240" w:line="200" w:lineRule="exact"/>
        <w:rPr>
          <w:lang w:val="en-IE"/>
        </w:rPr>
      </w:pPr>
      <w:r w:rsidRPr="00706680">
        <w:rPr>
          <w:lang w:val="en-IE"/>
        </w:rPr>
        <w:t>v)</w:t>
      </w:r>
      <w:r w:rsidRPr="00706680">
        <w:rPr>
          <w:lang w:val="en-IE"/>
        </w:rPr>
        <w:tab/>
      </w:r>
      <w:r w:rsidR="007C4C85" w:rsidRPr="00706680">
        <w:rPr>
          <w:i/>
          <w:lang w:val="en-IE"/>
        </w:rPr>
        <w:t>R</w:t>
      </w:r>
      <w:r w:rsidRPr="00706680">
        <w:rPr>
          <w:i/>
          <w:lang w:val="en-IE"/>
        </w:rPr>
        <w:t>esults</w:t>
      </w:r>
      <w:r w:rsidR="007C4C85" w:rsidRPr="00706680">
        <w:rPr>
          <w:i/>
          <w:lang w:val="en-IE"/>
        </w:rPr>
        <w:t xml:space="preserve"> analysis</w:t>
      </w:r>
      <w:r w:rsidRPr="00706680">
        <w:rPr>
          <w:i/>
          <w:lang w:val="en-IE"/>
        </w:rPr>
        <w:t>:</w:t>
      </w:r>
      <w:r w:rsidRPr="00706680">
        <w:rPr>
          <w:lang w:val="en-IE"/>
        </w:rPr>
        <w:t xml:space="preserve"> The strips are dried and examined for the presence of the core IgG immunoblot profile of </w:t>
      </w:r>
      <w:r w:rsidR="007C4C85" w:rsidRPr="00706680">
        <w:rPr>
          <w:lang w:val="en-IE"/>
        </w:rPr>
        <w:t xml:space="preserve">the </w:t>
      </w:r>
      <w:r w:rsidRPr="00706680">
        <w:rPr>
          <w:lang w:val="en-IE"/>
        </w:rPr>
        <w:t xml:space="preserve">five specific antigenic bands of 110, 98, 95, 62/60 and 48 kDa </w:t>
      </w:r>
      <w:r w:rsidR="006720A6" w:rsidRPr="00706680">
        <w:rPr>
          <w:lang w:val="en-IE"/>
        </w:rPr>
        <w:t xml:space="preserve">that should be seen in the positive control serum. Samples presenting </w:t>
      </w:r>
      <w:r w:rsidRPr="00706680">
        <w:rPr>
          <w:lang w:val="en-IE"/>
        </w:rPr>
        <w:t xml:space="preserve">a similar </w:t>
      </w:r>
      <w:r w:rsidR="006720A6" w:rsidRPr="00706680">
        <w:rPr>
          <w:lang w:val="en-IE"/>
        </w:rPr>
        <w:t xml:space="preserve">immunobloting </w:t>
      </w:r>
      <w:r w:rsidRPr="00706680">
        <w:rPr>
          <w:lang w:val="en-IE"/>
        </w:rPr>
        <w:t>profile are considered to be</w:t>
      </w:r>
      <w:r w:rsidR="006720A6" w:rsidRPr="00706680">
        <w:rPr>
          <w:lang w:val="en-IE"/>
        </w:rPr>
        <w:t xml:space="preserve"> CBPP</w:t>
      </w:r>
      <w:r w:rsidRPr="00706680">
        <w:rPr>
          <w:lang w:val="en-IE"/>
        </w:rPr>
        <w:t xml:space="preserve"> positive.</w:t>
      </w:r>
    </w:p>
    <w:p w14:paraId="40C7B8A1" w14:textId="77777777" w:rsidR="006C0DF4" w:rsidRPr="00706680" w:rsidRDefault="006C0DF4" w:rsidP="0002611F">
      <w:pPr>
        <w:pStyle w:val="11Para"/>
        <w:spacing w:after="480"/>
        <w:rPr>
          <w:lang w:val="en-IE"/>
        </w:rPr>
      </w:pPr>
      <w:r w:rsidRPr="00706680">
        <w:rPr>
          <w:lang w:val="en-IE"/>
        </w:rPr>
        <w:t xml:space="preserve">NB: </w:t>
      </w:r>
      <w:r w:rsidR="00301A3B" w:rsidRPr="00706680">
        <w:rPr>
          <w:lang w:val="en-IE"/>
        </w:rPr>
        <w:t>The IB</w:t>
      </w:r>
      <w:r w:rsidR="00AD0424" w:rsidRPr="00706680">
        <w:rPr>
          <w:lang w:val="en-IE"/>
        </w:rPr>
        <w:t>T</w:t>
      </w:r>
      <w:r w:rsidR="00301A3B" w:rsidRPr="00706680">
        <w:rPr>
          <w:lang w:val="en-IE"/>
        </w:rPr>
        <w:t xml:space="preserve"> is rather difficult to standardi</w:t>
      </w:r>
      <w:r w:rsidR="001327E3" w:rsidRPr="00706680">
        <w:rPr>
          <w:lang w:val="en-IE"/>
        </w:rPr>
        <w:t>s</w:t>
      </w:r>
      <w:r w:rsidR="00301A3B" w:rsidRPr="00706680">
        <w:rPr>
          <w:lang w:val="en-IE"/>
        </w:rPr>
        <w:t>e as many factors can influence the final banding pattern</w:t>
      </w:r>
      <w:r w:rsidR="0039743C" w:rsidRPr="00706680">
        <w:rPr>
          <w:lang w:val="en-IE"/>
        </w:rPr>
        <w:t xml:space="preserve"> </w:t>
      </w:r>
      <w:r w:rsidR="0039743C" w:rsidRPr="00A50845">
        <w:rPr>
          <w:szCs w:val="20"/>
          <w:lang w:val="en-IE"/>
        </w:rPr>
        <w:t>(Gaurivaud &amp; Poumarat, 2012)</w:t>
      </w:r>
      <w:r w:rsidR="00301A3B" w:rsidRPr="00A50845">
        <w:rPr>
          <w:lang w:val="en-IE"/>
        </w:rPr>
        <w:t xml:space="preserve">. Of major concern is the </w:t>
      </w:r>
      <w:r w:rsidR="003163B1" w:rsidRPr="00A50845">
        <w:rPr>
          <w:i/>
          <w:lang w:val="en-IE"/>
        </w:rPr>
        <w:t>Mmm</w:t>
      </w:r>
      <w:r w:rsidR="003163B1" w:rsidRPr="00A50845">
        <w:rPr>
          <w:strike/>
          <w:lang w:val="en-IE"/>
        </w:rPr>
        <w:t>SC</w:t>
      </w:r>
      <w:r w:rsidR="00716274" w:rsidRPr="00A50845">
        <w:rPr>
          <w:lang w:val="en-IE"/>
        </w:rPr>
        <w:t xml:space="preserve"> </w:t>
      </w:r>
      <w:r w:rsidR="00301A3B" w:rsidRPr="00A50845">
        <w:rPr>
          <w:lang w:val="en-IE"/>
        </w:rPr>
        <w:t>culture stage and the str</w:t>
      </w:r>
      <w:r w:rsidR="00A650CC" w:rsidRPr="00A50845">
        <w:rPr>
          <w:lang w:val="en-IE"/>
        </w:rPr>
        <w:t>a</w:t>
      </w:r>
      <w:r w:rsidR="00301A3B" w:rsidRPr="00A50845">
        <w:rPr>
          <w:lang w:val="en-IE"/>
        </w:rPr>
        <w:t xml:space="preserve">in </w:t>
      </w:r>
      <w:r w:rsidR="002C29BC" w:rsidRPr="00A50845">
        <w:rPr>
          <w:lang w:val="en-IE"/>
        </w:rPr>
        <w:t>that</w:t>
      </w:r>
      <w:r w:rsidR="00301A3B" w:rsidRPr="00A50845">
        <w:rPr>
          <w:lang w:val="en-IE"/>
        </w:rPr>
        <w:t xml:space="preserve"> has been chosen. Recent </w:t>
      </w:r>
      <w:r w:rsidR="003163B1" w:rsidRPr="00A50845">
        <w:rPr>
          <w:i/>
          <w:lang w:val="en-IE"/>
        </w:rPr>
        <w:t>Mmm</w:t>
      </w:r>
      <w:r w:rsidR="003163B1" w:rsidRPr="00A50845">
        <w:rPr>
          <w:strike/>
          <w:lang w:val="en-IE"/>
        </w:rPr>
        <w:t>SC</w:t>
      </w:r>
      <w:r w:rsidR="00716274" w:rsidRPr="00A50845">
        <w:rPr>
          <w:lang w:val="en-IE"/>
        </w:rPr>
        <w:t xml:space="preserve"> </w:t>
      </w:r>
      <w:r w:rsidR="00301A3B" w:rsidRPr="00A50845">
        <w:rPr>
          <w:lang w:val="en-IE"/>
        </w:rPr>
        <w:t>strains of</w:t>
      </w:r>
      <w:r w:rsidR="00301A3B" w:rsidRPr="00706680">
        <w:rPr>
          <w:lang w:val="en-IE"/>
        </w:rPr>
        <w:t xml:space="preserve"> European origin lack the 98</w:t>
      </w:r>
      <w:r w:rsidR="002C29BC" w:rsidRPr="00706680">
        <w:rPr>
          <w:lang w:val="en-IE"/>
        </w:rPr>
        <w:t> </w:t>
      </w:r>
      <w:r w:rsidR="00301A3B" w:rsidRPr="00706680">
        <w:rPr>
          <w:lang w:val="en-IE"/>
        </w:rPr>
        <w:t xml:space="preserve">kDa band. This could lead to dubious results in animals infected by such strains. </w:t>
      </w:r>
      <w:r w:rsidR="006720A6" w:rsidRPr="00706680">
        <w:rPr>
          <w:lang w:val="en-IE"/>
        </w:rPr>
        <w:t xml:space="preserve">The CBPP OIE Reference Laboratory in Portugal can provide antigen strips as well as the positive </w:t>
      </w:r>
      <w:r w:rsidR="00AD0424" w:rsidRPr="00706680">
        <w:rPr>
          <w:lang w:val="en-IE"/>
        </w:rPr>
        <w:t>and</w:t>
      </w:r>
      <w:r w:rsidR="006720A6" w:rsidRPr="00706680">
        <w:rPr>
          <w:lang w:val="en-IE"/>
        </w:rPr>
        <w:t xml:space="preserve"> negative control sera, upon request. </w:t>
      </w:r>
    </w:p>
    <w:p w14:paraId="4902E2A9" w14:textId="77777777" w:rsidR="00AE33E9" w:rsidRPr="00706680" w:rsidRDefault="00AE33E9" w:rsidP="00AE33E9">
      <w:pPr>
        <w:pStyle w:val="A0"/>
        <w:rPr>
          <w:lang w:val="en-IE"/>
        </w:rPr>
      </w:pPr>
      <w:r w:rsidRPr="00706680">
        <w:rPr>
          <w:lang w:val="en-IE"/>
        </w:rPr>
        <w:lastRenderedPageBreak/>
        <w:t xml:space="preserve">c.  REQUIREMENTS FOR VACCINES </w:t>
      </w:r>
    </w:p>
    <w:p w14:paraId="0EBE55FF" w14:textId="77777777" w:rsidR="00823752" w:rsidRPr="00706680" w:rsidRDefault="00823752" w:rsidP="00823752">
      <w:pPr>
        <w:pStyle w:val="1"/>
        <w:rPr>
          <w:lang w:val="en-IE"/>
        </w:rPr>
      </w:pPr>
      <w:r w:rsidRPr="00706680">
        <w:rPr>
          <w:lang w:val="en-IE"/>
        </w:rPr>
        <w:t>1.</w:t>
      </w:r>
      <w:r w:rsidRPr="00706680">
        <w:rPr>
          <w:lang w:val="en-IE"/>
        </w:rPr>
        <w:tab/>
        <w:t>Background</w:t>
      </w:r>
    </w:p>
    <w:p w14:paraId="36F5E0FE" w14:textId="77777777" w:rsidR="00AE33E9" w:rsidRPr="00706680" w:rsidRDefault="00AE33E9" w:rsidP="00AE33E9">
      <w:pPr>
        <w:pStyle w:val="paraA0"/>
        <w:rPr>
          <w:lang w:val="en-IE"/>
        </w:rPr>
      </w:pPr>
      <w:r w:rsidRPr="00706680">
        <w:rPr>
          <w:lang w:val="en-IE"/>
        </w:rPr>
        <w:t xml:space="preserve">Since the beginning of the 20th century, many vaccines against CBPP have been described (e.g. killed vaccines, and heterologous vaccines), but none of them has proven to be </w:t>
      </w:r>
      <w:r w:rsidR="009B2041">
        <w:rPr>
          <w:lang w:val="en-IE"/>
        </w:rPr>
        <w:t>completely</w:t>
      </w:r>
      <w:r w:rsidR="009B2041" w:rsidRPr="00706680">
        <w:rPr>
          <w:lang w:val="en-IE"/>
        </w:rPr>
        <w:t xml:space="preserve"> </w:t>
      </w:r>
      <w:r w:rsidRPr="00706680">
        <w:rPr>
          <w:lang w:val="en-IE"/>
        </w:rPr>
        <w:t>satisfactory</w:t>
      </w:r>
      <w:r w:rsidR="00823752" w:rsidRPr="00706680">
        <w:rPr>
          <w:lang w:val="en-IE"/>
        </w:rPr>
        <w:t xml:space="preserve"> </w:t>
      </w:r>
      <w:r w:rsidR="00823752" w:rsidRPr="00B03850">
        <w:rPr>
          <w:strike/>
          <w:lang w:val="en-IE"/>
        </w:rPr>
        <w:t xml:space="preserve">or </w:t>
      </w:r>
      <w:r w:rsidR="009B2041" w:rsidRPr="00B03850">
        <w:rPr>
          <w:u w:val="double"/>
          <w:lang w:val="en-IE"/>
        </w:rPr>
        <w:t>and</w:t>
      </w:r>
      <w:r w:rsidR="009B2041" w:rsidRPr="00706680">
        <w:rPr>
          <w:lang w:val="en-IE"/>
        </w:rPr>
        <w:t xml:space="preserve"> </w:t>
      </w:r>
      <w:r w:rsidR="00823752" w:rsidRPr="00706680">
        <w:rPr>
          <w:lang w:val="en-IE"/>
        </w:rPr>
        <w:t>cost effective</w:t>
      </w:r>
      <w:r w:rsidRPr="00706680">
        <w:rPr>
          <w:lang w:val="en-IE"/>
        </w:rPr>
        <w:t xml:space="preserve">. Today, the only vaccines commonly used are produced with attenuated </w:t>
      </w:r>
      <w:r w:rsidR="003163B1" w:rsidRPr="00706680">
        <w:rPr>
          <w:i/>
          <w:lang w:val="en-IE"/>
        </w:rPr>
        <w:t>Mmm</w:t>
      </w:r>
      <w:r w:rsidR="003163B1" w:rsidRPr="00B03850">
        <w:rPr>
          <w:strike/>
          <w:lang w:val="en-IE"/>
        </w:rPr>
        <w:t>SC</w:t>
      </w:r>
      <w:r w:rsidR="00716274" w:rsidRPr="00706680">
        <w:rPr>
          <w:lang w:val="en-IE"/>
        </w:rPr>
        <w:t xml:space="preserve"> </w:t>
      </w:r>
      <w:r w:rsidRPr="00706680">
        <w:rPr>
          <w:lang w:val="en-IE"/>
        </w:rPr>
        <w:t>strains.</w:t>
      </w:r>
    </w:p>
    <w:p w14:paraId="11C54372" w14:textId="77777777" w:rsidR="00AE33E9" w:rsidRPr="00706680" w:rsidRDefault="00823752" w:rsidP="00823752">
      <w:pPr>
        <w:pStyle w:val="para1"/>
        <w:rPr>
          <w:lang w:val="en-IE"/>
        </w:rPr>
      </w:pPr>
      <w:r w:rsidRPr="00706680">
        <w:rPr>
          <w:lang w:val="en-IE"/>
        </w:rPr>
        <w:t xml:space="preserve">Various attenuated </w:t>
      </w:r>
      <w:r w:rsidR="00B03850" w:rsidRPr="00706680">
        <w:rPr>
          <w:i/>
          <w:lang w:val="en-IE"/>
        </w:rPr>
        <w:t>Mmm</w:t>
      </w:r>
      <w:r w:rsidR="00B03850" w:rsidRPr="00B03850">
        <w:rPr>
          <w:strike/>
          <w:lang w:val="en-IE"/>
        </w:rPr>
        <w:t>SC</w:t>
      </w:r>
      <w:r w:rsidR="00B03850" w:rsidRPr="00706680">
        <w:rPr>
          <w:lang w:val="en-IE"/>
        </w:rPr>
        <w:t xml:space="preserve"> </w:t>
      </w:r>
      <w:r w:rsidRPr="00706680">
        <w:rPr>
          <w:lang w:val="en-IE"/>
        </w:rPr>
        <w:t>strains have been used in the past and have been abandoned</w:t>
      </w:r>
      <w:r w:rsidR="00396EFB" w:rsidRPr="00706680">
        <w:rPr>
          <w:lang w:val="en-IE"/>
        </w:rPr>
        <w:t>,</w:t>
      </w:r>
      <w:r w:rsidRPr="00706680">
        <w:rPr>
          <w:lang w:val="en-IE"/>
        </w:rPr>
        <w:t xml:space="preserve"> such as the KH3J or V5 strains. </w:t>
      </w:r>
      <w:r w:rsidR="00AE33E9" w:rsidRPr="00706680">
        <w:rPr>
          <w:lang w:val="en-IE"/>
        </w:rPr>
        <w:t>Two strains are</w:t>
      </w:r>
      <w:r w:rsidRPr="00706680">
        <w:rPr>
          <w:lang w:val="en-IE"/>
        </w:rPr>
        <w:t xml:space="preserve"> now</w:t>
      </w:r>
      <w:r w:rsidR="00AE33E9" w:rsidRPr="00706680">
        <w:rPr>
          <w:lang w:val="en-IE"/>
        </w:rPr>
        <w:t xml:space="preserve"> used for preparing CBPP vaccines: strain T1/44, a naturally mild strain isolated in 1951 by Sheriff &amp; Piercy in </w:t>
      </w:r>
      <w:r w:rsidR="00AE33E9" w:rsidRPr="00A50845">
        <w:rPr>
          <w:lang w:val="en-IE"/>
        </w:rPr>
        <w:t>Tanzania</w:t>
      </w:r>
      <w:r w:rsidRPr="00A50845">
        <w:rPr>
          <w:lang w:val="en-IE"/>
        </w:rPr>
        <w:t xml:space="preserve"> (Sheriff &amp; Piercy, 1952)</w:t>
      </w:r>
      <w:r w:rsidR="00AE33E9" w:rsidRPr="00A50845">
        <w:rPr>
          <w:lang w:val="en-IE"/>
        </w:rPr>
        <w:t xml:space="preserve">, and </w:t>
      </w:r>
      <w:r w:rsidR="009B2041" w:rsidRPr="00A50845">
        <w:rPr>
          <w:u w:val="double"/>
          <w:lang w:val="en-IE"/>
        </w:rPr>
        <w:t>its derivative</w:t>
      </w:r>
      <w:r w:rsidR="009B2041" w:rsidRPr="00A50845">
        <w:rPr>
          <w:lang w:val="en-IE"/>
        </w:rPr>
        <w:t xml:space="preserve"> </w:t>
      </w:r>
      <w:r w:rsidR="00AE33E9" w:rsidRPr="00A50845">
        <w:rPr>
          <w:lang w:val="en-IE"/>
        </w:rPr>
        <w:t xml:space="preserve">strain T1sr (Wesonga &amp; Thiaucourt, 2000; Yaya </w:t>
      </w:r>
      <w:r w:rsidR="00AE33E9" w:rsidRPr="00A50845">
        <w:rPr>
          <w:i/>
          <w:lang w:val="en-IE"/>
        </w:rPr>
        <w:t>et al</w:t>
      </w:r>
      <w:r w:rsidR="00AE33E9" w:rsidRPr="00A50845">
        <w:rPr>
          <w:lang w:val="en-IE"/>
        </w:rPr>
        <w:t>., 1999). The 44</w:t>
      </w:r>
      <w:r w:rsidR="00AE33E9" w:rsidRPr="00A50845">
        <w:rPr>
          <w:vertAlign w:val="superscript"/>
          <w:lang w:val="en-IE"/>
        </w:rPr>
        <w:t>th</w:t>
      </w:r>
      <w:r w:rsidR="00AE33E9" w:rsidRPr="00A50845">
        <w:rPr>
          <w:lang w:val="en-IE"/>
        </w:rPr>
        <w:t xml:space="preserve"> egg-passage of strain T1, called T1/44, was sufficiently attenuated to protect cattle without post-vaccinal severe reactions, however such reactions may still occur in the field although rarely. Their frequency is unpredictable. Cattle breeds should be assessed for their sensitivity before mass vaccination. It should be noted that when given by intubation, the vaccine can produce CBPP lesions (Mbulu </w:t>
      </w:r>
      <w:r w:rsidR="00AE33E9" w:rsidRPr="00A50845">
        <w:rPr>
          <w:i/>
          <w:lang w:val="en-IE"/>
        </w:rPr>
        <w:t>et al</w:t>
      </w:r>
      <w:r w:rsidR="00AE33E9" w:rsidRPr="00A50845">
        <w:rPr>
          <w:lang w:val="en-IE"/>
        </w:rPr>
        <w:t xml:space="preserve">., 2004); however, as the vaccine is to be injected subcutaneously, this should not create a serious </w:t>
      </w:r>
      <w:r w:rsidR="00AE33E9" w:rsidRPr="00A50845">
        <w:rPr>
          <w:strike/>
          <w:lang w:val="en-IE"/>
        </w:rPr>
        <w:t>disease problem</w:t>
      </w:r>
      <w:r w:rsidR="00B03850" w:rsidRPr="00A50845">
        <w:rPr>
          <w:strike/>
          <w:lang w:val="en-IE"/>
        </w:rPr>
        <w:t xml:space="preserve"> </w:t>
      </w:r>
      <w:r w:rsidR="009B2041" w:rsidRPr="00A50845">
        <w:rPr>
          <w:u w:val="double"/>
          <w:lang w:val="en-IE"/>
        </w:rPr>
        <w:t>risk</w:t>
      </w:r>
      <w:r w:rsidR="00AE33E9" w:rsidRPr="00A50845">
        <w:rPr>
          <w:lang w:val="en-IE"/>
        </w:rPr>
        <w:t xml:space="preserve"> (Hubschle </w:t>
      </w:r>
      <w:r w:rsidR="00AE33E9" w:rsidRPr="00A50845">
        <w:rPr>
          <w:i/>
          <w:lang w:val="en-IE"/>
        </w:rPr>
        <w:t>et al</w:t>
      </w:r>
      <w:r w:rsidR="00AE33E9" w:rsidRPr="00A50845">
        <w:rPr>
          <w:lang w:val="en-IE"/>
        </w:rPr>
        <w:t>., 2002).</w:t>
      </w:r>
    </w:p>
    <w:p w14:paraId="57B937B7" w14:textId="77777777" w:rsidR="00823752" w:rsidRPr="00706680" w:rsidRDefault="00823752" w:rsidP="00823752">
      <w:pPr>
        <w:pStyle w:val="para1"/>
        <w:rPr>
          <w:lang w:val="en-IE"/>
        </w:rPr>
      </w:pPr>
      <w:r w:rsidRPr="00706680">
        <w:rPr>
          <w:lang w:val="en-IE"/>
        </w:rPr>
        <w:t xml:space="preserve">T1/44 and T1sr vaccines can effectively protect herds when vaccinations are regularly performed (i.e. once a year for T1/44 and twice a year for T1sr). They can be used for CBPP control </w:t>
      </w:r>
      <w:r w:rsidR="00396EFB" w:rsidRPr="00706680">
        <w:rPr>
          <w:lang w:val="en-IE"/>
        </w:rPr>
        <w:t>on</w:t>
      </w:r>
      <w:r w:rsidRPr="00706680">
        <w:rPr>
          <w:lang w:val="en-IE"/>
        </w:rPr>
        <w:t xml:space="preserve"> a wider scale (national or regional)</w:t>
      </w:r>
      <w:r w:rsidR="00396EFB" w:rsidRPr="00706680">
        <w:rPr>
          <w:lang w:val="en-IE"/>
        </w:rPr>
        <w:t>,</w:t>
      </w:r>
      <w:r w:rsidRPr="00706680">
        <w:rPr>
          <w:lang w:val="en-IE"/>
        </w:rPr>
        <w:t xml:space="preserve"> but they cannot lead to CBPP eradication when used alone.</w:t>
      </w:r>
    </w:p>
    <w:p w14:paraId="779B565F" w14:textId="77777777" w:rsidR="00823752" w:rsidRPr="00706680" w:rsidRDefault="00823752" w:rsidP="00823752">
      <w:pPr>
        <w:pStyle w:val="para1"/>
        <w:rPr>
          <w:lang w:val="en-IE"/>
        </w:rPr>
      </w:pPr>
      <w:r w:rsidRPr="00706680">
        <w:rPr>
          <w:lang w:val="en-IE"/>
        </w:rPr>
        <w:t xml:space="preserve">The target species are the susceptible hosts of the </w:t>
      </w:r>
      <w:r w:rsidRPr="00706680">
        <w:rPr>
          <w:i/>
          <w:lang w:val="en-IE"/>
        </w:rPr>
        <w:t>Bos</w:t>
      </w:r>
      <w:r w:rsidRPr="00706680">
        <w:rPr>
          <w:lang w:val="en-IE"/>
        </w:rPr>
        <w:t xml:space="preserve"> </w:t>
      </w:r>
      <w:r w:rsidR="009B2041" w:rsidRPr="00B03850">
        <w:rPr>
          <w:u w:val="double"/>
          <w:lang w:val="en-IE"/>
        </w:rPr>
        <w:t xml:space="preserve">and </w:t>
      </w:r>
      <w:r w:rsidR="009B2041" w:rsidRPr="000176E6">
        <w:rPr>
          <w:i/>
          <w:u w:val="double"/>
          <w:lang w:val="en-IE"/>
        </w:rPr>
        <w:t>Bubalus</w:t>
      </w:r>
      <w:r w:rsidR="009B2041">
        <w:rPr>
          <w:lang w:val="en-IE"/>
        </w:rPr>
        <w:t xml:space="preserve"> </w:t>
      </w:r>
      <w:r w:rsidRPr="00706680">
        <w:rPr>
          <w:lang w:val="en-IE"/>
        </w:rPr>
        <w:t>genus</w:t>
      </w:r>
      <w:r w:rsidR="009B2041" w:rsidRPr="00B03850">
        <w:rPr>
          <w:u w:val="double"/>
          <w:lang w:val="en-IE"/>
        </w:rPr>
        <w:t>es</w:t>
      </w:r>
      <w:r w:rsidRPr="00706680">
        <w:rPr>
          <w:lang w:val="en-IE"/>
        </w:rPr>
        <w:t>.</w:t>
      </w:r>
    </w:p>
    <w:p w14:paraId="1D4D741F" w14:textId="77777777" w:rsidR="00823752" w:rsidRPr="00706680" w:rsidRDefault="00823752" w:rsidP="00823752">
      <w:pPr>
        <w:pStyle w:val="para1"/>
        <w:rPr>
          <w:lang w:val="en-IE"/>
        </w:rPr>
      </w:pPr>
      <w:r w:rsidRPr="00706680">
        <w:rPr>
          <w:lang w:val="en-IE"/>
        </w:rPr>
        <w:t>New attenuated vaccines should have less residual virulence than T1/44 while maintaining or improving the same duration of immunity (1 year) and immunogenicity</w:t>
      </w:r>
      <w:r w:rsidR="00396EFB" w:rsidRPr="00706680">
        <w:rPr>
          <w:lang w:val="en-IE"/>
        </w:rPr>
        <w:t>.</w:t>
      </w:r>
    </w:p>
    <w:p w14:paraId="3F6C9B9C" w14:textId="77777777" w:rsidR="00823752" w:rsidRPr="00706680" w:rsidRDefault="00823752" w:rsidP="00823752">
      <w:pPr>
        <w:pStyle w:val="para1"/>
        <w:rPr>
          <w:lang w:val="en-IE"/>
        </w:rPr>
      </w:pPr>
      <w:r w:rsidRPr="00706680">
        <w:rPr>
          <w:lang w:val="en-IE"/>
        </w:rPr>
        <w:t>New inactivated vaccines should induce a significant</w:t>
      </w:r>
      <w:r w:rsidR="00396EFB" w:rsidRPr="00706680">
        <w:rPr>
          <w:lang w:val="en-IE"/>
        </w:rPr>
        <w:t>ly longer immunity (&gt;</w:t>
      </w:r>
      <w:r w:rsidRPr="00706680">
        <w:rPr>
          <w:lang w:val="en-IE"/>
        </w:rPr>
        <w:t xml:space="preserve">1 year), should </w:t>
      </w:r>
      <w:r w:rsidR="0013729B" w:rsidRPr="00706680">
        <w:rPr>
          <w:lang w:val="en-IE"/>
        </w:rPr>
        <w:t xml:space="preserve">not </w:t>
      </w:r>
      <w:r w:rsidR="0013729B" w:rsidRPr="00B03850">
        <w:rPr>
          <w:strike/>
          <w:lang w:val="en-IE"/>
        </w:rPr>
        <w:t xml:space="preserve">impede </w:t>
      </w:r>
      <w:r w:rsidR="009B2041" w:rsidRPr="00B03850">
        <w:rPr>
          <w:u w:val="double"/>
          <w:lang w:val="en-IE"/>
        </w:rPr>
        <w:t>hamper</w:t>
      </w:r>
      <w:r w:rsidR="009B2041" w:rsidRPr="00706680">
        <w:rPr>
          <w:lang w:val="en-IE"/>
        </w:rPr>
        <w:t xml:space="preserve"> </w:t>
      </w:r>
      <w:r w:rsidR="0013729B" w:rsidRPr="00706680">
        <w:rPr>
          <w:lang w:val="en-IE"/>
        </w:rPr>
        <w:t xml:space="preserve">the detection of </w:t>
      </w:r>
      <w:r w:rsidRPr="00706680">
        <w:rPr>
          <w:lang w:val="en-IE"/>
        </w:rPr>
        <w:t>CBPP outbreak</w:t>
      </w:r>
      <w:r w:rsidR="0013729B" w:rsidRPr="00706680">
        <w:rPr>
          <w:lang w:val="en-IE"/>
        </w:rPr>
        <w:t>s</w:t>
      </w:r>
      <w:r w:rsidRPr="00706680">
        <w:rPr>
          <w:lang w:val="en-IE"/>
        </w:rPr>
        <w:t xml:space="preserve"> and</w:t>
      </w:r>
      <w:r w:rsidR="00396EFB" w:rsidRPr="00706680">
        <w:rPr>
          <w:lang w:val="en-IE"/>
        </w:rPr>
        <w:t>,</w:t>
      </w:r>
      <w:r w:rsidRPr="00706680">
        <w:rPr>
          <w:lang w:val="en-IE"/>
        </w:rPr>
        <w:t xml:space="preserve"> ideally</w:t>
      </w:r>
      <w:r w:rsidR="00396EFB" w:rsidRPr="00706680">
        <w:rPr>
          <w:lang w:val="en-IE"/>
        </w:rPr>
        <w:t>,</w:t>
      </w:r>
      <w:r w:rsidRPr="00706680">
        <w:rPr>
          <w:lang w:val="en-IE"/>
        </w:rPr>
        <w:t xml:space="preserve"> </w:t>
      </w:r>
      <w:r w:rsidR="0013729B" w:rsidRPr="00706680">
        <w:rPr>
          <w:lang w:val="en-IE"/>
        </w:rPr>
        <w:t xml:space="preserve">should </w:t>
      </w:r>
      <w:r w:rsidRPr="00706680">
        <w:rPr>
          <w:lang w:val="en-IE"/>
        </w:rPr>
        <w:t>be compatible with other antigens to produce multivalent vaccines.</w:t>
      </w:r>
    </w:p>
    <w:p w14:paraId="449A7B0D" w14:textId="77777777" w:rsidR="00823752" w:rsidRPr="00706680" w:rsidRDefault="00823752" w:rsidP="00823752">
      <w:pPr>
        <w:pStyle w:val="para1"/>
        <w:rPr>
          <w:rFonts w:eastAsia="Calibri"/>
          <w:lang w:val="en-IE" w:eastAsia="en-US"/>
        </w:rPr>
      </w:pPr>
      <w:r w:rsidRPr="00706680">
        <w:rPr>
          <w:rFonts w:eastAsia="Calibri"/>
          <w:lang w:val="en-IE" w:eastAsia="en-US"/>
        </w:rPr>
        <w:t>Guidelines for the production of veterinary vaccines are given in Chapter 1.1.</w:t>
      </w:r>
      <w:r w:rsidR="004F49A4">
        <w:rPr>
          <w:rFonts w:eastAsia="Calibri"/>
          <w:lang w:val="en-IE" w:eastAsia="en-US"/>
        </w:rPr>
        <w:t>8</w:t>
      </w:r>
      <w:r w:rsidRPr="00706680">
        <w:rPr>
          <w:rFonts w:eastAsia="Calibri"/>
          <w:lang w:val="en-IE" w:eastAsia="en-US"/>
        </w:rPr>
        <w:t xml:space="preserve"> </w:t>
      </w:r>
      <w:r w:rsidRPr="00706680">
        <w:rPr>
          <w:rFonts w:eastAsia="Calibri"/>
          <w:i/>
          <w:lang w:val="en-IE" w:eastAsia="en-US"/>
        </w:rPr>
        <w:t>Principles of veterinary vaccine production</w:t>
      </w:r>
      <w:r w:rsidRPr="00706680">
        <w:rPr>
          <w:rFonts w:eastAsia="Calibri"/>
          <w:lang w:val="en-IE" w:eastAsia="en-US"/>
        </w:rPr>
        <w:t xml:space="preserve">. The guidelines given here and in </w:t>
      </w:r>
      <w:r w:rsidR="00D81CCB" w:rsidRPr="00706680">
        <w:rPr>
          <w:rFonts w:eastAsia="Calibri"/>
          <w:lang w:val="en-IE" w:eastAsia="en-US"/>
        </w:rPr>
        <w:t>c</w:t>
      </w:r>
      <w:r w:rsidRPr="00706680">
        <w:rPr>
          <w:rFonts w:eastAsia="Calibri"/>
          <w:lang w:val="en-IE" w:eastAsia="en-US"/>
        </w:rPr>
        <w:t>hapter 1.1.</w:t>
      </w:r>
      <w:r w:rsidR="004F49A4">
        <w:rPr>
          <w:rFonts w:eastAsia="Calibri"/>
          <w:lang w:val="en-IE" w:eastAsia="en-US"/>
        </w:rPr>
        <w:t>8</w:t>
      </w:r>
      <w:r w:rsidRPr="00706680">
        <w:rPr>
          <w:rFonts w:eastAsia="Calibri"/>
          <w:lang w:val="en-IE" w:eastAsia="en-US"/>
        </w:rPr>
        <w:t xml:space="preserve"> are intended to be general in nature as manufacturers may be obliged to meet either European Pharmacopeia, U</w:t>
      </w:r>
      <w:r w:rsidR="00396EFB" w:rsidRPr="00706680">
        <w:rPr>
          <w:rFonts w:eastAsia="Calibri"/>
          <w:lang w:val="en-IE" w:eastAsia="en-US"/>
        </w:rPr>
        <w:t xml:space="preserve">nited </w:t>
      </w:r>
      <w:r w:rsidRPr="00706680">
        <w:rPr>
          <w:rFonts w:eastAsia="Calibri"/>
          <w:lang w:val="en-IE" w:eastAsia="en-US"/>
        </w:rPr>
        <w:t>S</w:t>
      </w:r>
      <w:r w:rsidR="00396EFB" w:rsidRPr="00706680">
        <w:rPr>
          <w:rFonts w:eastAsia="Calibri"/>
          <w:lang w:val="en-IE" w:eastAsia="en-US"/>
        </w:rPr>
        <w:t xml:space="preserve">tates (of America) </w:t>
      </w:r>
      <w:r w:rsidRPr="00706680">
        <w:rPr>
          <w:rFonts w:eastAsia="Calibri"/>
          <w:lang w:val="en-IE" w:eastAsia="en-US"/>
        </w:rPr>
        <w:t>D</w:t>
      </w:r>
      <w:r w:rsidR="00396EFB" w:rsidRPr="00706680">
        <w:rPr>
          <w:rFonts w:eastAsia="Calibri"/>
          <w:lang w:val="en-IE" w:eastAsia="en-US"/>
        </w:rPr>
        <w:t xml:space="preserve">epartment of </w:t>
      </w:r>
      <w:r w:rsidRPr="00706680">
        <w:rPr>
          <w:rFonts w:eastAsia="Calibri"/>
          <w:lang w:val="en-IE" w:eastAsia="en-US"/>
        </w:rPr>
        <w:t>A</w:t>
      </w:r>
      <w:r w:rsidR="00396EFB" w:rsidRPr="00706680">
        <w:rPr>
          <w:rFonts w:eastAsia="Calibri"/>
          <w:lang w:val="en-IE" w:eastAsia="en-US"/>
        </w:rPr>
        <w:t>griculture</w:t>
      </w:r>
      <w:r w:rsidRPr="00706680">
        <w:rPr>
          <w:rFonts w:eastAsia="Calibri"/>
          <w:lang w:val="en-IE" w:eastAsia="en-US"/>
        </w:rPr>
        <w:t xml:space="preserve"> or other national and regional requirements.</w:t>
      </w:r>
    </w:p>
    <w:p w14:paraId="756F7138" w14:textId="77777777" w:rsidR="00823752" w:rsidRPr="00706680" w:rsidRDefault="00823752" w:rsidP="00243B60">
      <w:pPr>
        <w:pStyle w:val="1"/>
        <w:spacing w:after="120"/>
        <w:rPr>
          <w:lang w:val="en-IE"/>
        </w:rPr>
      </w:pPr>
      <w:r w:rsidRPr="00706680">
        <w:rPr>
          <w:lang w:val="en-IE"/>
        </w:rPr>
        <w:t>2.</w:t>
      </w:r>
      <w:r w:rsidRPr="00706680">
        <w:rPr>
          <w:lang w:val="en-IE"/>
        </w:rPr>
        <w:tab/>
        <w:t>Outline of production and minimum requirements for vaccines</w:t>
      </w:r>
    </w:p>
    <w:p w14:paraId="4F5766D5" w14:textId="77777777" w:rsidR="00823752" w:rsidRPr="00706680" w:rsidRDefault="00B466DC" w:rsidP="00243B60">
      <w:pPr>
        <w:pStyle w:val="11"/>
        <w:spacing w:after="120"/>
        <w:rPr>
          <w:lang w:val="en-IE"/>
        </w:rPr>
      </w:pPr>
      <w:r w:rsidRPr="00706680">
        <w:rPr>
          <w:lang w:val="en-IE"/>
        </w:rPr>
        <w:t>2.1.</w:t>
      </w:r>
      <w:r w:rsidR="00823752" w:rsidRPr="00706680">
        <w:rPr>
          <w:lang w:val="en-IE"/>
        </w:rPr>
        <w:tab/>
        <w:t>Characteristics of the seed</w:t>
      </w:r>
    </w:p>
    <w:p w14:paraId="6710CC06" w14:textId="77777777" w:rsidR="00823752" w:rsidRPr="00706680" w:rsidRDefault="00B466DC" w:rsidP="00B466DC">
      <w:pPr>
        <w:pStyle w:val="Style111Doublesoulign"/>
        <w:rPr>
          <w:u w:val="none"/>
          <w:lang w:val="en-IE"/>
        </w:rPr>
      </w:pPr>
      <w:r w:rsidRPr="00706680">
        <w:rPr>
          <w:u w:val="none"/>
          <w:lang w:val="en-IE"/>
        </w:rPr>
        <w:t>2.1.1.</w:t>
      </w:r>
      <w:r w:rsidR="00823752" w:rsidRPr="00706680">
        <w:rPr>
          <w:u w:val="none"/>
          <w:lang w:val="en-IE"/>
        </w:rPr>
        <w:tab/>
        <w:t>Biological characteristics of the master seed</w:t>
      </w:r>
    </w:p>
    <w:p w14:paraId="0A6FE96F" w14:textId="77777777" w:rsidR="00823752" w:rsidRPr="00706680" w:rsidRDefault="00823752" w:rsidP="00B466DC">
      <w:pPr>
        <w:pStyle w:val="111Para"/>
        <w:rPr>
          <w:lang w:val="en-IE"/>
        </w:rPr>
      </w:pPr>
      <w:r w:rsidRPr="00706680">
        <w:rPr>
          <w:lang w:val="en-IE"/>
        </w:rPr>
        <w:t xml:space="preserve">At present, only two </w:t>
      </w:r>
      <w:r w:rsidR="000176E6" w:rsidRPr="00706680">
        <w:rPr>
          <w:i/>
          <w:lang w:val="en-IE"/>
        </w:rPr>
        <w:t>Mmm</w:t>
      </w:r>
      <w:r w:rsidR="000176E6" w:rsidRPr="00B03850">
        <w:rPr>
          <w:strike/>
          <w:lang w:val="en-IE"/>
        </w:rPr>
        <w:t>SC</w:t>
      </w:r>
      <w:r w:rsidR="003163B1" w:rsidRPr="00706680">
        <w:rPr>
          <w:lang w:val="en-IE"/>
        </w:rPr>
        <w:t xml:space="preserve"> </w:t>
      </w:r>
      <w:r w:rsidRPr="00706680">
        <w:rPr>
          <w:lang w:val="en-IE"/>
        </w:rPr>
        <w:t xml:space="preserve">attenuated strains are recommended for CBPP vaccination: T1/44 and T1sr. T1/44 was attenuated by passaging a mild field strain </w:t>
      </w:r>
      <w:r w:rsidR="00396EFB" w:rsidRPr="00706680">
        <w:rPr>
          <w:lang w:val="en-IE"/>
        </w:rPr>
        <w:t xml:space="preserve">44 times </w:t>
      </w:r>
      <w:r w:rsidRPr="00706680">
        <w:rPr>
          <w:lang w:val="en-IE"/>
        </w:rPr>
        <w:t>in embryonated eggs. This ensured an attenuation of the strain while keeping its immunogenic properties. However some residual virulence has been observed in this strain and the percentage of reactors var</w:t>
      </w:r>
      <w:r w:rsidR="00396EFB" w:rsidRPr="00706680">
        <w:rPr>
          <w:lang w:val="en-IE"/>
        </w:rPr>
        <w:t>ies</w:t>
      </w:r>
      <w:r w:rsidRPr="00706680">
        <w:rPr>
          <w:lang w:val="en-IE"/>
        </w:rPr>
        <w:t xml:space="preserve"> greatly from one region to another. These reactions are usually observed in primo-vaccinated animals. It has been observed that immunogenicity declin</w:t>
      </w:r>
      <w:r w:rsidR="00916D86" w:rsidRPr="00706680">
        <w:rPr>
          <w:lang w:val="en-IE"/>
        </w:rPr>
        <w:t>es</w:t>
      </w:r>
      <w:r w:rsidRPr="00706680">
        <w:rPr>
          <w:lang w:val="en-IE"/>
        </w:rPr>
        <w:t xml:space="preserve"> </w:t>
      </w:r>
      <w:r w:rsidR="00916D86" w:rsidRPr="00706680">
        <w:rPr>
          <w:lang w:val="en-IE"/>
        </w:rPr>
        <w:t xml:space="preserve">as </w:t>
      </w:r>
      <w:r w:rsidRPr="00706680">
        <w:rPr>
          <w:lang w:val="en-IE"/>
        </w:rPr>
        <w:t>attenuation</w:t>
      </w:r>
      <w:r w:rsidR="00916D86" w:rsidRPr="00706680">
        <w:rPr>
          <w:lang w:val="en-IE"/>
        </w:rPr>
        <w:t xml:space="preserve"> increases</w:t>
      </w:r>
      <w:r w:rsidRPr="00706680">
        <w:rPr>
          <w:lang w:val="en-IE"/>
        </w:rPr>
        <w:t>. Strain T1sr is a direct derivat</w:t>
      </w:r>
      <w:r w:rsidR="00916D86" w:rsidRPr="00706680">
        <w:rPr>
          <w:lang w:val="en-IE"/>
        </w:rPr>
        <w:t>iv</w:t>
      </w:r>
      <w:r w:rsidRPr="00706680">
        <w:rPr>
          <w:lang w:val="en-IE"/>
        </w:rPr>
        <w:t xml:space="preserve">e </w:t>
      </w:r>
      <w:r w:rsidR="00916D86" w:rsidRPr="00706680">
        <w:rPr>
          <w:lang w:val="en-IE"/>
        </w:rPr>
        <w:t>o</w:t>
      </w:r>
      <w:r w:rsidRPr="00706680">
        <w:rPr>
          <w:lang w:val="en-IE"/>
        </w:rPr>
        <w:t>f T1/44</w:t>
      </w:r>
      <w:r w:rsidR="00916D86" w:rsidRPr="00706680">
        <w:rPr>
          <w:lang w:val="en-IE"/>
        </w:rPr>
        <w:t>,</w:t>
      </w:r>
      <w:r w:rsidRPr="00706680">
        <w:rPr>
          <w:lang w:val="en-IE"/>
        </w:rPr>
        <w:t xml:space="preserve"> adapted to streptomycin resistan</w:t>
      </w:r>
      <w:r w:rsidR="00916D86" w:rsidRPr="00706680">
        <w:rPr>
          <w:lang w:val="en-IE"/>
        </w:rPr>
        <w:t>ce</w:t>
      </w:r>
      <w:r w:rsidRPr="00706680">
        <w:rPr>
          <w:lang w:val="en-IE"/>
        </w:rPr>
        <w:t xml:space="preserve"> by </w:t>
      </w:r>
      <w:r w:rsidR="00D81CCB" w:rsidRPr="00706680">
        <w:rPr>
          <w:lang w:val="en-IE"/>
        </w:rPr>
        <w:t>four</w:t>
      </w:r>
      <w:r w:rsidRPr="00706680">
        <w:rPr>
          <w:lang w:val="en-IE"/>
        </w:rPr>
        <w:t xml:space="preserve"> serial passages in growth medium with increasing concentrations of streptomycin. T1sr has no residual virulence but induces </w:t>
      </w:r>
      <w:r w:rsidR="009B2041">
        <w:rPr>
          <w:lang w:val="en-IE"/>
        </w:rPr>
        <w:t>shorter</w:t>
      </w:r>
      <w:r w:rsidR="009B2041" w:rsidRPr="00706680">
        <w:rPr>
          <w:lang w:val="en-IE"/>
        </w:rPr>
        <w:t xml:space="preserve"> </w:t>
      </w:r>
      <w:r w:rsidRPr="00706680">
        <w:rPr>
          <w:lang w:val="en-IE"/>
        </w:rPr>
        <w:t>immunity (6 months)</w:t>
      </w:r>
    </w:p>
    <w:p w14:paraId="025B0658" w14:textId="77777777" w:rsidR="00823752" w:rsidRPr="000176E6" w:rsidRDefault="00823752" w:rsidP="00B466DC">
      <w:pPr>
        <w:pStyle w:val="111Para"/>
        <w:rPr>
          <w:u w:val="double"/>
          <w:lang w:val="en-IE"/>
        </w:rPr>
      </w:pPr>
      <w:r w:rsidRPr="00706680">
        <w:rPr>
          <w:lang w:val="en-IE"/>
        </w:rPr>
        <w:t xml:space="preserve">The master seed used for vaccine production should be as close as possible to the original vaccinal strains. Grand parental stock of these strains are kept at the OIE </w:t>
      </w:r>
      <w:r w:rsidR="00E97CE2" w:rsidRPr="00706680">
        <w:rPr>
          <w:lang w:val="en-IE"/>
        </w:rPr>
        <w:t>Reference Laboratory in</w:t>
      </w:r>
      <w:r w:rsidRPr="00706680">
        <w:rPr>
          <w:lang w:val="en-IE"/>
        </w:rPr>
        <w:t xml:space="preserve"> France and at the </w:t>
      </w:r>
      <w:r w:rsidR="00E97CE2" w:rsidRPr="00706680">
        <w:rPr>
          <w:lang w:val="en-IE"/>
        </w:rPr>
        <w:t>OIE Collaborating Centre for Quality Control of Veterinary Vaccines in Ethiopia</w:t>
      </w:r>
      <w:r w:rsidRPr="00706680">
        <w:rPr>
          <w:lang w:val="en-IE"/>
        </w:rPr>
        <w:t>.</w:t>
      </w:r>
    </w:p>
    <w:p w14:paraId="790F083A" w14:textId="77777777" w:rsidR="001D0B47" w:rsidRPr="00A50845" w:rsidRDefault="001D0B47" w:rsidP="00B466DC">
      <w:pPr>
        <w:pStyle w:val="111Para"/>
        <w:rPr>
          <w:lang w:val="en-IE"/>
        </w:rPr>
      </w:pPr>
      <w:r w:rsidRPr="00A50845">
        <w:rPr>
          <w:u w:val="double"/>
          <w:lang w:val="en-IE"/>
        </w:rPr>
        <w:t xml:space="preserve">The genome sequence of strain T1/44 </w:t>
      </w:r>
      <w:r w:rsidR="00A50845">
        <w:rPr>
          <w:u w:val="double"/>
          <w:lang w:val="en-IE"/>
        </w:rPr>
        <w:t>was</w:t>
      </w:r>
      <w:r w:rsidRPr="00A50845">
        <w:rPr>
          <w:u w:val="double"/>
          <w:lang w:val="en-IE"/>
        </w:rPr>
        <w:t xml:space="preserve"> published in 2016 (Gourgues </w:t>
      </w:r>
      <w:r w:rsidRPr="00A50845">
        <w:rPr>
          <w:i/>
          <w:u w:val="double"/>
          <w:lang w:val="en-IE"/>
        </w:rPr>
        <w:t>et al.</w:t>
      </w:r>
      <w:r w:rsidR="000176E6" w:rsidRPr="00A50845">
        <w:rPr>
          <w:i/>
          <w:u w:val="double"/>
          <w:lang w:val="en-IE"/>
        </w:rPr>
        <w:t>,</w:t>
      </w:r>
      <w:r w:rsidR="000176E6" w:rsidRPr="00A50845">
        <w:rPr>
          <w:u w:val="double"/>
          <w:lang w:val="en-IE"/>
        </w:rPr>
        <w:t xml:space="preserve"> 2016</w:t>
      </w:r>
      <w:r w:rsidRPr="00A50845">
        <w:rPr>
          <w:u w:val="double"/>
          <w:lang w:val="en-IE"/>
        </w:rPr>
        <w:t>).</w:t>
      </w:r>
    </w:p>
    <w:p w14:paraId="50BB83FF" w14:textId="77777777" w:rsidR="00823752" w:rsidRPr="00706680" w:rsidRDefault="00B466DC" w:rsidP="00B466DC">
      <w:pPr>
        <w:pStyle w:val="Style111Doublesoulign"/>
        <w:rPr>
          <w:u w:val="none"/>
          <w:lang w:val="en-IE"/>
        </w:rPr>
      </w:pPr>
      <w:r w:rsidRPr="00A50845">
        <w:rPr>
          <w:u w:val="none"/>
          <w:lang w:val="en-IE"/>
        </w:rPr>
        <w:t>2.1.2.</w:t>
      </w:r>
      <w:r w:rsidR="00823752" w:rsidRPr="00A50845">
        <w:rPr>
          <w:u w:val="none"/>
          <w:lang w:val="en-IE"/>
        </w:rPr>
        <w:tab/>
        <w:t>Quality criteria (sterility, purity, freedom from extraneous agents)</w:t>
      </w:r>
    </w:p>
    <w:p w14:paraId="44C39FD5" w14:textId="77777777" w:rsidR="00823752" w:rsidRPr="00706680" w:rsidRDefault="00823752" w:rsidP="00B466DC">
      <w:pPr>
        <w:pStyle w:val="111Para"/>
        <w:rPr>
          <w:lang w:val="en-IE"/>
        </w:rPr>
      </w:pPr>
      <w:r w:rsidRPr="00706680">
        <w:rPr>
          <w:lang w:val="en-IE"/>
        </w:rPr>
        <w:t xml:space="preserve">It is recommended to cultivate the master seed in a suitable medium that does not contain any preservative such as antibiotics </w:t>
      </w:r>
      <w:r w:rsidR="005640CC" w:rsidRPr="00706680">
        <w:rPr>
          <w:lang w:val="en-IE"/>
        </w:rPr>
        <w:t xml:space="preserve">so </w:t>
      </w:r>
      <w:r w:rsidRPr="00706680">
        <w:rPr>
          <w:lang w:val="en-IE"/>
        </w:rPr>
        <w:t xml:space="preserve">as to allow </w:t>
      </w:r>
      <w:r w:rsidR="005640CC" w:rsidRPr="00706680">
        <w:rPr>
          <w:lang w:val="en-IE"/>
        </w:rPr>
        <w:t>it to be show</w:t>
      </w:r>
      <w:r w:rsidRPr="00706680">
        <w:rPr>
          <w:lang w:val="en-IE"/>
        </w:rPr>
        <w:t xml:space="preserve">n that the master seed stock is pure. The freedom from extraneous agents should be tested according to international or national guidelines. Tests for sterility and freedom from contamination </w:t>
      </w:r>
      <w:r w:rsidR="00075C68" w:rsidRPr="00706680">
        <w:rPr>
          <w:lang w:val="en-IE"/>
        </w:rPr>
        <w:t>of biological materials</w:t>
      </w:r>
      <w:r w:rsidR="00075C68">
        <w:rPr>
          <w:lang w:val="en-IE"/>
        </w:rPr>
        <w:t xml:space="preserve"> intended for veterinary use</w:t>
      </w:r>
      <w:r w:rsidR="00075C68" w:rsidRPr="00706680">
        <w:rPr>
          <w:lang w:val="en-IE"/>
        </w:rPr>
        <w:t xml:space="preserve"> </w:t>
      </w:r>
      <w:r w:rsidRPr="00706680">
        <w:rPr>
          <w:lang w:val="en-IE"/>
        </w:rPr>
        <w:t xml:space="preserve">may be found in </w:t>
      </w:r>
      <w:r w:rsidR="00D81CCB" w:rsidRPr="00706680">
        <w:rPr>
          <w:lang w:val="en-IE"/>
        </w:rPr>
        <w:t>c</w:t>
      </w:r>
      <w:r w:rsidRPr="00706680">
        <w:rPr>
          <w:lang w:val="en-IE"/>
        </w:rPr>
        <w:t>hapter 1.1.</w:t>
      </w:r>
      <w:r w:rsidR="004F49A4">
        <w:rPr>
          <w:lang w:val="en-IE"/>
        </w:rPr>
        <w:t>9</w:t>
      </w:r>
      <w:r w:rsidR="00D81CCB" w:rsidRPr="00706680">
        <w:rPr>
          <w:lang w:val="en-IE"/>
        </w:rPr>
        <w:t>.</w:t>
      </w:r>
    </w:p>
    <w:p w14:paraId="1FD79230" w14:textId="77777777" w:rsidR="00823752" w:rsidRPr="00706680" w:rsidRDefault="00823752" w:rsidP="00B466DC">
      <w:pPr>
        <w:pStyle w:val="111Para"/>
        <w:rPr>
          <w:lang w:val="en-IE"/>
        </w:rPr>
      </w:pPr>
      <w:r w:rsidRPr="00706680">
        <w:rPr>
          <w:lang w:val="en-IE"/>
        </w:rPr>
        <w:lastRenderedPageBreak/>
        <w:t xml:space="preserve">The purity and identity of the master seed is difficult to establish by conventional microbiological techniques. Notably, the morphological aspects of mycoplasma colonies on solid medium is not typical and may vary according to the composition of the medium (percentage of serum or agar for example). In addition it has been noted that T1/44 master seed could lead to colonies of different aspects maybe in relation to hypervariable antigens. Hence, the purity of the master seed should be established after a filter-cloning procedure and </w:t>
      </w:r>
      <w:r w:rsidRPr="00A50845">
        <w:rPr>
          <w:lang w:val="en-IE"/>
        </w:rPr>
        <w:t>specific identification of at least 10</w:t>
      </w:r>
      <w:r w:rsidR="00A50845">
        <w:rPr>
          <w:lang w:val="en-IE"/>
        </w:rPr>
        <w:t> </w:t>
      </w:r>
      <w:r w:rsidRPr="00A50845">
        <w:rPr>
          <w:lang w:val="en-IE"/>
        </w:rPr>
        <w:t xml:space="preserve">individual clones. T1 strains can be identified by a specific PCR (Lorenzon </w:t>
      </w:r>
      <w:r w:rsidRPr="00A50845">
        <w:rPr>
          <w:i/>
          <w:lang w:val="en-IE"/>
        </w:rPr>
        <w:t>et al.</w:t>
      </w:r>
      <w:r w:rsidR="00C6156F" w:rsidRPr="00A50845">
        <w:rPr>
          <w:i/>
          <w:lang w:val="en-IE"/>
        </w:rPr>
        <w:t>,</w:t>
      </w:r>
      <w:r w:rsidRPr="00A50845">
        <w:rPr>
          <w:lang w:val="en-IE"/>
        </w:rPr>
        <w:t xml:space="preserve"> 2000). T1sr</w:t>
      </w:r>
      <w:r w:rsidRPr="00706680">
        <w:rPr>
          <w:lang w:val="en-IE"/>
        </w:rPr>
        <w:t xml:space="preserve"> clones can be differentiated from T1/44 by their ability to grow in the presence of streptomycin.</w:t>
      </w:r>
    </w:p>
    <w:p w14:paraId="2C0FECD1" w14:textId="77777777" w:rsidR="00823752" w:rsidRPr="00706680" w:rsidRDefault="00B466DC" w:rsidP="00B466DC">
      <w:pPr>
        <w:pStyle w:val="Style111Doublesoulign"/>
        <w:rPr>
          <w:u w:val="none"/>
          <w:lang w:val="en-IE"/>
        </w:rPr>
      </w:pPr>
      <w:r w:rsidRPr="00706680">
        <w:rPr>
          <w:u w:val="none"/>
          <w:lang w:val="en-IE"/>
        </w:rPr>
        <w:t>2.1.3.</w:t>
      </w:r>
      <w:r w:rsidRPr="00706680">
        <w:rPr>
          <w:u w:val="none"/>
          <w:lang w:val="en-IE"/>
        </w:rPr>
        <w:tab/>
      </w:r>
      <w:r w:rsidR="00823752" w:rsidRPr="00706680">
        <w:rPr>
          <w:u w:val="none"/>
          <w:lang w:val="en-IE"/>
        </w:rPr>
        <w:t xml:space="preserve">Validation as a vaccine strain </w:t>
      </w:r>
    </w:p>
    <w:p w14:paraId="79FCDC4C" w14:textId="77777777" w:rsidR="00823752" w:rsidRPr="00706680" w:rsidRDefault="00823752" w:rsidP="00B466DC">
      <w:pPr>
        <w:pStyle w:val="111Para"/>
        <w:rPr>
          <w:lang w:val="en-IE"/>
        </w:rPr>
      </w:pPr>
      <w:r w:rsidRPr="00706680">
        <w:rPr>
          <w:lang w:val="en-IE"/>
        </w:rPr>
        <w:t xml:space="preserve">Although </w:t>
      </w:r>
      <w:r w:rsidR="003163B1" w:rsidRPr="00706680">
        <w:rPr>
          <w:i/>
          <w:lang w:val="en-IE"/>
        </w:rPr>
        <w:t>Mmm</w:t>
      </w:r>
      <w:r w:rsidR="003163B1" w:rsidRPr="00903D72">
        <w:rPr>
          <w:strike/>
          <w:lang w:val="en-IE"/>
        </w:rPr>
        <w:t>SC</w:t>
      </w:r>
      <w:r w:rsidR="003163B1" w:rsidRPr="00706680">
        <w:rPr>
          <w:lang w:val="en-IE"/>
        </w:rPr>
        <w:t xml:space="preserve"> </w:t>
      </w:r>
      <w:r w:rsidRPr="00706680">
        <w:rPr>
          <w:lang w:val="en-IE"/>
        </w:rPr>
        <w:t xml:space="preserve">strains can now be subtyped by exquisite molecular markers, there is </w:t>
      </w:r>
      <w:r w:rsidR="00524400">
        <w:rPr>
          <w:lang w:val="en-IE"/>
        </w:rPr>
        <w:t xml:space="preserve">as </w:t>
      </w:r>
      <w:r w:rsidRPr="00706680">
        <w:rPr>
          <w:lang w:val="en-IE"/>
        </w:rPr>
        <w:t xml:space="preserve">yet no evidence that a single vaccine strain could not protect against all circulating </w:t>
      </w:r>
      <w:r w:rsidR="00903D72" w:rsidRPr="00706680">
        <w:rPr>
          <w:i/>
          <w:lang w:val="en-IE"/>
        </w:rPr>
        <w:t>Mmm</w:t>
      </w:r>
      <w:r w:rsidR="00903D72" w:rsidRPr="00903D72">
        <w:rPr>
          <w:strike/>
          <w:lang w:val="en-IE"/>
        </w:rPr>
        <w:t>SC</w:t>
      </w:r>
      <w:r w:rsidR="00903D72" w:rsidRPr="00706680">
        <w:rPr>
          <w:lang w:val="en-IE"/>
        </w:rPr>
        <w:t xml:space="preserve"> </w:t>
      </w:r>
      <w:r w:rsidRPr="00706680">
        <w:rPr>
          <w:lang w:val="en-IE"/>
        </w:rPr>
        <w:t>strains.</w:t>
      </w:r>
    </w:p>
    <w:p w14:paraId="749C4FA9" w14:textId="77777777" w:rsidR="00C6156F" w:rsidRPr="00706680" w:rsidRDefault="00C6156F" w:rsidP="00C6156F">
      <w:pPr>
        <w:pStyle w:val="i"/>
        <w:rPr>
          <w:lang w:val="en-IE"/>
        </w:rPr>
      </w:pPr>
      <w:r w:rsidRPr="00706680">
        <w:rPr>
          <w:lang w:val="en-IE"/>
        </w:rPr>
        <w:t>i)</w:t>
      </w:r>
      <w:r w:rsidRPr="00706680">
        <w:rPr>
          <w:lang w:val="en-IE"/>
        </w:rPr>
        <w:tab/>
        <w:t>In</w:t>
      </w:r>
      <w:r w:rsidR="00B850FA">
        <w:rPr>
          <w:lang w:val="en-IE"/>
        </w:rPr>
        <w:t>n</w:t>
      </w:r>
      <w:r w:rsidRPr="00706680">
        <w:rPr>
          <w:lang w:val="en-IE"/>
        </w:rPr>
        <w:t>ocuity</w:t>
      </w:r>
    </w:p>
    <w:p w14:paraId="2BA8F092" w14:textId="77777777" w:rsidR="00823752" w:rsidRPr="00706680" w:rsidRDefault="00C6156F" w:rsidP="00C6156F">
      <w:pPr>
        <w:pStyle w:val="afourthpara"/>
        <w:rPr>
          <w:lang w:val="en-IE"/>
        </w:rPr>
      </w:pPr>
      <w:r w:rsidRPr="00706680">
        <w:rPr>
          <w:lang w:val="en-IE"/>
        </w:rPr>
        <w:t>A</w:t>
      </w:r>
      <w:r w:rsidR="00823752" w:rsidRPr="00706680">
        <w:rPr>
          <w:lang w:val="en-IE"/>
        </w:rPr>
        <w:t xml:space="preserve">s noted above, strain T1/44 has a known residual virulence </w:t>
      </w:r>
      <w:r w:rsidRPr="00706680">
        <w:rPr>
          <w:lang w:val="en-IE"/>
        </w:rPr>
        <w:t>that</w:t>
      </w:r>
      <w:r w:rsidR="00823752" w:rsidRPr="00706680">
        <w:rPr>
          <w:lang w:val="en-IE"/>
        </w:rPr>
        <w:t xml:space="preserve"> may vary according to local conditions. Post-vaccinal reactions are characterised by a local</w:t>
      </w:r>
      <w:r w:rsidR="00D81CCB" w:rsidRPr="00706680">
        <w:rPr>
          <w:lang w:val="en-IE"/>
        </w:rPr>
        <w:t>is</w:t>
      </w:r>
      <w:r w:rsidR="00823752" w:rsidRPr="00706680">
        <w:rPr>
          <w:lang w:val="en-IE"/>
        </w:rPr>
        <w:t>ed inflammatory reaction that develops at the site of injection (Willems</w:t>
      </w:r>
      <w:r w:rsidR="005640CC" w:rsidRPr="00706680">
        <w:rPr>
          <w:lang w:val="en-IE"/>
        </w:rPr>
        <w:t>’</w:t>
      </w:r>
      <w:r w:rsidR="00823752" w:rsidRPr="00706680">
        <w:rPr>
          <w:lang w:val="en-IE"/>
        </w:rPr>
        <w:t xml:space="preserve"> reaction). It may be noticed as early as </w:t>
      </w:r>
      <w:r w:rsidR="005640CC" w:rsidRPr="00706680">
        <w:rPr>
          <w:lang w:val="en-IE"/>
        </w:rPr>
        <w:t>1</w:t>
      </w:r>
      <w:r w:rsidR="00823752" w:rsidRPr="00706680">
        <w:rPr>
          <w:lang w:val="en-IE"/>
        </w:rPr>
        <w:t xml:space="preserve"> week post</w:t>
      </w:r>
      <w:r w:rsidR="005640CC" w:rsidRPr="00706680">
        <w:rPr>
          <w:lang w:val="en-IE"/>
        </w:rPr>
        <w:t>-</w:t>
      </w:r>
      <w:r w:rsidR="00823752" w:rsidRPr="00706680">
        <w:rPr>
          <w:lang w:val="en-IE"/>
        </w:rPr>
        <w:t>injection. In many cases this local reaction will wane naturally but in some instances it may become extensive and lead to the death of the animal if no suitable antibiotic treatment is administered. The percentage of reactors being unpredictable, preliminary trials with</w:t>
      </w:r>
      <w:r w:rsidR="005640CC" w:rsidRPr="00706680">
        <w:rPr>
          <w:lang w:val="en-IE"/>
        </w:rPr>
        <w:t xml:space="preserve"> a</w:t>
      </w:r>
      <w:r w:rsidR="00823752" w:rsidRPr="00706680">
        <w:rPr>
          <w:lang w:val="en-IE"/>
        </w:rPr>
        <w:t xml:space="preserve"> few animals is not a complete guarantee of inocuity. </w:t>
      </w:r>
    </w:p>
    <w:p w14:paraId="0B21D35B" w14:textId="77777777" w:rsidR="00823752" w:rsidRPr="00706680" w:rsidRDefault="00823752" w:rsidP="00C6156F">
      <w:pPr>
        <w:pStyle w:val="afourthpara"/>
        <w:rPr>
          <w:lang w:val="en-IE"/>
        </w:rPr>
      </w:pPr>
      <w:r w:rsidRPr="00706680">
        <w:rPr>
          <w:lang w:val="en-IE"/>
        </w:rPr>
        <w:t>After reconstitution, the master seed is inoculated subcutaneously into two mice, intraperitoneally into two mice and intraperitoneally into two male guinea-pigs. None of the animals should die within the following month, and the guinea-pigs should not show signs of orchitis. Inocuity tests should be carried out on (at least two) cattle or zebu cattle. These are inoculated with ten vaccinal doses each, and observed for</w:t>
      </w:r>
      <w:r w:rsidR="00B850FA">
        <w:rPr>
          <w:lang w:val="en-IE"/>
        </w:rPr>
        <w:t xml:space="preserve"> adverse effects for at least 4 </w:t>
      </w:r>
      <w:r w:rsidRPr="00706680">
        <w:rPr>
          <w:lang w:val="en-IE"/>
        </w:rPr>
        <w:t>weeks.</w:t>
      </w:r>
    </w:p>
    <w:p w14:paraId="2BB5F405" w14:textId="77777777" w:rsidR="00C6156F" w:rsidRPr="00706680" w:rsidRDefault="00C6156F" w:rsidP="00C6156F">
      <w:pPr>
        <w:pStyle w:val="i"/>
        <w:rPr>
          <w:lang w:val="en-IE"/>
        </w:rPr>
      </w:pPr>
      <w:r w:rsidRPr="00706680">
        <w:rPr>
          <w:lang w:val="en-IE"/>
        </w:rPr>
        <w:t>ii)</w:t>
      </w:r>
      <w:r w:rsidRPr="00706680">
        <w:rPr>
          <w:lang w:val="en-IE"/>
        </w:rPr>
        <w:tab/>
      </w:r>
      <w:r w:rsidR="00823752" w:rsidRPr="00706680">
        <w:rPr>
          <w:lang w:val="en-IE"/>
        </w:rPr>
        <w:t>Immunogenicity</w:t>
      </w:r>
    </w:p>
    <w:p w14:paraId="7E5F32DD" w14:textId="77777777" w:rsidR="00823752" w:rsidRPr="00706680" w:rsidRDefault="00823752" w:rsidP="00C6156F">
      <w:pPr>
        <w:pStyle w:val="afourthpara"/>
        <w:rPr>
          <w:lang w:val="en-IE"/>
        </w:rPr>
      </w:pPr>
      <w:r w:rsidRPr="00706680">
        <w:rPr>
          <w:lang w:val="en-IE"/>
        </w:rPr>
        <w:t xml:space="preserve">For CBPP there is no susceptible laboratory animal allowing an easy control of potency. There is also no strict correlation between antibody titres after vaccination and actual protection. The only way to control the potency of a vaccine is to perform a natural challenge in the susceptible host by the </w:t>
      </w:r>
      <w:r w:rsidR="00C6156F" w:rsidRPr="00706680">
        <w:rPr>
          <w:lang w:val="en-IE"/>
        </w:rPr>
        <w:t>‘</w:t>
      </w:r>
      <w:r w:rsidRPr="00706680">
        <w:rPr>
          <w:lang w:val="en-IE"/>
        </w:rPr>
        <w:t>in-contact</w:t>
      </w:r>
      <w:r w:rsidR="00C6156F" w:rsidRPr="00706680">
        <w:rPr>
          <w:lang w:val="en-IE"/>
        </w:rPr>
        <w:t>’</w:t>
      </w:r>
      <w:r w:rsidRPr="00706680">
        <w:rPr>
          <w:lang w:val="en-IE"/>
        </w:rPr>
        <w:t xml:space="preserve"> method. The potency of the grand parental stock has been assessed. Primo-vaccination with the minimum required dose </w:t>
      </w:r>
      <w:r w:rsidR="005640CC" w:rsidRPr="00706680">
        <w:rPr>
          <w:lang w:val="en-IE"/>
        </w:rPr>
        <w:t>gave</w:t>
      </w:r>
      <w:r w:rsidRPr="00706680">
        <w:rPr>
          <w:lang w:val="en-IE"/>
        </w:rPr>
        <w:t xml:space="preserve"> a 40</w:t>
      </w:r>
      <w:r w:rsidR="00D6374C" w:rsidRPr="00706680">
        <w:rPr>
          <w:lang w:val="en-IE"/>
        </w:rPr>
        <w:t>–</w:t>
      </w:r>
      <w:r w:rsidRPr="00706680">
        <w:rPr>
          <w:lang w:val="en-IE"/>
        </w:rPr>
        <w:t>60% protection rate. Higher protection rates have been obtained after repeated vaccinations.</w:t>
      </w:r>
    </w:p>
    <w:p w14:paraId="252F3A54" w14:textId="77777777" w:rsidR="00823752" w:rsidRPr="00706680" w:rsidRDefault="00B466DC" w:rsidP="00B466DC">
      <w:pPr>
        <w:pStyle w:val="11"/>
        <w:rPr>
          <w:bCs/>
          <w:lang w:val="en-IE"/>
        </w:rPr>
      </w:pPr>
      <w:r w:rsidRPr="00706680">
        <w:rPr>
          <w:bCs/>
          <w:lang w:val="en-IE"/>
        </w:rPr>
        <w:t>2.2.</w:t>
      </w:r>
      <w:r w:rsidR="00823752" w:rsidRPr="00706680">
        <w:rPr>
          <w:bCs/>
          <w:lang w:val="en-IE"/>
        </w:rPr>
        <w:tab/>
        <w:t>Method of manufacture</w:t>
      </w:r>
    </w:p>
    <w:p w14:paraId="1FDD6DAD" w14:textId="77777777" w:rsidR="00823752" w:rsidRPr="00706680" w:rsidRDefault="00B466DC" w:rsidP="00B466DC">
      <w:pPr>
        <w:pStyle w:val="111"/>
        <w:rPr>
          <w:lang w:val="en-IE"/>
        </w:rPr>
      </w:pPr>
      <w:r w:rsidRPr="00706680">
        <w:rPr>
          <w:lang w:val="en-IE"/>
        </w:rPr>
        <w:t>2.2.1.</w:t>
      </w:r>
      <w:r w:rsidR="00823752" w:rsidRPr="00706680">
        <w:rPr>
          <w:lang w:val="en-IE"/>
        </w:rPr>
        <w:tab/>
        <w:t>Procedure</w:t>
      </w:r>
    </w:p>
    <w:p w14:paraId="0CC5526E" w14:textId="77777777" w:rsidR="00823752" w:rsidRPr="00706680" w:rsidRDefault="00823752" w:rsidP="00B466DC">
      <w:pPr>
        <w:pStyle w:val="111Para"/>
        <w:rPr>
          <w:lang w:val="en-IE"/>
        </w:rPr>
      </w:pPr>
      <w:r w:rsidRPr="00706680">
        <w:rPr>
          <w:lang w:val="en-IE"/>
        </w:rPr>
        <w:t>Vaccine bulk cultures must be obtained with a maximum of three successive passages of the master seed. A passage is defined here by a 1/100 dilution of a culture in the exponential phase of growth. For example, 0.5 ml of culture from the seed are transferred to 50 ml of fresh medium and, when turbidity is observed, these 50 ml are used to seed 5000 ml of medium, which represents the final product when the optimum titre has been reached. Each vaccine producer should then evaluate the speed of growth of the vaccine strain in the medium that is used to optimise the harvest time.</w:t>
      </w:r>
    </w:p>
    <w:p w14:paraId="08F7EB81" w14:textId="77777777" w:rsidR="00823752" w:rsidRPr="00706680" w:rsidRDefault="00823752" w:rsidP="00B466DC">
      <w:pPr>
        <w:pStyle w:val="111Para"/>
        <w:rPr>
          <w:lang w:val="en-IE"/>
        </w:rPr>
      </w:pPr>
      <w:r w:rsidRPr="00706680">
        <w:rPr>
          <w:lang w:val="en-IE"/>
        </w:rPr>
        <w:t>A stabiliser can be added to final cultures before freeze drying. The manufacturer should ensure an homogeneous distribution in the vials and use of a proper freeze dryer to have similar titres in all the vials when the freeze drying process is finished.</w:t>
      </w:r>
    </w:p>
    <w:p w14:paraId="2A12676A" w14:textId="77777777" w:rsidR="00823752" w:rsidRPr="00706680" w:rsidRDefault="00B466DC" w:rsidP="00B466DC">
      <w:pPr>
        <w:pStyle w:val="111"/>
        <w:rPr>
          <w:bCs/>
          <w:lang w:val="en-IE"/>
        </w:rPr>
      </w:pPr>
      <w:r w:rsidRPr="00706680">
        <w:rPr>
          <w:bCs/>
          <w:lang w:val="en-IE"/>
        </w:rPr>
        <w:t>2.2.2.</w:t>
      </w:r>
      <w:r w:rsidR="00823752" w:rsidRPr="00706680">
        <w:rPr>
          <w:bCs/>
          <w:lang w:val="en-IE"/>
        </w:rPr>
        <w:tab/>
        <w:t xml:space="preserve">Requirements for ingredients </w:t>
      </w:r>
    </w:p>
    <w:p w14:paraId="1F162626" w14:textId="77777777" w:rsidR="00823752" w:rsidRPr="00706680" w:rsidRDefault="00823752" w:rsidP="00B466DC">
      <w:pPr>
        <w:pStyle w:val="111Para"/>
        <w:rPr>
          <w:lang w:val="en-IE"/>
        </w:rPr>
      </w:pPr>
      <w:r w:rsidRPr="00706680">
        <w:rPr>
          <w:lang w:val="en-IE"/>
        </w:rPr>
        <w:t xml:space="preserve">A suitable sterile liquid medium allowing the growth of the vaccine strain at the requested titre is needed. It is usually composed of a </w:t>
      </w:r>
      <w:r w:rsidR="00D6374C" w:rsidRPr="00706680">
        <w:rPr>
          <w:lang w:val="en-IE"/>
        </w:rPr>
        <w:t>‘</w:t>
      </w:r>
      <w:r w:rsidRPr="00706680">
        <w:rPr>
          <w:lang w:val="en-IE"/>
        </w:rPr>
        <w:t>base</w:t>
      </w:r>
      <w:r w:rsidR="00D6374C" w:rsidRPr="00706680">
        <w:rPr>
          <w:lang w:val="en-IE"/>
        </w:rPr>
        <w:t>’</w:t>
      </w:r>
      <w:r w:rsidRPr="00706680">
        <w:rPr>
          <w:lang w:val="en-IE"/>
        </w:rPr>
        <w:t xml:space="preserve"> that can be autoclaved</w:t>
      </w:r>
      <w:r w:rsidR="00AC7E23" w:rsidRPr="00706680">
        <w:rPr>
          <w:lang w:val="en-IE"/>
        </w:rPr>
        <w:t>,</w:t>
      </w:r>
      <w:r w:rsidRPr="00706680">
        <w:rPr>
          <w:lang w:val="en-IE"/>
        </w:rPr>
        <w:t xml:space="preserve"> which is then supplemented to allow for mycoplasma growth. The base consists of a meat digest. It can be prepared in-house or bough</w:t>
      </w:r>
      <w:r w:rsidR="00D6374C" w:rsidRPr="00706680">
        <w:rPr>
          <w:lang w:val="en-IE"/>
        </w:rPr>
        <w:t>t in powder form (for example, brain–heart infusion, PPLO broth,</w:t>
      </w:r>
      <w:r w:rsidRPr="00706680">
        <w:rPr>
          <w:lang w:val="en-IE"/>
        </w:rPr>
        <w:t xml:space="preserve"> etc</w:t>
      </w:r>
      <w:r w:rsidR="00D6374C" w:rsidRPr="00706680">
        <w:rPr>
          <w:lang w:val="en-IE"/>
        </w:rPr>
        <w:t>.</w:t>
      </w:r>
      <w:r w:rsidRPr="00706680">
        <w:rPr>
          <w:lang w:val="en-IE"/>
        </w:rPr>
        <w:t>). The supplement usually consists of animal serum (</w:t>
      </w:r>
      <w:r w:rsidR="00AC7E23" w:rsidRPr="00706680">
        <w:rPr>
          <w:lang w:val="en-IE"/>
        </w:rPr>
        <w:t>often</w:t>
      </w:r>
      <w:r w:rsidRPr="00706680">
        <w:rPr>
          <w:lang w:val="en-IE"/>
        </w:rPr>
        <w:t xml:space="preserve"> horse serum at 10% final concentration), fresh yeast extract (5</w:t>
      </w:r>
      <w:r w:rsidR="00D6374C" w:rsidRPr="00706680">
        <w:rPr>
          <w:lang w:val="en-IE"/>
        </w:rPr>
        <w:t>–</w:t>
      </w:r>
      <w:r w:rsidRPr="00706680">
        <w:rPr>
          <w:lang w:val="en-IE"/>
        </w:rPr>
        <w:t xml:space="preserve">10%) and other ingredients such as glucose, glycerol, DNA, and fatty acids. However there is no specific requirement </w:t>
      </w:r>
      <w:r w:rsidR="00AC7E23" w:rsidRPr="00706680">
        <w:rPr>
          <w:lang w:val="en-IE"/>
        </w:rPr>
        <w:t>regarding</w:t>
      </w:r>
      <w:r w:rsidRPr="00706680">
        <w:rPr>
          <w:lang w:val="en-IE"/>
        </w:rPr>
        <w:t xml:space="preserve"> the composition of the medium but rather </w:t>
      </w:r>
      <w:r w:rsidR="00AC7E23" w:rsidRPr="00706680">
        <w:rPr>
          <w:lang w:val="en-IE"/>
        </w:rPr>
        <w:t xml:space="preserve">regarding </w:t>
      </w:r>
      <w:r w:rsidRPr="00706680">
        <w:rPr>
          <w:lang w:val="en-IE"/>
        </w:rPr>
        <w:t xml:space="preserve">the guarantee that all ingredients comply with quality assurance as mentioned in </w:t>
      </w:r>
      <w:r w:rsidR="00D81CCB" w:rsidRPr="00706680">
        <w:rPr>
          <w:lang w:val="en-IE"/>
        </w:rPr>
        <w:t>c</w:t>
      </w:r>
      <w:r w:rsidRPr="00706680">
        <w:rPr>
          <w:lang w:val="en-IE"/>
        </w:rPr>
        <w:t>hapter 1.1.</w:t>
      </w:r>
      <w:r w:rsidR="004F49A4">
        <w:rPr>
          <w:lang w:val="en-IE"/>
        </w:rPr>
        <w:t>8</w:t>
      </w:r>
      <w:r w:rsidR="00AC7E23" w:rsidRPr="00706680">
        <w:rPr>
          <w:lang w:val="en-IE"/>
        </w:rPr>
        <w:t>,</w:t>
      </w:r>
      <w:r w:rsidRPr="00706680">
        <w:rPr>
          <w:lang w:val="en-IE"/>
        </w:rPr>
        <w:t xml:space="preserve"> with special focus on products of biological origin as well as any national requirement.</w:t>
      </w:r>
    </w:p>
    <w:p w14:paraId="2FC25513" w14:textId="58BFA1B4" w:rsidR="00823752" w:rsidRPr="00706680" w:rsidRDefault="00823752" w:rsidP="00B466DC">
      <w:pPr>
        <w:pStyle w:val="111Para"/>
        <w:rPr>
          <w:lang w:val="en-IE"/>
        </w:rPr>
      </w:pPr>
      <w:r w:rsidRPr="00706680">
        <w:rPr>
          <w:lang w:val="en-IE"/>
        </w:rPr>
        <w:lastRenderedPageBreak/>
        <w:t xml:space="preserve">It is usually recommended that no preservative, such as penicillin or similar antibiotic, </w:t>
      </w:r>
      <w:r w:rsidR="00AC7E23" w:rsidRPr="00706680">
        <w:rPr>
          <w:lang w:val="en-IE"/>
        </w:rPr>
        <w:t>be</w:t>
      </w:r>
      <w:r w:rsidRPr="00706680">
        <w:rPr>
          <w:lang w:val="en-IE"/>
        </w:rPr>
        <w:t xml:space="preserve"> added </w:t>
      </w:r>
      <w:r w:rsidR="00AC7E23" w:rsidRPr="00706680">
        <w:rPr>
          <w:lang w:val="en-IE"/>
        </w:rPr>
        <w:t>to</w:t>
      </w:r>
      <w:r w:rsidRPr="00706680">
        <w:rPr>
          <w:lang w:val="en-IE"/>
        </w:rPr>
        <w:t xml:space="preserve"> the medium. However, strain T1sr has to be grown in a medium containing</w:t>
      </w:r>
      <w:r w:rsidR="00856085">
        <w:rPr>
          <w:lang w:val="en-IE"/>
        </w:rPr>
        <w:t xml:space="preserve"> </w:t>
      </w:r>
      <w:r w:rsidR="00856085" w:rsidRPr="00856085">
        <w:rPr>
          <w:highlight w:val="yellow"/>
          <w:u w:val="double"/>
          <w:lang w:val="en-IE"/>
        </w:rPr>
        <w:t>1 mg/ml</w:t>
      </w:r>
      <w:r w:rsidR="00856085">
        <w:rPr>
          <w:lang w:val="en-IE"/>
        </w:rPr>
        <w:t xml:space="preserve"> </w:t>
      </w:r>
      <w:r w:rsidRPr="00706680">
        <w:rPr>
          <w:lang w:val="en-IE"/>
        </w:rPr>
        <w:t xml:space="preserve">streptomycin </w:t>
      </w:r>
      <w:r w:rsidR="00AC7E23" w:rsidRPr="00706680">
        <w:rPr>
          <w:lang w:val="en-IE"/>
        </w:rPr>
        <w:t xml:space="preserve">so </w:t>
      </w:r>
      <w:r w:rsidRPr="00706680">
        <w:rPr>
          <w:lang w:val="en-IE"/>
        </w:rPr>
        <w:t>as to prevent reversion to streptomycin-sensitivity.</w:t>
      </w:r>
    </w:p>
    <w:p w14:paraId="4D468880" w14:textId="77777777" w:rsidR="00823752" w:rsidRPr="00706680" w:rsidRDefault="00B466DC" w:rsidP="00B466DC">
      <w:pPr>
        <w:pStyle w:val="111"/>
        <w:rPr>
          <w:bCs/>
          <w:lang w:val="en-IE"/>
        </w:rPr>
      </w:pPr>
      <w:r w:rsidRPr="00706680">
        <w:rPr>
          <w:bCs/>
          <w:lang w:val="en-IE"/>
        </w:rPr>
        <w:t>2.2.3.</w:t>
      </w:r>
      <w:r w:rsidR="00823752" w:rsidRPr="00706680">
        <w:rPr>
          <w:bCs/>
          <w:lang w:val="en-IE"/>
        </w:rPr>
        <w:tab/>
        <w:t xml:space="preserve">In-process controls </w:t>
      </w:r>
    </w:p>
    <w:p w14:paraId="25EF8519" w14:textId="77777777" w:rsidR="00823752" w:rsidRPr="00706680" w:rsidRDefault="00823752" w:rsidP="00B466DC">
      <w:pPr>
        <w:pStyle w:val="111Para"/>
        <w:rPr>
          <w:lang w:val="en-IE"/>
        </w:rPr>
      </w:pPr>
      <w:r w:rsidRPr="00706680">
        <w:rPr>
          <w:lang w:val="en-IE"/>
        </w:rPr>
        <w:t xml:space="preserve">It is recommended to assess the purity of the product during the production process. For example, purity can be assessed rapidly, before freeze-drying by observation under the microscope at </w:t>
      </w:r>
      <w:r w:rsidR="00D6374C" w:rsidRPr="00706680">
        <w:rPr>
          <w:lang w:val="en-IE"/>
        </w:rPr>
        <w:t>×</w:t>
      </w:r>
      <w:r w:rsidRPr="00706680">
        <w:rPr>
          <w:lang w:val="en-IE"/>
        </w:rPr>
        <w:t>40 with phase</w:t>
      </w:r>
      <w:r w:rsidR="00AC7E23" w:rsidRPr="00706680">
        <w:rPr>
          <w:lang w:val="en-IE"/>
        </w:rPr>
        <w:t>-</w:t>
      </w:r>
      <w:r w:rsidRPr="00706680">
        <w:rPr>
          <w:lang w:val="en-IE"/>
        </w:rPr>
        <w:t>contrast trans-illumination. Mycoplasmas will appear as very small grey dots, sometimes forming chains, having a Brownian agitation. Classical bacteria will appear as much bigger and bright</w:t>
      </w:r>
      <w:r w:rsidR="00AC7E23" w:rsidRPr="00706680">
        <w:rPr>
          <w:lang w:val="en-IE"/>
        </w:rPr>
        <w:t>,</w:t>
      </w:r>
      <w:r w:rsidRPr="00706680">
        <w:rPr>
          <w:lang w:val="en-IE"/>
        </w:rPr>
        <w:t xml:space="preserve"> sometimes with a noticeable mobility.</w:t>
      </w:r>
    </w:p>
    <w:p w14:paraId="70D1C774" w14:textId="77777777" w:rsidR="00823752" w:rsidRPr="00706680" w:rsidRDefault="00B466DC" w:rsidP="00B466DC">
      <w:pPr>
        <w:pStyle w:val="111"/>
        <w:rPr>
          <w:bCs/>
          <w:lang w:val="en-IE"/>
        </w:rPr>
      </w:pPr>
      <w:r w:rsidRPr="00706680">
        <w:rPr>
          <w:bCs/>
          <w:lang w:val="en-IE"/>
        </w:rPr>
        <w:t>2.2.4.</w:t>
      </w:r>
      <w:r w:rsidR="00823752" w:rsidRPr="00706680">
        <w:rPr>
          <w:bCs/>
          <w:lang w:val="en-IE"/>
        </w:rPr>
        <w:tab/>
        <w:t>Final product batch tests</w:t>
      </w:r>
    </w:p>
    <w:p w14:paraId="3ADD8FE6" w14:textId="77777777" w:rsidR="00823752" w:rsidRPr="00706680" w:rsidRDefault="00B466DC" w:rsidP="00B466DC">
      <w:pPr>
        <w:pStyle w:val="i"/>
        <w:rPr>
          <w:lang w:val="en-IE"/>
        </w:rPr>
      </w:pPr>
      <w:r w:rsidRPr="00706680">
        <w:rPr>
          <w:lang w:val="en-IE"/>
        </w:rPr>
        <w:t>i)</w:t>
      </w:r>
      <w:r w:rsidRPr="00706680">
        <w:rPr>
          <w:lang w:val="en-IE"/>
        </w:rPr>
        <w:tab/>
      </w:r>
      <w:r w:rsidR="00823752" w:rsidRPr="00706680">
        <w:rPr>
          <w:lang w:val="en-IE"/>
        </w:rPr>
        <w:t>Sterility</w:t>
      </w:r>
    </w:p>
    <w:p w14:paraId="60E62D9D" w14:textId="77777777" w:rsidR="00823752" w:rsidRPr="00706680" w:rsidRDefault="00823752" w:rsidP="00B466DC">
      <w:pPr>
        <w:pStyle w:val="afourthpara"/>
        <w:rPr>
          <w:lang w:val="en-IE"/>
        </w:rPr>
      </w:pPr>
      <w:r w:rsidRPr="00706680">
        <w:rPr>
          <w:lang w:val="en-IE"/>
        </w:rPr>
        <w:t xml:space="preserve">Tests for sterility and freedom from contamination </w:t>
      </w:r>
      <w:r w:rsidR="00287CE2" w:rsidRPr="00706680">
        <w:rPr>
          <w:lang w:val="en-IE"/>
        </w:rPr>
        <w:t>of biological materials</w:t>
      </w:r>
      <w:r w:rsidR="00287CE2">
        <w:rPr>
          <w:lang w:val="en-IE"/>
        </w:rPr>
        <w:t xml:space="preserve"> intended for veterinary use</w:t>
      </w:r>
      <w:r w:rsidR="00287CE2" w:rsidRPr="00706680">
        <w:rPr>
          <w:lang w:val="en-IE"/>
        </w:rPr>
        <w:t xml:space="preserve"> </w:t>
      </w:r>
      <w:r w:rsidRPr="00706680">
        <w:rPr>
          <w:lang w:val="en-IE"/>
        </w:rPr>
        <w:t xml:space="preserve">have to be performed according to recommendations of this </w:t>
      </w:r>
      <w:r w:rsidR="00AC7E23" w:rsidRPr="00706680">
        <w:rPr>
          <w:i/>
          <w:lang w:val="en-IE"/>
        </w:rPr>
        <w:t>Terrestrial M</w:t>
      </w:r>
      <w:r w:rsidRPr="00706680">
        <w:rPr>
          <w:i/>
          <w:lang w:val="en-IE"/>
        </w:rPr>
        <w:t>anual</w:t>
      </w:r>
      <w:r w:rsidRPr="00706680">
        <w:rPr>
          <w:lang w:val="en-IE"/>
        </w:rPr>
        <w:t xml:space="preserve"> (chapter 1.1.</w:t>
      </w:r>
      <w:r w:rsidR="004F49A4">
        <w:rPr>
          <w:lang w:val="en-IE"/>
        </w:rPr>
        <w:t>9</w:t>
      </w:r>
      <w:r w:rsidRPr="00706680">
        <w:rPr>
          <w:lang w:val="en-IE"/>
        </w:rPr>
        <w:t>) or according to National regulations.</w:t>
      </w:r>
    </w:p>
    <w:p w14:paraId="7970CFAD" w14:textId="77777777" w:rsidR="00823752" w:rsidRPr="00706680" w:rsidRDefault="00B466DC" w:rsidP="00B466DC">
      <w:pPr>
        <w:pStyle w:val="i"/>
        <w:rPr>
          <w:lang w:val="en-IE"/>
        </w:rPr>
      </w:pPr>
      <w:r w:rsidRPr="00706680">
        <w:rPr>
          <w:lang w:val="en-IE"/>
        </w:rPr>
        <w:t>ii)</w:t>
      </w:r>
      <w:r w:rsidRPr="00706680">
        <w:rPr>
          <w:lang w:val="en-IE"/>
        </w:rPr>
        <w:tab/>
      </w:r>
      <w:r w:rsidR="00823752" w:rsidRPr="00706680">
        <w:rPr>
          <w:lang w:val="en-IE"/>
        </w:rPr>
        <w:t>Identity</w:t>
      </w:r>
    </w:p>
    <w:p w14:paraId="77DC1269" w14:textId="77777777" w:rsidR="00823752" w:rsidRPr="00706680" w:rsidRDefault="00823752" w:rsidP="00B466DC">
      <w:pPr>
        <w:pStyle w:val="afourthpara"/>
        <w:rPr>
          <w:lang w:val="en-IE"/>
        </w:rPr>
      </w:pPr>
      <w:r w:rsidRPr="00706680">
        <w:rPr>
          <w:lang w:val="en-IE"/>
        </w:rPr>
        <w:t xml:space="preserve">See </w:t>
      </w:r>
      <w:r w:rsidR="00AC7E23" w:rsidRPr="00706680">
        <w:rPr>
          <w:lang w:val="en-IE"/>
        </w:rPr>
        <w:t>Section</w:t>
      </w:r>
      <w:r w:rsidRPr="00706680">
        <w:rPr>
          <w:lang w:val="en-IE"/>
        </w:rPr>
        <w:t xml:space="preserve"> C.2.</w:t>
      </w:r>
      <w:r w:rsidR="00AC7E23" w:rsidRPr="00706680">
        <w:rPr>
          <w:lang w:val="en-IE"/>
        </w:rPr>
        <w:t>1.2.</w:t>
      </w:r>
    </w:p>
    <w:p w14:paraId="50BB3C02" w14:textId="77777777" w:rsidR="00823752" w:rsidRPr="00B850FA" w:rsidRDefault="00B466DC" w:rsidP="00B466DC">
      <w:pPr>
        <w:pStyle w:val="i"/>
        <w:rPr>
          <w:strike/>
          <w:lang w:val="en-IE"/>
        </w:rPr>
      </w:pPr>
      <w:r w:rsidRPr="00B850FA">
        <w:rPr>
          <w:strike/>
          <w:lang w:val="en-IE"/>
        </w:rPr>
        <w:t>iii)</w:t>
      </w:r>
      <w:r w:rsidRPr="00B850FA">
        <w:rPr>
          <w:strike/>
          <w:lang w:val="en-IE"/>
        </w:rPr>
        <w:tab/>
      </w:r>
      <w:r w:rsidR="00823752" w:rsidRPr="00B850FA">
        <w:rPr>
          <w:strike/>
          <w:lang w:val="en-IE"/>
        </w:rPr>
        <w:t>Safety</w:t>
      </w:r>
    </w:p>
    <w:p w14:paraId="39F9E7ED" w14:textId="77777777" w:rsidR="00823752" w:rsidRPr="00B850FA" w:rsidRDefault="00823752" w:rsidP="00B466DC">
      <w:pPr>
        <w:pStyle w:val="afourthpara"/>
        <w:rPr>
          <w:strike/>
          <w:lang w:val="en-IE"/>
        </w:rPr>
      </w:pPr>
      <w:r w:rsidRPr="00B850FA">
        <w:rPr>
          <w:strike/>
          <w:lang w:val="en-IE"/>
        </w:rPr>
        <w:t>Safety tests should be carried out on (at least two) cattle or zebu cattle. These are inoculated with ten vaccinal doses each, and observed for adverse effects for at le</w:t>
      </w:r>
      <w:r w:rsidR="00AC7E23" w:rsidRPr="00B850FA">
        <w:rPr>
          <w:strike/>
          <w:lang w:val="en-IE"/>
        </w:rPr>
        <w:t>ast 4 </w:t>
      </w:r>
      <w:r w:rsidRPr="00B850FA">
        <w:rPr>
          <w:strike/>
          <w:lang w:val="en-IE"/>
        </w:rPr>
        <w:t>weeks</w:t>
      </w:r>
      <w:r w:rsidR="00AC7E23" w:rsidRPr="00B850FA">
        <w:rPr>
          <w:strike/>
          <w:lang w:val="en-IE"/>
        </w:rPr>
        <w:t>.</w:t>
      </w:r>
    </w:p>
    <w:p w14:paraId="434348B6" w14:textId="77777777" w:rsidR="00823752" w:rsidRPr="00706680" w:rsidRDefault="00B466DC" w:rsidP="00B466DC">
      <w:pPr>
        <w:pStyle w:val="i"/>
        <w:rPr>
          <w:lang w:val="en-IE"/>
        </w:rPr>
      </w:pPr>
      <w:r w:rsidRPr="00706680">
        <w:rPr>
          <w:lang w:val="en-IE"/>
        </w:rPr>
        <w:t>iv)</w:t>
      </w:r>
      <w:r w:rsidRPr="00706680">
        <w:rPr>
          <w:lang w:val="en-IE"/>
        </w:rPr>
        <w:tab/>
      </w:r>
      <w:r w:rsidR="00823752" w:rsidRPr="00706680">
        <w:rPr>
          <w:lang w:val="en-IE"/>
        </w:rPr>
        <w:t>Stability</w:t>
      </w:r>
    </w:p>
    <w:p w14:paraId="07495140" w14:textId="77777777" w:rsidR="00823752" w:rsidRPr="00706680" w:rsidRDefault="00823752" w:rsidP="00B466DC">
      <w:pPr>
        <w:pStyle w:val="afourthpara"/>
        <w:rPr>
          <w:lang w:val="en-IE"/>
        </w:rPr>
      </w:pPr>
      <w:r w:rsidRPr="00706680">
        <w:rPr>
          <w:lang w:val="en-IE"/>
        </w:rPr>
        <w:t xml:space="preserve">Freeze-dried products are considered </w:t>
      </w:r>
      <w:r w:rsidRPr="00C30248">
        <w:rPr>
          <w:strike/>
          <w:highlight w:val="yellow"/>
          <w:lang w:val="en-IE"/>
        </w:rPr>
        <w:t>highly</w:t>
      </w:r>
      <w:r w:rsidRPr="00C30248">
        <w:rPr>
          <w:strike/>
          <w:lang w:val="en-IE"/>
        </w:rPr>
        <w:t xml:space="preserve"> </w:t>
      </w:r>
      <w:r w:rsidRPr="00706680">
        <w:rPr>
          <w:lang w:val="en-IE"/>
        </w:rPr>
        <w:t xml:space="preserve">stable when stored at </w:t>
      </w:r>
      <w:r w:rsidR="00002A12" w:rsidRPr="00706680">
        <w:rPr>
          <w:lang w:val="en-IE"/>
        </w:rPr>
        <w:t>–</w:t>
      </w:r>
      <w:r w:rsidRPr="00706680">
        <w:rPr>
          <w:lang w:val="en-IE"/>
        </w:rPr>
        <w:t>20°C (i.e. several years).</w:t>
      </w:r>
    </w:p>
    <w:p w14:paraId="22BEC3A4" w14:textId="77777777" w:rsidR="00823752" w:rsidRPr="00706680" w:rsidRDefault="00823752" w:rsidP="00B466DC">
      <w:pPr>
        <w:pStyle w:val="afourthpara"/>
        <w:rPr>
          <w:lang w:val="en-IE"/>
        </w:rPr>
      </w:pPr>
      <w:r w:rsidRPr="00706680">
        <w:rPr>
          <w:lang w:val="en-IE"/>
        </w:rPr>
        <w:t>Stability may be shorter when freez</w:t>
      </w:r>
      <w:r w:rsidR="00AC7E23" w:rsidRPr="00706680">
        <w:rPr>
          <w:lang w:val="en-IE"/>
        </w:rPr>
        <w:t xml:space="preserve">e dried products are stored at </w:t>
      </w:r>
      <w:r w:rsidRPr="00706680">
        <w:rPr>
          <w:lang w:val="en-IE"/>
        </w:rPr>
        <w:t xml:space="preserve">4°C. This stability may vary </w:t>
      </w:r>
      <w:r w:rsidR="00AC7E23" w:rsidRPr="00706680">
        <w:rPr>
          <w:lang w:val="en-IE"/>
        </w:rPr>
        <w:t>for a number of reasons,</w:t>
      </w:r>
      <w:r w:rsidRPr="00706680">
        <w:rPr>
          <w:lang w:val="en-IE"/>
        </w:rPr>
        <w:t xml:space="preserve"> such as the quality of the vials, the stoppers and the freeze-drying process. It remains the responsibility of the vaccine producer to prove that its product still has the requested titre at the expiry date.</w:t>
      </w:r>
    </w:p>
    <w:p w14:paraId="0B6437AF" w14:textId="77777777" w:rsidR="00823752" w:rsidRPr="00706680" w:rsidRDefault="00823752" w:rsidP="00B466DC">
      <w:pPr>
        <w:pStyle w:val="afourthpara"/>
        <w:rPr>
          <w:lang w:val="en-IE"/>
        </w:rPr>
      </w:pPr>
      <w:r w:rsidRPr="00706680">
        <w:rPr>
          <w:lang w:val="en-IE"/>
        </w:rPr>
        <w:t>To this end it is recommended that the residual moisture of the product does not exceed 3%.</w:t>
      </w:r>
    </w:p>
    <w:p w14:paraId="1EB8E488" w14:textId="77777777" w:rsidR="00823752" w:rsidRPr="00706680" w:rsidRDefault="00B466DC" w:rsidP="00B466DC">
      <w:pPr>
        <w:pStyle w:val="i"/>
        <w:rPr>
          <w:lang w:val="en-IE"/>
        </w:rPr>
      </w:pPr>
      <w:r w:rsidRPr="00706680">
        <w:rPr>
          <w:lang w:val="en-IE"/>
        </w:rPr>
        <w:t>v)</w:t>
      </w:r>
      <w:r w:rsidRPr="00706680">
        <w:rPr>
          <w:lang w:val="en-IE"/>
        </w:rPr>
        <w:tab/>
      </w:r>
      <w:r w:rsidR="00823752" w:rsidRPr="00706680">
        <w:rPr>
          <w:lang w:val="en-IE"/>
        </w:rPr>
        <w:t xml:space="preserve">Batch potency </w:t>
      </w:r>
    </w:p>
    <w:p w14:paraId="3623F279" w14:textId="77777777" w:rsidR="00823752" w:rsidRPr="00706680" w:rsidRDefault="00002A12" w:rsidP="00B466DC">
      <w:pPr>
        <w:pStyle w:val="afourthpara"/>
        <w:rPr>
          <w:lang w:val="en-IE"/>
        </w:rPr>
      </w:pPr>
      <w:r w:rsidRPr="00706680">
        <w:rPr>
          <w:lang w:val="en-IE"/>
        </w:rPr>
        <w:t>NB</w:t>
      </w:r>
      <w:r w:rsidR="00823752" w:rsidRPr="00706680">
        <w:rPr>
          <w:lang w:val="en-IE"/>
        </w:rPr>
        <w:t>: Potency tests are not performed routinely with production batches as there is no laboratory animal that would allow this test to be performed at low cost. Potency tests in cattle are also not performed because of the cost. Getting statistically significant protection rates would involve using at least 50 naïve animals.</w:t>
      </w:r>
    </w:p>
    <w:p w14:paraId="1C19E739" w14:textId="77777777" w:rsidR="00823752" w:rsidRPr="00706680" w:rsidRDefault="00823752" w:rsidP="00B466DC">
      <w:pPr>
        <w:pStyle w:val="afourthpara"/>
        <w:rPr>
          <w:lang w:val="en-IE"/>
        </w:rPr>
      </w:pPr>
      <w:r w:rsidRPr="00706680">
        <w:rPr>
          <w:lang w:val="en-IE"/>
        </w:rPr>
        <w:t>Potency of the final product is ensured by using a master seed lot of well known origin for which the potency test has already been performed, by strictly following the production standard protocols (avoiding multiple passages) and by ensuring that the final titres are correct.</w:t>
      </w:r>
    </w:p>
    <w:p w14:paraId="28C83253" w14:textId="77777777" w:rsidR="00823752" w:rsidRPr="00706680" w:rsidRDefault="00823752" w:rsidP="00B466DC">
      <w:pPr>
        <w:pStyle w:val="afourthpara"/>
        <w:rPr>
          <w:lang w:val="en-IE"/>
        </w:rPr>
      </w:pPr>
      <w:r w:rsidRPr="00706680">
        <w:rPr>
          <w:lang w:val="en-IE"/>
        </w:rPr>
        <w:t>The minimum titre is 10</w:t>
      </w:r>
      <w:r w:rsidR="00C6156F" w:rsidRPr="00C44BA7">
        <w:rPr>
          <w:szCs w:val="14"/>
          <w:vertAlign w:val="superscript"/>
          <w:lang w:val="en-IE"/>
        </w:rPr>
        <w:t>7</w:t>
      </w:r>
      <w:r w:rsidRPr="00706680">
        <w:rPr>
          <w:lang w:val="en-IE"/>
        </w:rPr>
        <w:t xml:space="preserve"> live mycoplasmas per vaccine dose, but higher titres are recommended because of the loss of titre between production plant and actual injection </w:t>
      </w:r>
      <w:r w:rsidR="00AC7E23" w:rsidRPr="00706680">
        <w:rPr>
          <w:lang w:val="en-IE"/>
        </w:rPr>
        <w:t>in</w:t>
      </w:r>
      <w:r w:rsidRPr="00706680">
        <w:rPr>
          <w:lang w:val="en-IE"/>
        </w:rPr>
        <w:t>to animals. Titration is performed after reconstitution of the freeze-dried vaccine in the diluent recommended for vaccination and</w:t>
      </w:r>
      <w:r w:rsidR="00AC7E23" w:rsidRPr="00706680">
        <w:rPr>
          <w:lang w:val="en-IE"/>
        </w:rPr>
        <w:t>,</w:t>
      </w:r>
      <w:r w:rsidRPr="00706680">
        <w:rPr>
          <w:lang w:val="en-IE"/>
        </w:rPr>
        <w:t xml:space="preserve"> preferably</w:t>
      </w:r>
      <w:r w:rsidR="00AC7E23" w:rsidRPr="00706680">
        <w:rPr>
          <w:lang w:val="en-IE"/>
        </w:rPr>
        <w:t>,</w:t>
      </w:r>
      <w:r w:rsidRPr="00706680">
        <w:rPr>
          <w:lang w:val="en-IE"/>
        </w:rPr>
        <w:t xml:space="preserve"> with the diluent provided by the vaccine manufacturer. Titrations should be performed on at least three vials per batch. This titre must be evaluated with a titration technique that allows a precision of </w:t>
      </w:r>
      <w:r w:rsidR="00002A12" w:rsidRPr="00706680">
        <w:rPr>
          <w:lang w:val="en-IE"/>
        </w:rPr>
        <w:t>±</w:t>
      </w:r>
      <w:r w:rsidRPr="00706680">
        <w:rPr>
          <w:lang w:val="en-IE"/>
        </w:rPr>
        <w:t xml:space="preserve">0.25 logs. A batch passes the test if three vials chosen randomly have titres </w:t>
      </w:r>
      <w:r w:rsidR="00AC7E23" w:rsidRPr="00706680">
        <w:rPr>
          <w:lang w:val="en-IE"/>
        </w:rPr>
        <w:t xml:space="preserve">of </w:t>
      </w:r>
      <w:r w:rsidRPr="00706680">
        <w:rPr>
          <w:lang w:val="en-IE"/>
        </w:rPr>
        <w:t>at least of 10</w:t>
      </w:r>
      <w:r w:rsidRPr="00C44BA7">
        <w:rPr>
          <w:szCs w:val="14"/>
          <w:vertAlign w:val="superscript"/>
          <w:lang w:val="en-IE"/>
        </w:rPr>
        <w:t>7</w:t>
      </w:r>
      <w:r w:rsidRPr="00706680">
        <w:rPr>
          <w:lang w:val="en-IE"/>
        </w:rPr>
        <w:t xml:space="preserve"> live mycoplasmas per vaccine dose. </w:t>
      </w:r>
      <w:r w:rsidR="00AC7E23" w:rsidRPr="00706680">
        <w:rPr>
          <w:lang w:val="en-IE"/>
        </w:rPr>
        <w:t>M</w:t>
      </w:r>
      <w:r w:rsidRPr="00706680">
        <w:rPr>
          <w:lang w:val="en-IE"/>
        </w:rPr>
        <w:t>anufacturer</w:t>
      </w:r>
      <w:r w:rsidR="00AC7E23" w:rsidRPr="00706680">
        <w:rPr>
          <w:lang w:val="en-IE"/>
        </w:rPr>
        <w:t>s</w:t>
      </w:r>
      <w:r w:rsidRPr="00706680">
        <w:rPr>
          <w:lang w:val="en-IE"/>
        </w:rPr>
        <w:t xml:space="preserve"> must ensure that their production processes are able to yield homogeneous batches with minimal variations from one vial to another. In th</w:t>
      </w:r>
      <w:r w:rsidR="00AC7E23" w:rsidRPr="00706680">
        <w:rPr>
          <w:lang w:val="en-IE"/>
        </w:rPr>
        <w:t>is</w:t>
      </w:r>
      <w:r w:rsidRPr="00706680">
        <w:rPr>
          <w:lang w:val="en-IE"/>
        </w:rPr>
        <w:t xml:space="preserve"> case, three vials are enough to assess the batch titre. Otherwise, sampling frames must be put in place to ensure that the sample number is sufficient to validly represent the vaccine batch. The manufacturer must also ensure that the minimum titre is retained until the expiry date if the product is kept at the correct temperature.</w:t>
      </w:r>
    </w:p>
    <w:p w14:paraId="233F71F8" w14:textId="77777777" w:rsidR="00823752" w:rsidRPr="00706680" w:rsidRDefault="00B466DC" w:rsidP="00243B60">
      <w:pPr>
        <w:pStyle w:val="11"/>
        <w:keepNext/>
        <w:rPr>
          <w:bCs/>
          <w:lang w:val="en-IE"/>
        </w:rPr>
      </w:pPr>
      <w:r w:rsidRPr="00706680">
        <w:rPr>
          <w:bCs/>
          <w:lang w:val="en-IE"/>
        </w:rPr>
        <w:lastRenderedPageBreak/>
        <w:t>2.3.</w:t>
      </w:r>
      <w:r w:rsidR="00823752" w:rsidRPr="00706680">
        <w:rPr>
          <w:bCs/>
          <w:lang w:val="en-IE"/>
        </w:rPr>
        <w:tab/>
        <w:t>Requirements for authorisation/registration/licensing</w:t>
      </w:r>
    </w:p>
    <w:p w14:paraId="54040C70" w14:textId="77777777" w:rsidR="00823752" w:rsidRPr="00706680" w:rsidRDefault="00B466DC" w:rsidP="00B466DC">
      <w:pPr>
        <w:pStyle w:val="111"/>
        <w:rPr>
          <w:bCs/>
          <w:lang w:val="en-IE"/>
        </w:rPr>
      </w:pPr>
      <w:r w:rsidRPr="00706680">
        <w:rPr>
          <w:bCs/>
          <w:lang w:val="en-IE"/>
        </w:rPr>
        <w:t>2.3.1.</w:t>
      </w:r>
      <w:r w:rsidR="00823752" w:rsidRPr="00706680">
        <w:rPr>
          <w:bCs/>
          <w:lang w:val="en-IE"/>
        </w:rPr>
        <w:tab/>
        <w:t xml:space="preserve">Manufacturing process </w:t>
      </w:r>
    </w:p>
    <w:p w14:paraId="3A5DFA42" w14:textId="77777777" w:rsidR="00823752" w:rsidRPr="00706680" w:rsidRDefault="00823752" w:rsidP="004F62F3">
      <w:pPr>
        <w:pStyle w:val="111Para"/>
        <w:rPr>
          <w:lang w:val="en-IE"/>
        </w:rPr>
      </w:pPr>
      <w:r w:rsidRPr="00706680">
        <w:rPr>
          <w:lang w:val="en-IE"/>
        </w:rPr>
        <w:t>For registration of vaccine, all relevant details concerning manufacture of the vaccine and quality control testing (see Section</w:t>
      </w:r>
      <w:r w:rsidR="00AC7E23" w:rsidRPr="00706680">
        <w:rPr>
          <w:lang w:val="en-IE"/>
        </w:rPr>
        <w:t>s</w:t>
      </w:r>
      <w:r w:rsidRPr="00706680">
        <w:rPr>
          <w:lang w:val="en-IE"/>
        </w:rPr>
        <w:t xml:space="preserve"> C.2.</w:t>
      </w:r>
      <w:r w:rsidR="00AC7E23" w:rsidRPr="00706680">
        <w:rPr>
          <w:lang w:val="en-IE"/>
        </w:rPr>
        <w:t>2.1</w:t>
      </w:r>
      <w:r w:rsidRPr="00706680">
        <w:rPr>
          <w:lang w:val="en-IE"/>
        </w:rPr>
        <w:t xml:space="preserve"> and </w:t>
      </w:r>
      <w:r w:rsidR="00AC7E23" w:rsidRPr="00706680">
        <w:rPr>
          <w:lang w:val="en-IE"/>
        </w:rPr>
        <w:t>C.2.2.2</w:t>
      </w:r>
      <w:r w:rsidRPr="00706680">
        <w:rPr>
          <w:lang w:val="en-IE"/>
        </w:rPr>
        <w:t>) should be submitted to the authorities. This information shall be provided from three consecutive vaccine batches with a volume not less than 1/3 of the typical industrial batch volume.</w:t>
      </w:r>
    </w:p>
    <w:p w14:paraId="42567A16" w14:textId="77777777" w:rsidR="00823752" w:rsidRPr="00706680" w:rsidRDefault="00823752" w:rsidP="004F62F3">
      <w:pPr>
        <w:pStyle w:val="111Para"/>
        <w:rPr>
          <w:lang w:val="en-IE"/>
        </w:rPr>
      </w:pPr>
      <w:r w:rsidRPr="00706680">
        <w:rPr>
          <w:lang w:val="en-IE"/>
        </w:rPr>
        <w:t xml:space="preserve">In-process controls are part of the manufacturing process. </w:t>
      </w:r>
    </w:p>
    <w:p w14:paraId="0A967C1B" w14:textId="77777777" w:rsidR="00823752" w:rsidRPr="00706680" w:rsidRDefault="00B466DC" w:rsidP="004F62F3">
      <w:pPr>
        <w:pStyle w:val="111"/>
        <w:rPr>
          <w:bCs/>
          <w:lang w:val="en-IE"/>
        </w:rPr>
      </w:pPr>
      <w:r w:rsidRPr="00706680">
        <w:rPr>
          <w:bCs/>
          <w:lang w:val="en-IE"/>
        </w:rPr>
        <w:t>2.3.2.</w:t>
      </w:r>
      <w:r w:rsidR="00823752" w:rsidRPr="00706680">
        <w:rPr>
          <w:bCs/>
          <w:lang w:val="en-IE"/>
        </w:rPr>
        <w:tab/>
        <w:t>Safety requirements</w:t>
      </w:r>
    </w:p>
    <w:p w14:paraId="4A23D0AE" w14:textId="77777777" w:rsidR="00823752" w:rsidRPr="00706680" w:rsidRDefault="00B466DC" w:rsidP="004F62F3">
      <w:pPr>
        <w:pStyle w:val="i"/>
        <w:rPr>
          <w:lang w:val="en-IE"/>
        </w:rPr>
      </w:pPr>
      <w:r w:rsidRPr="00706680">
        <w:rPr>
          <w:lang w:val="en-IE"/>
        </w:rPr>
        <w:t>i)</w:t>
      </w:r>
      <w:r w:rsidRPr="00706680">
        <w:rPr>
          <w:lang w:val="en-IE"/>
        </w:rPr>
        <w:tab/>
      </w:r>
      <w:r w:rsidR="00823752" w:rsidRPr="00706680">
        <w:rPr>
          <w:lang w:val="en-IE"/>
        </w:rPr>
        <w:t xml:space="preserve">Target and non-target animal safety </w:t>
      </w:r>
    </w:p>
    <w:p w14:paraId="5B0977E1" w14:textId="77777777" w:rsidR="00823752" w:rsidRPr="00706680" w:rsidRDefault="00823752" w:rsidP="004F62F3">
      <w:pPr>
        <w:pStyle w:val="afourthpara"/>
        <w:rPr>
          <w:lang w:val="en-IE"/>
        </w:rPr>
      </w:pPr>
      <w:r w:rsidRPr="00706680">
        <w:rPr>
          <w:lang w:val="en-IE"/>
        </w:rPr>
        <w:t xml:space="preserve">Safety has to be ascertained for target animals solely (i.e. the </w:t>
      </w:r>
      <w:r w:rsidRPr="00706680">
        <w:rPr>
          <w:i/>
          <w:lang w:val="en-IE"/>
        </w:rPr>
        <w:t>Bos</w:t>
      </w:r>
      <w:r w:rsidRPr="00706680">
        <w:rPr>
          <w:lang w:val="en-IE"/>
        </w:rPr>
        <w:t xml:space="preserve"> genus)</w:t>
      </w:r>
      <w:r w:rsidR="00AC7E23" w:rsidRPr="00706680">
        <w:rPr>
          <w:lang w:val="en-IE"/>
        </w:rPr>
        <w:t>.</w:t>
      </w:r>
    </w:p>
    <w:p w14:paraId="1548D652" w14:textId="77777777" w:rsidR="00823752" w:rsidRPr="00706680" w:rsidRDefault="00B466DC" w:rsidP="004F62F3">
      <w:pPr>
        <w:pStyle w:val="i"/>
        <w:rPr>
          <w:lang w:val="en-IE"/>
        </w:rPr>
      </w:pPr>
      <w:r w:rsidRPr="00706680">
        <w:rPr>
          <w:lang w:val="en-IE"/>
        </w:rPr>
        <w:t>ii)</w:t>
      </w:r>
      <w:r w:rsidRPr="00706680">
        <w:rPr>
          <w:lang w:val="en-IE"/>
        </w:rPr>
        <w:tab/>
      </w:r>
      <w:r w:rsidR="00823752" w:rsidRPr="00706680">
        <w:rPr>
          <w:lang w:val="en-IE"/>
        </w:rPr>
        <w:t xml:space="preserve">Reversion-to-virulence for attenuated/live vaccines and environmental considerations </w:t>
      </w:r>
    </w:p>
    <w:p w14:paraId="2652CAA1" w14:textId="77777777" w:rsidR="00823752" w:rsidRPr="00706680" w:rsidRDefault="00823752" w:rsidP="004F62F3">
      <w:pPr>
        <w:pStyle w:val="afourthpara"/>
        <w:rPr>
          <w:lang w:val="en-IE"/>
        </w:rPr>
      </w:pPr>
      <w:r w:rsidRPr="00706680">
        <w:rPr>
          <w:lang w:val="en-IE"/>
        </w:rPr>
        <w:t>T1/44 strains are known to induce post-vaccinal reactions in some animals vaccinated for the first time. Adequate warnings must be included in the leaflet describing this vaccine, including the recommended antibiotic treatment to be put in place. Local subcutaneous reactions should not be considered as a hazard to naïve cattle as there is normally no shedding, however, in</w:t>
      </w:r>
      <w:r w:rsidR="00AC7E23" w:rsidRPr="00706680">
        <w:rPr>
          <w:lang w:val="en-IE"/>
        </w:rPr>
        <w:t xml:space="preserve"> the absence of reliable data,</w:t>
      </w:r>
      <w:r w:rsidRPr="00706680">
        <w:rPr>
          <w:lang w:val="en-IE"/>
        </w:rPr>
        <w:t xml:space="preserve"> surveillance should be put in place in cattle herds where post-vaccinal reactions have been observed.</w:t>
      </w:r>
    </w:p>
    <w:p w14:paraId="513436DD" w14:textId="77777777" w:rsidR="00823752" w:rsidRPr="00706680" w:rsidRDefault="00B466DC" w:rsidP="004F62F3">
      <w:pPr>
        <w:pStyle w:val="i"/>
        <w:rPr>
          <w:lang w:val="en-IE"/>
        </w:rPr>
      </w:pPr>
      <w:r w:rsidRPr="00706680">
        <w:rPr>
          <w:lang w:val="en-IE"/>
        </w:rPr>
        <w:t>iii)</w:t>
      </w:r>
      <w:r w:rsidRPr="00706680">
        <w:rPr>
          <w:lang w:val="en-IE"/>
        </w:rPr>
        <w:tab/>
      </w:r>
      <w:r w:rsidR="00823752" w:rsidRPr="00706680">
        <w:rPr>
          <w:lang w:val="en-IE"/>
        </w:rPr>
        <w:t>Precautions (hazards)</w:t>
      </w:r>
    </w:p>
    <w:p w14:paraId="5B2994D9" w14:textId="77777777" w:rsidR="00823752" w:rsidRPr="00706680" w:rsidRDefault="00823752" w:rsidP="004F62F3">
      <w:pPr>
        <w:pStyle w:val="afourthpara"/>
        <w:rPr>
          <w:lang w:val="en-IE"/>
        </w:rPr>
      </w:pPr>
      <w:r w:rsidRPr="00706680">
        <w:rPr>
          <w:lang w:val="en-IE"/>
        </w:rPr>
        <w:t>CBPP vaccines based on T1/44 or T1sr strains and satisfying quality controls are harmless to humans.</w:t>
      </w:r>
    </w:p>
    <w:p w14:paraId="65403D7E" w14:textId="77777777" w:rsidR="00823752" w:rsidRPr="00706680" w:rsidRDefault="00B466DC" w:rsidP="00B466DC">
      <w:pPr>
        <w:pStyle w:val="111"/>
        <w:rPr>
          <w:bCs/>
          <w:lang w:val="en-IE"/>
        </w:rPr>
      </w:pPr>
      <w:r w:rsidRPr="00706680">
        <w:rPr>
          <w:bCs/>
          <w:lang w:val="en-IE"/>
        </w:rPr>
        <w:t>2.3.3.</w:t>
      </w:r>
      <w:r w:rsidR="00823752" w:rsidRPr="00706680">
        <w:rPr>
          <w:bCs/>
          <w:lang w:val="en-IE"/>
        </w:rPr>
        <w:tab/>
        <w:t>Efficacy requirements</w:t>
      </w:r>
    </w:p>
    <w:p w14:paraId="6C8403DB" w14:textId="77777777" w:rsidR="00823752" w:rsidRPr="00706680" w:rsidRDefault="00AC7E23" w:rsidP="00C6156F">
      <w:pPr>
        <w:pStyle w:val="111Para"/>
        <w:rPr>
          <w:lang w:val="en-IE"/>
        </w:rPr>
      </w:pPr>
      <w:r w:rsidRPr="00706680">
        <w:rPr>
          <w:lang w:val="en-IE"/>
        </w:rPr>
        <w:t>As a result of</w:t>
      </w:r>
      <w:r w:rsidR="00823752" w:rsidRPr="00706680">
        <w:rPr>
          <w:lang w:val="en-IE"/>
        </w:rPr>
        <w:t xml:space="preserve"> the very high cost of efficacy testing in cattle for CBPP only indirect assurance will be sought. Vaccine producers must ensure that each batch has been issued from a reference grand-parental stock of known origin and characteristic</w:t>
      </w:r>
      <w:r w:rsidRPr="00706680">
        <w:rPr>
          <w:lang w:val="en-IE"/>
        </w:rPr>
        <w:t>s</w:t>
      </w:r>
      <w:r w:rsidR="00823752" w:rsidRPr="00706680">
        <w:rPr>
          <w:lang w:val="en-IE"/>
        </w:rPr>
        <w:t>, that it has been produced according to good manufacturing practices and</w:t>
      </w:r>
      <w:r w:rsidRPr="00706680">
        <w:rPr>
          <w:lang w:val="en-IE"/>
        </w:rPr>
        <w:t>,</w:t>
      </w:r>
      <w:r w:rsidR="00823752" w:rsidRPr="00706680">
        <w:rPr>
          <w:lang w:val="en-IE"/>
        </w:rPr>
        <w:t xml:space="preserve"> more specifically</w:t>
      </w:r>
      <w:r w:rsidRPr="00706680">
        <w:rPr>
          <w:lang w:val="en-IE"/>
        </w:rPr>
        <w:t>,</w:t>
      </w:r>
      <w:r w:rsidR="00823752" w:rsidRPr="00706680">
        <w:rPr>
          <w:lang w:val="en-IE"/>
        </w:rPr>
        <w:t xml:space="preserve"> that the final product has not been obtained with procedures that may have induced a drift from the original master seed.</w:t>
      </w:r>
    </w:p>
    <w:p w14:paraId="1F94D6C8" w14:textId="77777777" w:rsidR="00823752" w:rsidRPr="00706680" w:rsidRDefault="00823752" w:rsidP="00C6156F">
      <w:pPr>
        <w:pStyle w:val="111Para"/>
        <w:rPr>
          <w:lang w:val="en-IE"/>
        </w:rPr>
      </w:pPr>
      <w:r w:rsidRPr="00706680">
        <w:rPr>
          <w:lang w:val="en-IE"/>
        </w:rPr>
        <w:t>It has also to be reminded that complete protection of cattle herds are obtained only after repeated vaccinations.</w:t>
      </w:r>
    </w:p>
    <w:p w14:paraId="2C0071A0" w14:textId="77777777" w:rsidR="00823752" w:rsidRPr="00706680" w:rsidRDefault="00B466DC" w:rsidP="00B466DC">
      <w:pPr>
        <w:pStyle w:val="111"/>
        <w:rPr>
          <w:bCs/>
          <w:lang w:val="en-IE"/>
        </w:rPr>
      </w:pPr>
      <w:r w:rsidRPr="00706680">
        <w:rPr>
          <w:bCs/>
          <w:lang w:val="en-IE"/>
        </w:rPr>
        <w:t>2.3.4.</w:t>
      </w:r>
      <w:r w:rsidR="00823752" w:rsidRPr="00706680">
        <w:rPr>
          <w:bCs/>
          <w:lang w:val="en-IE"/>
        </w:rPr>
        <w:tab/>
        <w:t>Vaccines permitting a DIVA strategy (detection of infection in vaccinated animals)</w:t>
      </w:r>
    </w:p>
    <w:p w14:paraId="2813DF18" w14:textId="77777777" w:rsidR="00823752" w:rsidRPr="00706680" w:rsidRDefault="00823752" w:rsidP="00C6156F">
      <w:pPr>
        <w:pStyle w:val="111Para"/>
        <w:rPr>
          <w:lang w:val="en-IE"/>
        </w:rPr>
      </w:pPr>
      <w:r w:rsidRPr="00706680">
        <w:rPr>
          <w:lang w:val="en-IE"/>
        </w:rPr>
        <w:t>Not applicable to actual CBPP vaccines</w:t>
      </w:r>
      <w:r w:rsidR="00AC7E23" w:rsidRPr="00706680">
        <w:rPr>
          <w:lang w:val="en-IE"/>
        </w:rPr>
        <w:t>.</w:t>
      </w:r>
    </w:p>
    <w:p w14:paraId="1D6258A3" w14:textId="77777777" w:rsidR="00823752" w:rsidRPr="00706680" w:rsidRDefault="00B466DC" w:rsidP="00B466DC">
      <w:pPr>
        <w:pStyle w:val="111"/>
        <w:rPr>
          <w:bCs/>
          <w:lang w:val="en-IE"/>
        </w:rPr>
      </w:pPr>
      <w:r w:rsidRPr="00706680">
        <w:rPr>
          <w:bCs/>
          <w:lang w:val="en-IE"/>
        </w:rPr>
        <w:t>2.3.5.</w:t>
      </w:r>
      <w:r w:rsidR="00823752" w:rsidRPr="00706680">
        <w:rPr>
          <w:bCs/>
          <w:lang w:val="en-IE"/>
        </w:rPr>
        <w:tab/>
        <w:t>Duration of immunity</w:t>
      </w:r>
    </w:p>
    <w:p w14:paraId="60EF328A" w14:textId="77777777" w:rsidR="00823752" w:rsidRPr="00706680" w:rsidRDefault="00823752" w:rsidP="00C6156F">
      <w:pPr>
        <w:pStyle w:val="111Para"/>
        <w:rPr>
          <w:lang w:val="en-IE"/>
        </w:rPr>
      </w:pPr>
      <w:r w:rsidRPr="00706680">
        <w:rPr>
          <w:lang w:val="en-IE"/>
        </w:rPr>
        <w:t>Not required to actual CBPP vaccines</w:t>
      </w:r>
      <w:r w:rsidR="00AC7E23" w:rsidRPr="00706680">
        <w:rPr>
          <w:lang w:val="en-IE"/>
        </w:rPr>
        <w:t>.</w:t>
      </w:r>
    </w:p>
    <w:p w14:paraId="5372C35B" w14:textId="77777777" w:rsidR="00823752" w:rsidRPr="00706680" w:rsidRDefault="00B466DC" w:rsidP="00B466DC">
      <w:pPr>
        <w:pStyle w:val="111"/>
        <w:rPr>
          <w:bCs/>
          <w:lang w:val="en-IE"/>
        </w:rPr>
      </w:pPr>
      <w:r w:rsidRPr="00706680">
        <w:rPr>
          <w:bCs/>
          <w:lang w:val="en-IE"/>
        </w:rPr>
        <w:t>2.3.6.</w:t>
      </w:r>
      <w:r w:rsidR="00823752" w:rsidRPr="00706680">
        <w:rPr>
          <w:bCs/>
          <w:lang w:val="en-IE"/>
        </w:rPr>
        <w:tab/>
        <w:t>Stability</w:t>
      </w:r>
    </w:p>
    <w:p w14:paraId="74BD511F" w14:textId="77777777" w:rsidR="00823752" w:rsidRPr="00706680" w:rsidRDefault="00823752" w:rsidP="0002611F">
      <w:pPr>
        <w:pStyle w:val="111Para"/>
        <w:spacing w:after="480"/>
        <w:rPr>
          <w:lang w:val="en-IE"/>
        </w:rPr>
      </w:pPr>
      <w:r w:rsidRPr="00706680">
        <w:rPr>
          <w:lang w:val="en-IE"/>
        </w:rPr>
        <w:t>As part of the registration/licensing procedure, the manufacturer should be required to demonstrate the stability of the vaccine’s titre at the end of the claimed shelf-life period. Storage temperature shall be indicated for the freeze-dried product and also for the final product once reconstituted in the appropriate diluents. Warnings should be given if product is damaged by improper vaccine temperatures.</w:t>
      </w:r>
    </w:p>
    <w:p w14:paraId="1DDE1504" w14:textId="77777777" w:rsidR="00093494" w:rsidRPr="00706680" w:rsidRDefault="00093494" w:rsidP="00E420C2">
      <w:pPr>
        <w:pStyle w:val="A0"/>
        <w:spacing w:after="200"/>
        <w:outlineLvl w:val="0"/>
        <w:rPr>
          <w:sz w:val="22"/>
          <w:lang w:val="en-IE"/>
        </w:rPr>
      </w:pPr>
      <w:r w:rsidRPr="00706680">
        <w:rPr>
          <w:sz w:val="22"/>
          <w:lang w:val="en-IE"/>
        </w:rPr>
        <w:t>REFERENCES</w:t>
      </w:r>
    </w:p>
    <w:p w14:paraId="6BD8EC94" w14:textId="77777777" w:rsidR="00093494" w:rsidRPr="000176E6" w:rsidRDefault="00093494" w:rsidP="000176E6">
      <w:pPr>
        <w:pStyle w:val="Ref"/>
      </w:pPr>
      <w:r w:rsidRPr="000176E6">
        <w:rPr>
          <w:smallCaps/>
        </w:rPr>
        <w:t>Amanfu W., Sediadie S., Masupu K.V., Benkirane A., Geiger R. &amp; Thiaucourt F.</w:t>
      </w:r>
      <w:r w:rsidRPr="000176E6">
        <w:t xml:space="preserve"> (1998). Field validation of a competitive ELISA for the detection of contagious bovine pleuropneumonia in Botswana. </w:t>
      </w:r>
      <w:r w:rsidRPr="00E03964">
        <w:rPr>
          <w:i/>
        </w:rPr>
        <w:t>Rev. Elev. Med. Vet. Pays Trop</w:t>
      </w:r>
      <w:r w:rsidRPr="000176E6">
        <w:t xml:space="preserve">., </w:t>
      </w:r>
      <w:r w:rsidRPr="00E03964">
        <w:rPr>
          <w:b/>
        </w:rPr>
        <w:t>51</w:t>
      </w:r>
      <w:r w:rsidRPr="000176E6">
        <w:t>, 189–193.</w:t>
      </w:r>
    </w:p>
    <w:p w14:paraId="7BF8D775" w14:textId="77777777" w:rsidR="00093494" w:rsidRPr="00A304D2" w:rsidRDefault="00093494" w:rsidP="000176E6">
      <w:pPr>
        <w:pStyle w:val="Ref"/>
        <w:rPr>
          <w:lang w:val="fr-FR"/>
        </w:rPr>
      </w:pPr>
      <w:r w:rsidRPr="000176E6">
        <w:rPr>
          <w:smallCaps/>
        </w:rPr>
        <w:t>Bashiruddin J. B., Nicholas R. A. J., Santini F. G., Ready R. A., Woodward M.J. &amp; Taylor T. K.</w:t>
      </w:r>
      <w:r w:rsidRPr="000176E6">
        <w:t xml:space="preserve"> (1994). Use of the polymerase chain reaction to detect </w:t>
      </w:r>
      <w:r w:rsidRPr="00E03964">
        <w:rPr>
          <w:i/>
        </w:rPr>
        <w:t>Mycoplasma</w:t>
      </w:r>
      <w:r w:rsidRPr="000176E6">
        <w:t xml:space="preserve"> DNA in cattle with contagious pleuropneumonia. </w:t>
      </w:r>
      <w:r w:rsidRPr="00A304D2">
        <w:rPr>
          <w:i/>
          <w:lang w:val="fr-FR"/>
        </w:rPr>
        <w:t>Vet. Rec.,</w:t>
      </w:r>
      <w:r w:rsidRPr="00A304D2">
        <w:rPr>
          <w:lang w:val="fr-FR"/>
        </w:rPr>
        <w:t xml:space="preserve"> </w:t>
      </w:r>
      <w:r w:rsidRPr="00A304D2">
        <w:rPr>
          <w:b/>
          <w:lang w:val="fr-FR"/>
        </w:rPr>
        <w:t>134</w:t>
      </w:r>
      <w:r w:rsidRPr="00A304D2">
        <w:rPr>
          <w:lang w:val="fr-FR"/>
        </w:rPr>
        <w:t>, 240–241.</w:t>
      </w:r>
    </w:p>
    <w:p w14:paraId="146EA0B6" w14:textId="77777777" w:rsidR="008B3716" w:rsidRPr="00A15E3A" w:rsidRDefault="008B3716" w:rsidP="000176E6">
      <w:pPr>
        <w:pStyle w:val="Ref"/>
        <w:rPr>
          <w:lang w:val="fr-FR"/>
        </w:rPr>
      </w:pPr>
      <w:r w:rsidRPr="00A304D2">
        <w:rPr>
          <w:smallCaps/>
          <w:lang w:val="fr-FR"/>
        </w:rPr>
        <w:lastRenderedPageBreak/>
        <w:t>Bellini S., Giovannini A., Di Francesco C., Tittarelli M. &amp; Caporale V.</w:t>
      </w:r>
      <w:r w:rsidRPr="00A304D2">
        <w:rPr>
          <w:lang w:val="fr-FR"/>
        </w:rPr>
        <w:t xml:space="preserve"> (1998). </w:t>
      </w:r>
      <w:r w:rsidRPr="000176E6">
        <w:t xml:space="preserve">Sensitivity and specificity of serological and bacteriological tests for contagious bovine pleuropneumonia. </w:t>
      </w:r>
      <w:r w:rsidRPr="00A15E3A">
        <w:rPr>
          <w:i/>
          <w:lang w:val="fr-FR"/>
        </w:rPr>
        <w:t>Rev. sci. tech. OIE Int. Epiz.</w:t>
      </w:r>
      <w:r w:rsidR="00E901BC" w:rsidRPr="00A15E3A">
        <w:rPr>
          <w:i/>
          <w:lang w:val="fr-FR"/>
        </w:rPr>
        <w:t>,</w:t>
      </w:r>
      <w:r w:rsidRPr="00A15E3A">
        <w:rPr>
          <w:lang w:val="fr-FR"/>
        </w:rPr>
        <w:t xml:space="preserve"> </w:t>
      </w:r>
      <w:r w:rsidRPr="00A15E3A">
        <w:rPr>
          <w:b/>
          <w:lang w:val="fr-FR"/>
        </w:rPr>
        <w:t>17</w:t>
      </w:r>
      <w:r w:rsidRPr="00A15E3A">
        <w:rPr>
          <w:lang w:val="fr-FR"/>
        </w:rPr>
        <w:t>, 654–659.</w:t>
      </w:r>
    </w:p>
    <w:p w14:paraId="73182DAC" w14:textId="77777777" w:rsidR="00093494" w:rsidRPr="000176E6" w:rsidRDefault="002E6D0A" w:rsidP="000176E6">
      <w:pPr>
        <w:pStyle w:val="Ref"/>
      </w:pPr>
      <w:r w:rsidRPr="00243B60">
        <w:rPr>
          <w:smallCaps/>
          <w:lang w:val="fr-FR"/>
        </w:rPr>
        <w:t>Brocchi E., Gamba D., Poumarat F., Martel J.L. &amp; De Simone F.</w:t>
      </w:r>
      <w:r w:rsidRPr="00243B60">
        <w:rPr>
          <w:lang w:val="fr-FR"/>
        </w:rPr>
        <w:t xml:space="preserve"> (1993). </w:t>
      </w:r>
      <w:r w:rsidR="00093494" w:rsidRPr="000176E6">
        <w:t xml:space="preserve">Improvements in the diagnosis of contagious bovine pleuropneumonia through the use of monoclonal antibodies. </w:t>
      </w:r>
      <w:r w:rsidR="00093494" w:rsidRPr="00E03964">
        <w:rPr>
          <w:i/>
        </w:rPr>
        <w:t>Rev. sci. tech. Off. int. Epiz</w:t>
      </w:r>
      <w:r w:rsidR="00093494" w:rsidRPr="000176E6">
        <w:t xml:space="preserve">., </w:t>
      </w:r>
      <w:r w:rsidR="00093494" w:rsidRPr="004F29A8">
        <w:rPr>
          <w:b/>
        </w:rPr>
        <w:t>12</w:t>
      </w:r>
      <w:r w:rsidR="00093494" w:rsidRPr="000176E6">
        <w:t>, 559–570.</w:t>
      </w:r>
    </w:p>
    <w:p w14:paraId="019D0B3C" w14:textId="77777777" w:rsidR="00093494" w:rsidRPr="000176E6" w:rsidRDefault="00093494" w:rsidP="000176E6">
      <w:pPr>
        <w:pStyle w:val="Ref"/>
      </w:pPr>
      <w:r w:rsidRPr="000176E6">
        <w:rPr>
          <w:smallCaps/>
        </w:rPr>
        <w:t>Dedieu L., Mady V. &amp; Lefevre P.C.</w:t>
      </w:r>
      <w:r w:rsidRPr="000176E6">
        <w:t xml:space="preserve"> (1994). Development of a sele</w:t>
      </w:r>
      <w:r w:rsidR="002159DD" w:rsidRPr="000176E6">
        <w:t>c</w:t>
      </w:r>
      <w:r w:rsidRPr="000176E6">
        <w:t xml:space="preserve">tive polymerase chain reaction assay for the detection of </w:t>
      </w:r>
      <w:r w:rsidRPr="004F29A8">
        <w:rPr>
          <w:i/>
        </w:rPr>
        <w:t>Mycoplasma mycoides</w:t>
      </w:r>
      <w:r w:rsidRPr="000176E6">
        <w:t xml:space="preserve"> subsp. </w:t>
      </w:r>
      <w:r w:rsidRPr="004F29A8">
        <w:rPr>
          <w:i/>
        </w:rPr>
        <w:t>mycoides</w:t>
      </w:r>
      <w:r w:rsidRPr="000176E6">
        <w:t xml:space="preserve"> SC (contagious bovine pleuropneumonia agent). </w:t>
      </w:r>
      <w:r w:rsidRPr="00E03964">
        <w:rPr>
          <w:i/>
        </w:rPr>
        <w:t>Vet. Microbiol.</w:t>
      </w:r>
      <w:r w:rsidRPr="000176E6">
        <w:t xml:space="preserve">, </w:t>
      </w:r>
      <w:r w:rsidRPr="004F29A8">
        <w:rPr>
          <w:b/>
        </w:rPr>
        <w:t>42</w:t>
      </w:r>
      <w:r w:rsidRPr="000176E6">
        <w:t>, 327–339.</w:t>
      </w:r>
    </w:p>
    <w:p w14:paraId="00C4B812" w14:textId="77777777" w:rsidR="00E03964" w:rsidRPr="00E03964" w:rsidRDefault="00E03964" w:rsidP="00E03964">
      <w:pPr>
        <w:pStyle w:val="Ref"/>
        <w:rPr>
          <w:u w:val="double"/>
        </w:rPr>
      </w:pPr>
      <w:r w:rsidRPr="00E03964">
        <w:rPr>
          <w:smallCaps/>
          <w:u w:val="double"/>
        </w:rPr>
        <w:t>Dupuy V., Manso-Silvan L., Barbe V., Thebault P., Dordet-Frisoni E., Citti C., Poumarat F., Blanchard A., Breton M., Sirand-Pugnet P. &amp; Thiaucourt F</w:t>
      </w:r>
      <w:r w:rsidRPr="00E03964">
        <w:rPr>
          <w:u w:val="double"/>
        </w:rPr>
        <w:t xml:space="preserve">. (2012). Evolutionary history of contagious bovine pleuropneumonia using next generation sequencing of </w:t>
      </w:r>
      <w:r w:rsidRPr="00E03964">
        <w:rPr>
          <w:i/>
          <w:u w:val="double"/>
        </w:rPr>
        <w:t>Mycoplasma mycoides</w:t>
      </w:r>
      <w:r w:rsidRPr="00E03964">
        <w:rPr>
          <w:u w:val="double"/>
        </w:rPr>
        <w:t xml:space="preserve"> Subsp. </w:t>
      </w:r>
      <w:r w:rsidRPr="00E03964">
        <w:rPr>
          <w:i/>
          <w:u w:val="double"/>
        </w:rPr>
        <w:t>mycoides</w:t>
      </w:r>
      <w:r w:rsidRPr="00E03964">
        <w:rPr>
          <w:u w:val="double"/>
        </w:rPr>
        <w:t xml:space="preserve"> “Small Colony”. </w:t>
      </w:r>
      <w:r w:rsidRPr="00E03964">
        <w:rPr>
          <w:i/>
          <w:u w:val="double"/>
        </w:rPr>
        <w:t>PLoS ONE</w:t>
      </w:r>
      <w:r w:rsidRPr="00E03964">
        <w:rPr>
          <w:u w:val="double"/>
        </w:rPr>
        <w:t xml:space="preserve">, </w:t>
      </w:r>
      <w:r w:rsidRPr="00A76FA4">
        <w:rPr>
          <w:b/>
          <w:u w:val="double"/>
        </w:rPr>
        <w:t>7</w:t>
      </w:r>
      <w:r w:rsidRPr="00E03964">
        <w:rPr>
          <w:u w:val="double"/>
        </w:rPr>
        <w:t>(10):e46821.</w:t>
      </w:r>
    </w:p>
    <w:p w14:paraId="15D631A8" w14:textId="77777777" w:rsidR="00EA1DFC" w:rsidRPr="008233DC" w:rsidRDefault="00EA1DFC" w:rsidP="00EA1DFC">
      <w:pPr>
        <w:pStyle w:val="Ref"/>
        <w:rPr>
          <w:lang w:val="en-IE"/>
        </w:rPr>
      </w:pPr>
      <w:r w:rsidRPr="00706680">
        <w:rPr>
          <w:smallCaps/>
          <w:lang w:val="en-IE" w:eastAsia="en-GB"/>
        </w:rPr>
        <w:t>European Commission</w:t>
      </w:r>
      <w:r w:rsidRPr="00706680">
        <w:rPr>
          <w:lang w:val="en-IE"/>
        </w:rPr>
        <w:t xml:space="preserve"> (2001). </w:t>
      </w:r>
      <w:r w:rsidRPr="00706680">
        <w:rPr>
          <w:lang w:val="en-IE" w:eastAsia="en-GB"/>
        </w:rPr>
        <w:t>Health &amp; Consumer Protection Directorate-General.</w:t>
      </w:r>
      <w:r w:rsidRPr="00706680">
        <w:rPr>
          <w:lang w:val="en-IE"/>
        </w:rPr>
        <w:t xml:space="preserve"> Diagnostic tests for contagions bovine pleuropneumonia. Report of the Scientific Committee on Animal Health and Animal Welfare. </w:t>
      </w:r>
      <w:r w:rsidRPr="008233DC">
        <w:rPr>
          <w:lang w:val="en-IE"/>
        </w:rPr>
        <w:t xml:space="preserve">Adopted 17 October 2001. </w:t>
      </w:r>
      <w:r w:rsidRPr="008233DC">
        <w:rPr>
          <w:lang w:val="en-IE" w:eastAsia="en-GB"/>
        </w:rPr>
        <w:t>SANCO/AH/R25/2001</w:t>
      </w:r>
      <w:r w:rsidRPr="008233DC">
        <w:rPr>
          <w:lang w:val="en-IE"/>
        </w:rPr>
        <w:t>.</w:t>
      </w:r>
    </w:p>
    <w:p w14:paraId="553BB1F6" w14:textId="77777777" w:rsidR="00093494" w:rsidRPr="00706680" w:rsidRDefault="00093494" w:rsidP="00102669">
      <w:pPr>
        <w:pStyle w:val="Ref"/>
        <w:rPr>
          <w:lang w:val="en-IE"/>
        </w:rPr>
      </w:pPr>
      <w:r w:rsidRPr="008233DC">
        <w:rPr>
          <w:smallCaps/>
          <w:lang w:val="en-IE"/>
        </w:rPr>
        <w:t xml:space="preserve">Freundt E.A., Erno H. &amp; Lemcke R.M. </w:t>
      </w:r>
      <w:r w:rsidRPr="008233DC">
        <w:rPr>
          <w:lang w:val="en-IE"/>
        </w:rPr>
        <w:t xml:space="preserve">(1979). </w:t>
      </w:r>
      <w:r w:rsidRPr="00706680">
        <w:rPr>
          <w:lang w:val="en-IE"/>
        </w:rPr>
        <w:t xml:space="preserve">Identification of mycoplasmas. </w:t>
      </w:r>
      <w:r w:rsidRPr="00706680">
        <w:rPr>
          <w:i/>
          <w:lang w:val="en-IE"/>
        </w:rPr>
        <w:t>In:</w:t>
      </w:r>
      <w:r w:rsidRPr="00706680">
        <w:rPr>
          <w:lang w:val="en-IE"/>
        </w:rPr>
        <w:t xml:space="preserve"> Methods in Microbiology, Vol. 13, Bergen T. &amp; Norris J.R., eds. Academic Press, London, UK, 377–434.</w:t>
      </w:r>
    </w:p>
    <w:p w14:paraId="6E271733" w14:textId="77777777" w:rsidR="0039743C" w:rsidRPr="00706680" w:rsidRDefault="0039743C" w:rsidP="0039743C">
      <w:pPr>
        <w:pStyle w:val="Ref"/>
        <w:spacing w:after="0"/>
        <w:rPr>
          <w:lang w:val="en-IE"/>
        </w:rPr>
      </w:pPr>
      <w:r w:rsidRPr="00706680">
        <w:rPr>
          <w:smallCaps/>
          <w:lang w:val="en-IE"/>
        </w:rPr>
        <w:t>Gaurivaud P. &amp; Poumarat F.</w:t>
      </w:r>
      <w:r w:rsidRPr="00706680">
        <w:rPr>
          <w:lang w:val="en-IE"/>
        </w:rPr>
        <w:t xml:space="preserve"> (2012). Serodiagnosis of contagious bovine pleuropneumonia by immunoblotting. Euroreference, winter 2012, N°8, </w:t>
      </w:r>
    </w:p>
    <w:p w14:paraId="6CB1E62D" w14:textId="77777777" w:rsidR="0039743C" w:rsidRPr="00706680" w:rsidRDefault="006B7C78" w:rsidP="00102669">
      <w:pPr>
        <w:pStyle w:val="Ref"/>
        <w:rPr>
          <w:lang w:val="en-IE"/>
        </w:rPr>
      </w:pPr>
      <w:hyperlink r:id="rId10" w:history="1">
        <w:r w:rsidR="008233DC" w:rsidRPr="00F64997">
          <w:rPr>
            <w:rStyle w:val="Lienhypertexte"/>
            <w:lang w:val="en-IE"/>
          </w:rPr>
          <w:t>http://www.ansespro.fr/euroreference/Documents/ER08-Meth-PeripneumoEN.pdf</w:t>
        </w:r>
      </w:hyperlink>
      <w:r w:rsidR="008233DC">
        <w:rPr>
          <w:lang w:val="en-IE"/>
        </w:rPr>
        <w:t xml:space="preserve"> </w:t>
      </w:r>
    </w:p>
    <w:p w14:paraId="7FD846DA" w14:textId="77777777" w:rsidR="00405DBF" w:rsidRPr="00706680" w:rsidRDefault="00405DBF" w:rsidP="00102669">
      <w:pPr>
        <w:pStyle w:val="Ref"/>
        <w:rPr>
          <w:lang w:val="en-IE"/>
        </w:rPr>
      </w:pPr>
      <w:r w:rsidRPr="00502D5F">
        <w:rPr>
          <w:bCs/>
          <w:smallCaps/>
          <w:lang w:val="es-SV"/>
        </w:rPr>
        <w:t>Gonçalves R.</w:t>
      </w:r>
      <w:r w:rsidRPr="00502D5F">
        <w:rPr>
          <w:smallCaps/>
          <w:lang w:val="es-SV"/>
        </w:rPr>
        <w:t xml:space="preserve">, Regalla J., Nicolet J., Frey J., Nicholas R., Bashiruddin J., De Santis P. &amp; Penha Gonçalves A. </w:t>
      </w:r>
      <w:r w:rsidRPr="00502D5F">
        <w:rPr>
          <w:lang w:val="es-SV"/>
        </w:rPr>
        <w:t>(1998).</w:t>
      </w:r>
      <w:r w:rsidRPr="00502D5F">
        <w:rPr>
          <w:bCs/>
          <w:lang w:val="es-SV"/>
        </w:rPr>
        <w:t xml:space="preserve"> </w:t>
      </w:r>
      <w:r w:rsidRPr="00706680">
        <w:rPr>
          <w:lang w:val="en-IE"/>
        </w:rPr>
        <w:t>Antigen heterogeneity among</w:t>
      </w:r>
      <w:r w:rsidR="00102669" w:rsidRPr="00706680">
        <w:rPr>
          <w:i/>
          <w:lang w:val="en-IE"/>
        </w:rPr>
        <w:t xml:space="preserve"> Mycoplasma</w:t>
      </w:r>
      <w:r w:rsidRPr="00706680">
        <w:rPr>
          <w:i/>
          <w:lang w:val="en-IE"/>
        </w:rPr>
        <w:t xml:space="preserve"> mycoides </w:t>
      </w:r>
      <w:r w:rsidRPr="00706680">
        <w:rPr>
          <w:lang w:val="en-IE"/>
        </w:rPr>
        <w:t>subsp</w:t>
      </w:r>
      <w:r w:rsidRPr="00706680">
        <w:rPr>
          <w:i/>
          <w:lang w:val="en-IE"/>
        </w:rPr>
        <w:t xml:space="preserve"> mycoides </w:t>
      </w:r>
      <w:r w:rsidRPr="00706680">
        <w:rPr>
          <w:lang w:val="en-IE"/>
        </w:rPr>
        <w:t>SC isolates</w:t>
      </w:r>
      <w:r w:rsidRPr="00706680">
        <w:rPr>
          <w:i/>
          <w:lang w:val="en-IE"/>
        </w:rPr>
        <w:t xml:space="preserve">: </w:t>
      </w:r>
      <w:r w:rsidRPr="00706680">
        <w:rPr>
          <w:lang w:val="en-IE"/>
        </w:rPr>
        <w:t>discrimination of major surface proteins</w:t>
      </w:r>
      <w:r w:rsidRPr="00706680">
        <w:rPr>
          <w:i/>
          <w:lang w:val="en-IE"/>
        </w:rPr>
        <w:t>.</w:t>
      </w:r>
      <w:r w:rsidRPr="00706680">
        <w:rPr>
          <w:bCs/>
          <w:lang w:val="en-IE"/>
        </w:rPr>
        <w:t xml:space="preserve"> </w:t>
      </w:r>
      <w:r w:rsidRPr="00706680">
        <w:rPr>
          <w:i/>
          <w:lang w:val="en-IE"/>
        </w:rPr>
        <w:t>Vet. Microbiol.</w:t>
      </w:r>
      <w:r w:rsidRPr="00706680">
        <w:rPr>
          <w:lang w:val="en-IE"/>
        </w:rPr>
        <w:t xml:space="preserve">, </w:t>
      </w:r>
      <w:r w:rsidRPr="00706680">
        <w:rPr>
          <w:b/>
          <w:lang w:val="en-IE"/>
        </w:rPr>
        <w:t>63</w:t>
      </w:r>
      <w:r w:rsidRPr="00706680">
        <w:rPr>
          <w:bCs/>
          <w:lang w:val="en-IE"/>
        </w:rPr>
        <w:t>,</w:t>
      </w:r>
      <w:r w:rsidRPr="00706680">
        <w:rPr>
          <w:lang w:val="en-IE"/>
        </w:rPr>
        <w:t xml:space="preserve"> 13–28.</w:t>
      </w:r>
    </w:p>
    <w:p w14:paraId="272318CD" w14:textId="77777777" w:rsidR="004F29A8" w:rsidRPr="000176E6" w:rsidRDefault="004F29A8" w:rsidP="004F29A8">
      <w:pPr>
        <w:pStyle w:val="Ref"/>
        <w:rPr>
          <w:u w:val="double"/>
        </w:rPr>
      </w:pPr>
      <w:r w:rsidRPr="00E03964">
        <w:rPr>
          <w:smallCaps/>
          <w:u w:val="double"/>
        </w:rPr>
        <w:t>Gourgues G., Barré A., Beaudoing E., Weber J., Magdelenat G., Barbe V., Schieck E., Jores J., Vashee S., Blanchard A., Lartigue C. &amp; Sirand-Pugnet P.</w:t>
      </w:r>
      <w:r w:rsidRPr="000176E6">
        <w:rPr>
          <w:u w:val="double"/>
        </w:rPr>
        <w:t xml:space="preserve"> (2016). Complete Genome Sequence of </w:t>
      </w:r>
      <w:r w:rsidRPr="004F29A8">
        <w:rPr>
          <w:i/>
          <w:u w:val="double"/>
        </w:rPr>
        <w:t>Mycoplasma mycoides</w:t>
      </w:r>
      <w:r w:rsidRPr="000176E6">
        <w:rPr>
          <w:u w:val="double"/>
        </w:rPr>
        <w:t xml:space="preserve"> subsp. </w:t>
      </w:r>
      <w:r w:rsidRPr="004F29A8">
        <w:rPr>
          <w:i/>
          <w:u w:val="double"/>
        </w:rPr>
        <w:t>mycoides</w:t>
      </w:r>
      <w:r w:rsidRPr="000176E6">
        <w:rPr>
          <w:u w:val="double"/>
        </w:rPr>
        <w:t xml:space="preserve"> T1/44, a Vaccine Strain against Contagious Bovine Pleuropneumonia. </w:t>
      </w:r>
      <w:r w:rsidRPr="004F29A8">
        <w:rPr>
          <w:i/>
          <w:u w:val="double"/>
        </w:rPr>
        <w:t>Genome Announc</w:t>
      </w:r>
      <w:r>
        <w:rPr>
          <w:u w:val="double"/>
        </w:rPr>
        <w:t>.,</w:t>
      </w:r>
      <w:r w:rsidRPr="000176E6">
        <w:rPr>
          <w:u w:val="double"/>
        </w:rPr>
        <w:t xml:space="preserve"> </w:t>
      </w:r>
      <w:r w:rsidRPr="004F29A8">
        <w:rPr>
          <w:b/>
          <w:u w:val="double"/>
        </w:rPr>
        <w:t>4</w:t>
      </w:r>
      <w:r w:rsidRPr="000176E6">
        <w:rPr>
          <w:u w:val="double"/>
        </w:rPr>
        <w:t>, e00263-00216.</w:t>
      </w:r>
    </w:p>
    <w:p w14:paraId="087B30D7" w14:textId="77777777" w:rsidR="00093494" w:rsidRPr="00706680" w:rsidRDefault="00093494" w:rsidP="00802A49">
      <w:pPr>
        <w:pStyle w:val="Ref"/>
        <w:rPr>
          <w:lang w:val="en-IE"/>
        </w:rPr>
      </w:pPr>
      <w:r w:rsidRPr="00706680">
        <w:rPr>
          <w:smallCaps/>
          <w:lang w:val="en-IE"/>
        </w:rPr>
        <w:t>Hubschle O., Lelli R., Frey J. &amp; Nicholas R.A.J.</w:t>
      </w:r>
      <w:r w:rsidRPr="00706680">
        <w:rPr>
          <w:lang w:val="en-IE"/>
        </w:rPr>
        <w:t xml:space="preserve"> (2002). Contagious bovine pleuropneumonia and vaccine strain T1/44. </w:t>
      </w:r>
      <w:r w:rsidRPr="00706680">
        <w:rPr>
          <w:i/>
          <w:lang w:val="en-IE"/>
        </w:rPr>
        <w:t>Vet. Rec</w:t>
      </w:r>
      <w:r w:rsidRPr="00706680">
        <w:rPr>
          <w:lang w:val="en-IE"/>
        </w:rPr>
        <w:t xml:space="preserve">., </w:t>
      </w:r>
      <w:r w:rsidRPr="00706680">
        <w:rPr>
          <w:b/>
          <w:lang w:val="en-IE"/>
        </w:rPr>
        <w:t>150</w:t>
      </w:r>
      <w:r w:rsidRPr="00706680">
        <w:rPr>
          <w:lang w:val="en-IE"/>
        </w:rPr>
        <w:t>, 615.</w:t>
      </w:r>
    </w:p>
    <w:p w14:paraId="10AA52DD" w14:textId="77777777" w:rsidR="00897DA0" w:rsidRPr="00706680" w:rsidRDefault="00897DA0" w:rsidP="00802A49">
      <w:pPr>
        <w:pStyle w:val="Ref"/>
        <w:rPr>
          <w:smallCaps/>
          <w:lang w:val="en-IE"/>
        </w:rPr>
      </w:pPr>
      <w:r w:rsidRPr="00706680">
        <w:rPr>
          <w:smallCaps/>
        </w:rPr>
        <w:t xml:space="preserve">ISO/IEC (2005). ISO/IEC 17025:2005. </w:t>
      </w:r>
      <w:r w:rsidRPr="00706680">
        <w:t>General Requirements for the Competence of Testing and Calibration Laboratories. International Organization for Standardization (ISO), www.iso.org.</w:t>
      </w:r>
    </w:p>
    <w:p w14:paraId="7139AA4B" w14:textId="77777777" w:rsidR="00093494" w:rsidRPr="00706680" w:rsidRDefault="00093494" w:rsidP="00802A49">
      <w:pPr>
        <w:pStyle w:val="Ref"/>
        <w:rPr>
          <w:lang w:val="en-IE"/>
        </w:rPr>
      </w:pPr>
      <w:r w:rsidRPr="00A15E3A">
        <w:rPr>
          <w:smallCaps/>
          <w:lang w:val="en-IE"/>
        </w:rPr>
        <w:t xml:space="preserve">Le Goff C. &amp; Thiaucourt F. </w:t>
      </w:r>
      <w:r w:rsidRPr="00A15E3A">
        <w:rPr>
          <w:lang w:val="en-IE"/>
        </w:rPr>
        <w:t xml:space="preserve">(1998). </w:t>
      </w:r>
      <w:r w:rsidRPr="00706680">
        <w:rPr>
          <w:lang w:val="en-IE"/>
        </w:rPr>
        <w:t xml:space="preserve">A competitive ELISA for the specific diagnosis of contagious bovine pleuropneumonia (CBPP). </w:t>
      </w:r>
      <w:r w:rsidRPr="00706680">
        <w:rPr>
          <w:i/>
          <w:lang w:val="en-IE"/>
        </w:rPr>
        <w:t>Vet. Microbiol</w:t>
      </w:r>
      <w:r w:rsidRPr="00706680">
        <w:rPr>
          <w:lang w:val="en-IE"/>
        </w:rPr>
        <w:t xml:space="preserve">., </w:t>
      </w:r>
      <w:r w:rsidRPr="00706680">
        <w:rPr>
          <w:b/>
          <w:lang w:val="en-IE"/>
        </w:rPr>
        <w:t>60</w:t>
      </w:r>
      <w:r w:rsidRPr="00706680">
        <w:rPr>
          <w:lang w:val="en-IE"/>
        </w:rPr>
        <w:t>, 179–191.</w:t>
      </w:r>
    </w:p>
    <w:p w14:paraId="4C47006C" w14:textId="77777777" w:rsidR="00093494" w:rsidRPr="00706680" w:rsidRDefault="00093494" w:rsidP="00802A49">
      <w:pPr>
        <w:pStyle w:val="Ref"/>
        <w:rPr>
          <w:lang w:val="en-IE"/>
        </w:rPr>
      </w:pPr>
      <w:r w:rsidRPr="00706680">
        <w:rPr>
          <w:smallCaps/>
          <w:lang w:val="en-IE"/>
        </w:rPr>
        <w:t>Lorenzon S., David A., Nadew M., Wesonga H. &amp; Thiaucourt F</w:t>
      </w:r>
      <w:r w:rsidRPr="00706680">
        <w:rPr>
          <w:lang w:val="en-IE"/>
        </w:rPr>
        <w:t xml:space="preserve">. (2000). Specific PCR identification of the T1 vaccine strains for contagious bovine pleuropneumonia. </w:t>
      </w:r>
      <w:r w:rsidRPr="00706680">
        <w:rPr>
          <w:i/>
          <w:iCs/>
          <w:lang w:val="en-IE"/>
        </w:rPr>
        <w:t>Mol. Cell. Probes</w:t>
      </w:r>
      <w:r w:rsidRPr="00706680">
        <w:rPr>
          <w:lang w:val="en-IE"/>
        </w:rPr>
        <w:t xml:space="preserve">, </w:t>
      </w:r>
      <w:r w:rsidRPr="00706680">
        <w:rPr>
          <w:b/>
          <w:bCs/>
          <w:lang w:val="en-IE"/>
        </w:rPr>
        <w:t>14</w:t>
      </w:r>
      <w:r w:rsidRPr="00706680">
        <w:rPr>
          <w:lang w:val="en-IE"/>
        </w:rPr>
        <w:t>, 205–210.</w:t>
      </w:r>
    </w:p>
    <w:p w14:paraId="5AE80EC4" w14:textId="77777777" w:rsidR="0049299A" w:rsidRPr="00706680" w:rsidRDefault="0049299A" w:rsidP="0049299A">
      <w:pPr>
        <w:pStyle w:val="Ref"/>
        <w:rPr>
          <w:lang w:val="en-IE"/>
        </w:rPr>
      </w:pPr>
      <w:r w:rsidRPr="00706680">
        <w:rPr>
          <w:smallCaps/>
          <w:lang w:val="en-IE"/>
        </w:rPr>
        <w:t>Lorenzon S., Manso-Silván L. &amp; Thiaucourt F.</w:t>
      </w:r>
      <w:r w:rsidRPr="00706680">
        <w:rPr>
          <w:lang w:val="en-IE"/>
        </w:rPr>
        <w:t xml:space="preserve"> (2008). Specific real-time PCR assays for the detection and quantification of </w:t>
      </w:r>
      <w:r w:rsidRPr="00706680">
        <w:rPr>
          <w:i/>
          <w:lang w:val="en-IE"/>
        </w:rPr>
        <w:t>Mycoplasma mycoides</w:t>
      </w:r>
      <w:r w:rsidRPr="00706680">
        <w:rPr>
          <w:lang w:val="en-IE"/>
        </w:rPr>
        <w:t xml:space="preserve"> subsp. </w:t>
      </w:r>
      <w:r w:rsidRPr="00706680">
        <w:rPr>
          <w:i/>
          <w:lang w:val="en-IE"/>
        </w:rPr>
        <w:t>mycoides</w:t>
      </w:r>
      <w:r w:rsidRPr="00706680">
        <w:rPr>
          <w:lang w:val="en-IE"/>
        </w:rPr>
        <w:t xml:space="preserve"> SC and </w:t>
      </w:r>
      <w:r w:rsidRPr="00706680">
        <w:rPr>
          <w:i/>
          <w:lang w:val="en-IE"/>
        </w:rPr>
        <w:t>Mycoplasma capricolum</w:t>
      </w:r>
      <w:r w:rsidRPr="00706680">
        <w:rPr>
          <w:lang w:val="en-IE"/>
        </w:rPr>
        <w:t xml:space="preserve"> subsp. </w:t>
      </w:r>
      <w:r w:rsidRPr="00706680">
        <w:rPr>
          <w:i/>
          <w:lang w:val="en-IE"/>
        </w:rPr>
        <w:t>capripneumoniae</w:t>
      </w:r>
      <w:r w:rsidRPr="00706680">
        <w:rPr>
          <w:lang w:val="en-IE"/>
        </w:rPr>
        <w:t xml:space="preserve">. </w:t>
      </w:r>
      <w:r w:rsidRPr="00706680">
        <w:rPr>
          <w:i/>
          <w:lang w:val="en-IE"/>
        </w:rPr>
        <w:t>Mol. Cell. Probes</w:t>
      </w:r>
      <w:r w:rsidRPr="00706680">
        <w:rPr>
          <w:lang w:val="en-IE"/>
        </w:rPr>
        <w:t xml:space="preserve">, </w:t>
      </w:r>
      <w:r w:rsidRPr="00706680">
        <w:rPr>
          <w:b/>
          <w:lang w:val="en-IE"/>
        </w:rPr>
        <w:t>22</w:t>
      </w:r>
      <w:r w:rsidRPr="00706680">
        <w:rPr>
          <w:lang w:val="en-IE"/>
        </w:rPr>
        <w:t xml:space="preserve"> (5-6), 324–328.</w:t>
      </w:r>
    </w:p>
    <w:p w14:paraId="138B65C0" w14:textId="77777777" w:rsidR="00472821" w:rsidRPr="00706680" w:rsidRDefault="00472821" w:rsidP="00802A49">
      <w:pPr>
        <w:pStyle w:val="Ref"/>
        <w:rPr>
          <w:lang w:val="en-IE"/>
        </w:rPr>
      </w:pPr>
      <w:r w:rsidRPr="00706680">
        <w:rPr>
          <w:smallCaps/>
          <w:lang w:val="en-IE"/>
        </w:rPr>
        <w:t>Manso-Silván L., Vilei E.M., Sachse K., Djordjevic S.P., Thiaucourt F. &amp; Frey J.</w:t>
      </w:r>
      <w:r w:rsidRPr="00706680">
        <w:rPr>
          <w:lang w:val="en-IE"/>
        </w:rPr>
        <w:t xml:space="preserve"> (2009). </w:t>
      </w:r>
      <w:r w:rsidRPr="00706680">
        <w:rPr>
          <w:i/>
          <w:lang w:val="en-IE"/>
        </w:rPr>
        <w:t>Mycoplasma leachii</w:t>
      </w:r>
      <w:r w:rsidRPr="00706680">
        <w:rPr>
          <w:lang w:val="en-IE"/>
        </w:rPr>
        <w:t xml:space="preserve"> sp. nov. as a new species designation for </w:t>
      </w:r>
      <w:r w:rsidRPr="00706680">
        <w:rPr>
          <w:i/>
          <w:lang w:val="en-IE"/>
        </w:rPr>
        <w:t>Mycoplasma</w:t>
      </w:r>
      <w:r w:rsidRPr="00706680">
        <w:rPr>
          <w:lang w:val="en-IE"/>
        </w:rPr>
        <w:t xml:space="preserve"> sp. bovine group 7 of Leach, and reclassification of </w:t>
      </w:r>
      <w:r w:rsidRPr="00706680">
        <w:rPr>
          <w:i/>
          <w:lang w:val="en-IE"/>
        </w:rPr>
        <w:t>Mycoplasma mycoides</w:t>
      </w:r>
      <w:r w:rsidRPr="00706680">
        <w:rPr>
          <w:lang w:val="en-IE"/>
        </w:rPr>
        <w:t xml:space="preserve"> subsp. </w:t>
      </w:r>
      <w:r w:rsidRPr="00706680">
        <w:rPr>
          <w:i/>
          <w:lang w:val="en-IE"/>
        </w:rPr>
        <w:t>mycoides</w:t>
      </w:r>
      <w:r w:rsidRPr="00706680">
        <w:rPr>
          <w:lang w:val="en-IE"/>
        </w:rPr>
        <w:t xml:space="preserve"> LC as a serovar of </w:t>
      </w:r>
      <w:r w:rsidRPr="00706680">
        <w:rPr>
          <w:i/>
          <w:lang w:val="en-IE"/>
        </w:rPr>
        <w:t>Mycoplasma mycoides</w:t>
      </w:r>
      <w:r w:rsidRPr="00706680">
        <w:rPr>
          <w:lang w:val="en-IE"/>
        </w:rPr>
        <w:t xml:space="preserve"> subsp. </w:t>
      </w:r>
      <w:r w:rsidRPr="00706680">
        <w:rPr>
          <w:i/>
          <w:lang w:val="en-IE"/>
        </w:rPr>
        <w:t>capri</w:t>
      </w:r>
      <w:r w:rsidRPr="00706680">
        <w:rPr>
          <w:lang w:val="en-IE"/>
        </w:rPr>
        <w:t xml:space="preserve">. </w:t>
      </w:r>
      <w:r w:rsidRPr="00706680">
        <w:rPr>
          <w:i/>
          <w:lang w:val="en-IE"/>
        </w:rPr>
        <w:t>Int. J. Syst. Evol. Microbiol</w:t>
      </w:r>
      <w:r w:rsidRPr="00706680">
        <w:rPr>
          <w:lang w:val="en-IE"/>
        </w:rPr>
        <w:t xml:space="preserve">., </w:t>
      </w:r>
      <w:r w:rsidRPr="00706680">
        <w:rPr>
          <w:b/>
          <w:lang w:val="en-IE"/>
        </w:rPr>
        <w:t>59</w:t>
      </w:r>
      <w:r w:rsidRPr="00706680">
        <w:rPr>
          <w:lang w:val="en-IE"/>
        </w:rPr>
        <w:t xml:space="preserve"> (Pt 6), 1353–1358.</w:t>
      </w:r>
    </w:p>
    <w:p w14:paraId="65CB237B" w14:textId="77777777" w:rsidR="001E7B58" w:rsidRPr="00706680" w:rsidRDefault="00AC6B03" w:rsidP="00EA4772">
      <w:pPr>
        <w:pStyle w:val="Ref"/>
        <w:rPr>
          <w:lang w:val="en-IE"/>
        </w:rPr>
      </w:pPr>
      <w:r w:rsidRPr="00706680">
        <w:rPr>
          <w:smallCaps/>
          <w:lang w:val="en-IE"/>
        </w:rPr>
        <w:t>Mbulu R.S., Tjipura-Zaire G., Lelli R., Fre</w:t>
      </w:r>
      <w:bookmarkStart w:id="0" w:name="_GoBack"/>
      <w:bookmarkEnd w:id="0"/>
      <w:r w:rsidRPr="00706680">
        <w:rPr>
          <w:smallCaps/>
          <w:lang w:val="en-IE"/>
        </w:rPr>
        <w:t>y J., Pilo P., Vilei E.M., Mettler F., Nicholas R.A. &amp; Huebschle O.J.</w:t>
      </w:r>
      <w:r w:rsidR="001E7B58" w:rsidRPr="00706680">
        <w:rPr>
          <w:smallCaps/>
          <w:lang w:val="en-IE"/>
        </w:rPr>
        <w:t xml:space="preserve"> </w:t>
      </w:r>
      <w:r w:rsidR="001E7B58" w:rsidRPr="00706680">
        <w:rPr>
          <w:lang w:val="en-IE"/>
        </w:rPr>
        <w:t xml:space="preserve">(2004). Contagious bovine pleuropneumonia (CBPP) caused by vaccine strain T1/44 of </w:t>
      </w:r>
      <w:r w:rsidR="001E7B58" w:rsidRPr="00706680">
        <w:rPr>
          <w:i/>
          <w:iCs/>
          <w:lang w:val="en-IE"/>
        </w:rPr>
        <w:t>Mycoplasma mycoides</w:t>
      </w:r>
      <w:r w:rsidR="001E7B58" w:rsidRPr="00706680">
        <w:rPr>
          <w:lang w:val="en-IE"/>
        </w:rPr>
        <w:t xml:space="preserve"> subsp. </w:t>
      </w:r>
      <w:r w:rsidR="001E7B58" w:rsidRPr="00706680">
        <w:rPr>
          <w:i/>
          <w:iCs/>
          <w:lang w:val="en-IE"/>
        </w:rPr>
        <w:t>mycoides</w:t>
      </w:r>
      <w:r w:rsidR="001E7B58" w:rsidRPr="00706680">
        <w:rPr>
          <w:lang w:val="en-IE"/>
        </w:rPr>
        <w:t xml:space="preserve"> SC. </w:t>
      </w:r>
      <w:r w:rsidR="001E7B58" w:rsidRPr="00706680">
        <w:rPr>
          <w:i/>
          <w:iCs/>
          <w:lang w:val="en-IE"/>
        </w:rPr>
        <w:t>Vet</w:t>
      </w:r>
      <w:r w:rsidRPr="00706680">
        <w:rPr>
          <w:i/>
          <w:iCs/>
          <w:lang w:val="en-IE"/>
        </w:rPr>
        <w:t>.</w:t>
      </w:r>
      <w:r w:rsidR="001E7B58" w:rsidRPr="00706680">
        <w:rPr>
          <w:i/>
          <w:iCs/>
          <w:lang w:val="en-IE"/>
        </w:rPr>
        <w:t xml:space="preserve"> Microbiol., </w:t>
      </w:r>
      <w:r w:rsidR="001E7B58" w:rsidRPr="00706680">
        <w:rPr>
          <w:b/>
          <w:lang w:val="en-IE"/>
        </w:rPr>
        <w:t>98</w:t>
      </w:r>
      <w:r w:rsidR="001E7B58" w:rsidRPr="00706680">
        <w:rPr>
          <w:bCs/>
          <w:lang w:val="en-IE"/>
        </w:rPr>
        <w:t>,</w:t>
      </w:r>
      <w:r w:rsidR="001E7B58" w:rsidRPr="00706680">
        <w:rPr>
          <w:lang w:val="en-IE"/>
        </w:rPr>
        <w:t xml:space="preserve"> 229–234.</w:t>
      </w:r>
    </w:p>
    <w:p w14:paraId="3D1D1062" w14:textId="77777777" w:rsidR="00C6564F" w:rsidRPr="000176E6" w:rsidRDefault="00C6564F" w:rsidP="00D65F2B">
      <w:pPr>
        <w:pStyle w:val="Ref"/>
        <w:rPr>
          <w:strike/>
        </w:rPr>
      </w:pPr>
      <w:r w:rsidRPr="000176E6">
        <w:rPr>
          <w:smallCaps/>
          <w:strike/>
        </w:rPr>
        <w:t>Miles K</w:t>
      </w:r>
      <w:r w:rsidR="00716274" w:rsidRPr="000176E6">
        <w:rPr>
          <w:smallCaps/>
          <w:strike/>
        </w:rPr>
        <w:t>.,</w:t>
      </w:r>
      <w:r w:rsidRPr="000176E6">
        <w:rPr>
          <w:smallCaps/>
          <w:strike/>
        </w:rPr>
        <w:t xml:space="preserve"> </w:t>
      </w:r>
      <w:hyperlink r:id="rId11" w:history="1">
        <w:r w:rsidR="00F354E8" w:rsidRPr="000176E6">
          <w:rPr>
            <w:rStyle w:val="Lienhypertexte"/>
            <w:smallCaps/>
            <w:strike/>
            <w:color w:val="auto"/>
            <w:u w:val="none"/>
          </w:rPr>
          <w:t>Churchward C.P</w:t>
        </w:r>
      </w:hyperlink>
      <w:r w:rsidR="00F354E8" w:rsidRPr="000176E6">
        <w:rPr>
          <w:smallCaps/>
          <w:strike/>
        </w:rPr>
        <w:t xml:space="preserve">., </w:t>
      </w:r>
      <w:hyperlink r:id="rId12" w:history="1">
        <w:r w:rsidR="00F354E8" w:rsidRPr="000176E6">
          <w:rPr>
            <w:rStyle w:val="Lienhypertexte"/>
            <w:smallCaps/>
            <w:strike/>
            <w:color w:val="auto"/>
            <w:u w:val="none"/>
          </w:rPr>
          <w:t>McAuliffe L</w:t>
        </w:r>
      </w:hyperlink>
      <w:r w:rsidR="00F354E8" w:rsidRPr="000176E6">
        <w:rPr>
          <w:smallCaps/>
          <w:strike/>
        </w:rPr>
        <w:t xml:space="preserve">., </w:t>
      </w:r>
      <w:hyperlink r:id="rId13" w:history="1">
        <w:r w:rsidR="00F354E8" w:rsidRPr="000176E6">
          <w:rPr>
            <w:rStyle w:val="Lienhypertexte"/>
            <w:smallCaps/>
            <w:strike/>
            <w:color w:val="auto"/>
            <w:u w:val="none"/>
          </w:rPr>
          <w:t>Ayling R.D</w:t>
        </w:r>
      </w:hyperlink>
      <w:r w:rsidR="00F354E8" w:rsidRPr="000176E6">
        <w:rPr>
          <w:smallCaps/>
          <w:strike/>
        </w:rPr>
        <w:t xml:space="preserve">. &amp; </w:t>
      </w:r>
      <w:hyperlink r:id="rId14" w:history="1">
        <w:r w:rsidR="00F354E8" w:rsidRPr="000176E6">
          <w:rPr>
            <w:rStyle w:val="Lienhypertexte"/>
            <w:smallCaps/>
            <w:strike/>
            <w:color w:val="auto"/>
            <w:u w:val="none"/>
          </w:rPr>
          <w:t>Nicholas R.A</w:t>
        </w:r>
      </w:hyperlink>
      <w:r w:rsidR="00F354E8" w:rsidRPr="000176E6">
        <w:rPr>
          <w:smallCaps/>
          <w:strike/>
        </w:rPr>
        <w:t>.</w:t>
      </w:r>
      <w:r w:rsidR="00F354E8" w:rsidRPr="000176E6">
        <w:rPr>
          <w:strike/>
        </w:rPr>
        <w:t xml:space="preserve"> </w:t>
      </w:r>
      <w:r w:rsidRPr="000176E6">
        <w:rPr>
          <w:strike/>
        </w:rPr>
        <w:t xml:space="preserve">(2006). Identification and differentiation of European and African/Australian strains of </w:t>
      </w:r>
      <w:r w:rsidRPr="000176E6">
        <w:rPr>
          <w:i/>
          <w:strike/>
        </w:rPr>
        <w:t>Mycoplasma mycoides</w:t>
      </w:r>
      <w:r w:rsidRPr="000176E6">
        <w:rPr>
          <w:strike/>
        </w:rPr>
        <w:t xml:space="preserve"> subspecies </w:t>
      </w:r>
      <w:r w:rsidRPr="000176E6">
        <w:rPr>
          <w:i/>
          <w:strike/>
        </w:rPr>
        <w:t>mycoides</w:t>
      </w:r>
      <w:r w:rsidRPr="000176E6">
        <w:rPr>
          <w:strike/>
        </w:rPr>
        <w:t xml:space="preserve"> small</w:t>
      </w:r>
      <w:r w:rsidR="00BC54E7" w:rsidRPr="000176E6">
        <w:rPr>
          <w:strike/>
        </w:rPr>
        <w:t>-</w:t>
      </w:r>
      <w:r w:rsidRPr="000176E6">
        <w:rPr>
          <w:strike/>
        </w:rPr>
        <w:t xml:space="preserve">colony type using polymerase chain reaction analysis. </w:t>
      </w:r>
      <w:r w:rsidRPr="000176E6">
        <w:rPr>
          <w:i/>
          <w:strike/>
        </w:rPr>
        <w:t>J</w:t>
      </w:r>
      <w:r w:rsidR="00F354E8" w:rsidRPr="000176E6">
        <w:rPr>
          <w:i/>
          <w:strike/>
        </w:rPr>
        <w:t>.</w:t>
      </w:r>
      <w:r w:rsidRPr="000176E6">
        <w:rPr>
          <w:i/>
          <w:strike/>
        </w:rPr>
        <w:t xml:space="preserve"> Vet</w:t>
      </w:r>
      <w:r w:rsidR="00F354E8" w:rsidRPr="000176E6">
        <w:rPr>
          <w:i/>
          <w:strike/>
        </w:rPr>
        <w:t>.</w:t>
      </w:r>
      <w:r w:rsidRPr="000176E6">
        <w:rPr>
          <w:i/>
          <w:strike/>
        </w:rPr>
        <w:t xml:space="preserve"> Diagn</w:t>
      </w:r>
      <w:r w:rsidR="00F354E8" w:rsidRPr="000176E6">
        <w:rPr>
          <w:i/>
          <w:strike/>
        </w:rPr>
        <w:t>.</w:t>
      </w:r>
      <w:r w:rsidRPr="000176E6">
        <w:rPr>
          <w:i/>
          <w:strike/>
        </w:rPr>
        <w:t xml:space="preserve"> Invest</w:t>
      </w:r>
      <w:r w:rsidR="00F354E8" w:rsidRPr="000176E6">
        <w:rPr>
          <w:strike/>
        </w:rPr>
        <w:t>.</w:t>
      </w:r>
      <w:r w:rsidRPr="000176E6">
        <w:rPr>
          <w:strike/>
        </w:rPr>
        <w:t xml:space="preserve">, </w:t>
      </w:r>
      <w:r w:rsidRPr="000176E6">
        <w:rPr>
          <w:b/>
          <w:strike/>
        </w:rPr>
        <w:t>18</w:t>
      </w:r>
      <w:r w:rsidRPr="000176E6">
        <w:rPr>
          <w:strike/>
        </w:rPr>
        <w:t>, 168–171.</w:t>
      </w:r>
    </w:p>
    <w:p w14:paraId="1F0A4C41" w14:textId="77777777" w:rsidR="00093494" w:rsidRPr="00706680" w:rsidRDefault="00093494" w:rsidP="00D65F2B">
      <w:pPr>
        <w:pStyle w:val="Ref"/>
        <w:rPr>
          <w:lang w:val="en-IE"/>
        </w:rPr>
      </w:pPr>
      <w:r w:rsidRPr="00706680">
        <w:rPr>
          <w:smallCaps/>
          <w:lang w:val="en-IE"/>
        </w:rPr>
        <w:lastRenderedPageBreak/>
        <w:t>Miserez R., Pilloud T., Cheng., Nicolet J., Griot C. &amp; Frey J.</w:t>
      </w:r>
      <w:r w:rsidRPr="00706680">
        <w:rPr>
          <w:lang w:val="en-IE"/>
        </w:rPr>
        <w:t xml:space="preserve"> (1997). Development of a sensitive nested PCR method for the specific detection of </w:t>
      </w:r>
      <w:r w:rsidRPr="00706680">
        <w:rPr>
          <w:i/>
          <w:lang w:val="en-IE"/>
        </w:rPr>
        <w:t>Mycoplasma mycoides</w:t>
      </w:r>
      <w:r w:rsidRPr="00706680">
        <w:rPr>
          <w:lang w:val="en-IE"/>
        </w:rPr>
        <w:t xml:space="preserve"> subsp. </w:t>
      </w:r>
      <w:r w:rsidRPr="00706680">
        <w:rPr>
          <w:i/>
          <w:lang w:val="en-IE"/>
        </w:rPr>
        <w:t>mycoides</w:t>
      </w:r>
      <w:r w:rsidRPr="00706680">
        <w:rPr>
          <w:lang w:val="en-IE"/>
        </w:rPr>
        <w:t xml:space="preserve"> SC. </w:t>
      </w:r>
      <w:r w:rsidRPr="00706680">
        <w:rPr>
          <w:i/>
          <w:lang w:val="en-IE"/>
        </w:rPr>
        <w:t>Mol. Cell. Probe,</w:t>
      </w:r>
      <w:r w:rsidRPr="00706680">
        <w:rPr>
          <w:lang w:val="en-IE"/>
        </w:rPr>
        <w:t xml:space="preserve"> </w:t>
      </w:r>
      <w:r w:rsidRPr="00706680">
        <w:rPr>
          <w:b/>
          <w:lang w:val="en-IE"/>
        </w:rPr>
        <w:t>11</w:t>
      </w:r>
      <w:r w:rsidRPr="00706680">
        <w:rPr>
          <w:lang w:val="en-IE"/>
        </w:rPr>
        <w:t>, 103–111.</w:t>
      </w:r>
    </w:p>
    <w:p w14:paraId="691C2C7B" w14:textId="77777777" w:rsidR="0065743D" w:rsidRPr="00524400" w:rsidRDefault="0065743D" w:rsidP="00D65F2B">
      <w:pPr>
        <w:pStyle w:val="Ref"/>
        <w:rPr>
          <w:lang w:val="fr-FR"/>
        </w:rPr>
      </w:pPr>
      <w:r w:rsidRPr="00543273">
        <w:rPr>
          <w:smallCaps/>
          <w:lang w:val="en-IE"/>
        </w:rPr>
        <w:t>Niang M., Diallo M., Cisse O., Kone M., Doucoure M., Roth J.A., Balcer-Rodrigues V.</w:t>
      </w:r>
      <w:r w:rsidR="0003601B" w:rsidRPr="00543273">
        <w:rPr>
          <w:smallCaps/>
          <w:lang w:val="en-IE"/>
        </w:rPr>
        <w:t xml:space="preserve"> &amp;</w:t>
      </w:r>
      <w:r w:rsidRPr="00543273">
        <w:rPr>
          <w:smallCaps/>
          <w:lang w:val="en-IE"/>
        </w:rPr>
        <w:t xml:space="preserve"> Dedieu L</w:t>
      </w:r>
      <w:r w:rsidRPr="00543273">
        <w:rPr>
          <w:lang w:val="en-IE"/>
        </w:rPr>
        <w:t xml:space="preserve">. </w:t>
      </w:r>
      <w:r w:rsidR="0003601B" w:rsidRPr="00543273">
        <w:rPr>
          <w:lang w:val="en-IE"/>
        </w:rPr>
        <w:t>(</w:t>
      </w:r>
      <w:r w:rsidRPr="00543273">
        <w:rPr>
          <w:lang w:val="en-IE"/>
        </w:rPr>
        <w:t>2006</w:t>
      </w:r>
      <w:r w:rsidR="0003601B" w:rsidRPr="00543273">
        <w:rPr>
          <w:lang w:val="en-IE"/>
        </w:rPr>
        <w:t>).</w:t>
      </w:r>
      <w:r w:rsidRPr="00543273">
        <w:rPr>
          <w:lang w:val="en-IE"/>
        </w:rPr>
        <w:t xml:space="preserve"> </w:t>
      </w:r>
      <w:r w:rsidRPr="00706680">
        <w:rPr>
          <w:lang w:val="en-IE"/>
        </w:rPr>
        <w:t xml:space="preserve">Pulmonary and serum antibody responses elicited in zebu cattle experimentally infected with </w:t>
      </w:r>
      <w:r w:rsidRPr="00706680">
        <w:rPr>
          <w:i/>
          <w:lang w:val="en-IE"/>
        </w:rPr>
        <w:t>Mycoplasma</w:t>
      </w:r>
      <w:r w:rsidRPr="00706680">
        <w:rPr>
          <w:lang w:val="en-IE"/>
        </w:rPr>
        <w:t xml:space="preserve"> </w:t>
      </w:r>
      <w:r w:rsidRPr="00706680">
        <w:rPr>
          <w:i/>
          <w:lang w:val="en-IE"/>
        </w:rPr>
        <w:t>mycoides</w:t>
      </w:r>
      <w:r w:rsidRPr="00706680">
        <w:rPr>
          <w:lang w:val="en-IE"/>
        </w:rPr>
        <w:t xml:space="preserve"> subsp. </w:t>
      </w:r>
      <w:r w:rsidRPr="00706680">
        <w:rPr>
          <w:i/>
          <w:lang w:val="en-IE"/>
        </w:rPr>
        <w:t>mycoides</w:t>
      </w:r>
      <w:r w:rsidRPr="00706680">
        <w:rPr>
          <w:lang w:val="en-IE"/>
        </w:rPr>
        <w:t xml:space="preserve"> SC by contact exposure. </w:t>
      </w:r>
      <w:r w:rsidRPr="00524400">
        <w:rPr>
          <w:i/>
          <w:iCs/>
          <w:lang w:val="fr-FR"/>
        </w:rPr>
        <w:t>Vet</w:t>
      </w:r>
      <w:r w:rsidR="0003601B" w:rsidRPr="00524400">
        <w:rPr>
          <w:i/>
          <w:iCs/>
          <w:lang w:val="fr-FR"/>
        </w:rPr>
        <w:t>.</w:t>
      </w:r>
      <w:r w:rsidRPr="00524400">
        <w:rPr>
          <w:i/>
          <w:iCs/>
          <w:lang w:val="fr-FR"/>
        </w:rPr>
        <w:t xml:space="preserve"> Res</w:t>
      </w:r>
      <w:r w:rsidR="0003601B" w:rsidRPr="00524400">
        <w:rPr>
          <w:lang w:val="fr-FR"/>
        </w:rPr>
        <w:t>.,</w:t>
      </w:r>
      <w:r w:rsidRPr="00524400">
        <w:rPr>
          <w:i/>
          <w:lang w:val="fr-FR"/>
        </w:rPr>
        <w:t xml:space="preserve"> </w:t>
      </w:r>
      <w:r w:rsidRPr="00524400">
        <w:rPr>
          <w:b/>
          <w:bCs/>
          <w:lang w:val="fr-FR"/>
        </w:rPr>
        <w:t>37</w:t>
      </w:r>
      <w:r w:rsidRPr="00524400">
        <w:rPr>
          <w:lang w:val="fr-FR"/>
        </w:rPr>
        <w:t>, 733</w:t>
      </w:r>
      <w:r w:rsidR="0003601B" w:rsidRPr="00524400">
        <w:rPr>
          <w:lang w:val="fr-FR"/>
        </w:rPr>
        <w:t>–</w:t>
      </w:r>
      <w:r w:rsidRPr="00524400">
        <w:rPr>
          <w:lang w:val="fr-FR"/>
        </w:rPr>
        <w:t>744.</w:t>
      </w:r>
    </w:p>
    <w:p w14:paraId="78E366D6" w14:textId="77777777" w:rsidR="00093494" w:rsidRPr="00706680" w:rsidRDefault="00093494" w:rsidP="00391883">
      <w:pPr>
        <w:pStyle w:val="Ref"/>
        <w:rPr>
          <w:lang w:val="fr-FR"/>
        </w:rPr>
      </w:pPr>
      <w:r w:rsidRPr="00706680">
        <w:rPr>
          <w:smallCaps/>
          <w:lang w:val="fr-FR"/>
        </w:rPr>
        <w:t xml:space="preserve">Provost A. </w:t>
      </w:r>
      <w:r w:rsidRPr="00706680">
        <w:rPr>
          <w:lang w:val="fr-FR"/>
        </w:rPr>
        <w:t xml:space="preserve">(1972). Recherches immunologiques sur la péripneumonie. XIV. Description de deux techniques applicables sur le terrain pour le diagnostic de la maladie. </w:t>
      </w:r>
      <w:r w:rsidRPr="00706680">
        <w:rPr>
          <w:i/>
          <w:lang w:val="fr-FR"/>
        </w:rPr>
        <w:t>Rev. Elev. Med. Vet. Pays Trop</w:t>
      </w:r>
      <w:r w:rsidRPr="00706680">
        <w:rPr>
          <w:lang w:val="fr-FR"/>
        </w:rPr>
        <w:t xml:space="preserve">., </w:t>
      </w:r>
      <w:r w:rsidRPr="00706680">
        <w:rPr>
          <w:b/>
          <w:lang w:val="fr-FR"/>
        </w:rPr>
        <w:t>25</w:t>
      </w:r>
      <w:r w:rsidRPr="00706680">
        <w:rPr>
          <w:lang w:val="fr-FR"/>
        </w:rPr>
        <w:t>, 475–496.</w:t>
      </w:r>
    </w:p>
    <w:p w14:paraId="46ED1F1F" w14:textId="77777777" w:rsidR="00093494" w:rsidRPr="002C294A" w:rsidRDefault="00093494" w:rsidP="000176E6">
      <w:pPr>
        <w:pStyle w:val="Ref"/>
        <w:rPr>
          <w:lang w:val="fr-FR"/>
        </w:rPr>
      </w:pPr>
      <w:r w:rsidRPr="00A304D2">
        <w:rPr>
          <w:smallCaps/>
          <w:lang w:val="fr-FR"/>
        </w:rPr>
        <w:t>Provost A., Perreau P., Breard A., Le Goff C., Martel J.L. &amp; Cottew G.S</w:t>
      </w:r>
      <w:r w:rsidRPr="00A304D2">
        <w:rPr>
          <w:lang w:val="fr-FR"/>
        </w:rPr>
        <w:t xml:space="preserve">. (1987). </w:t>
      </w:r>
      <w:r w:rsidRPr="002C294A">
        <w:rPr>
          <w:lang w:val="fr-FR"/>
        </w:rPr>
        <w:t xml:space="preserve">Péripneumonie contagieuse bovine. </w:t>
      </w:r>
      <w:r w:rsidRPr="002C294A">
        <w:rPr>
          <w:i/>
          <w:lang w:val="fr-FR"/>
        </w:rPr>
        <w:t>Rev. sci. tech. Off. int. Epiz</w:t>
      </w:r>
      <w:r w:rsidRPr="002C294A">
        <w:rPr>
          <w:lang w:val="fr-FR"/>
        </w:rPr>
        <w:t xml:space="preserve">., </w:t>
      </w:r>
      <w:r w:rsidRPr="002C294A">
        <w:rPr>
          <w:b/>
          <w:lang w:val="fr-FR"/>
        </w:rPr>
        <w:t>6</w:t>
      </w:r>
      <w:r w:rsidRPr="002C294A">
        <w:rPr>
          <w:lang w:val="fr-FR"/>
        </w:rPr>
        <w:t>, 565–624.</w:t>
      </w:r>
    </w:p>
    <w:p w14:paraId="11CFBA03" w14:textId="77777777" w:rsidR="00093494" w:rsidRPr="000176E6" w:rsidRDefault="00093494" w:rsidP="000176E6">
      <w:pPr>
        <w:pStyle w:val="Ref"/>
      </w:pPr>
      <w:r w:rsidRPr="002C294A">
        <w:rPr>
          <w:smallCaps/>
          <w:lang w:val="fr-FR"/>
        </w:rPr>
        <w:t>Santini F.G., Visaggio M., Farinelli G., Di Francesco G., Guarducci M., D’Angelo A.R., Scacchia M. &amp; Di Giannatale E.</w:t>
      </w:r>
      <w:r w:rsidRPr="002C294A">
        <w:rPr>
          <w:lang w:val="fr-FR"/>
        </w:rPr>
        <w:t xml:space="preserve"> (1992). </w:t>
      </w:r>
      <w:r w:rsidRPr="000176E6">
        <w:t xml:space="preserve">Pulmonary sequestrum from Mycoplasma mycoides var. mycoides SC in a domestic buffalo; isolation, anatamo-histopathology and immuno-histochemistry. </w:t>
      </w:r>
      <w:r w:rsidRPr="004F29A8">
        <w:rPr>
          <w:i/>
        </w:rPr>
        <w:t>Veterinaria Italiana</w:t>
      </w:r>
      <w:r w:rsidRPr="000176E6">
        <w:t xml:space="preserve">, </w:t>
      </w:r>
      <w:r w:rsidRPr="004F29A8">
        <w:rPr>
          <w:b/>
        </w:rPr>
        <w:t>4</w:t>
      </w:r>
      <w:r w:rsidRPr="000176E6">
        <w:t>, 4–10.</w:t>
      </w:r>
    </w:p>
    <w:p w14:paraId="691FBF15" w14:textId="77777777" w:rsidR="0049299A" w:rsidRPr="00706680" w:rsidRDefault="0049299A" w:rsidP="0049299A">
      <w:pPr>
        <w:pStyle w:val="Ref"/>
        <w:rPr>
          <w:rFonts w:eastAsia="Calibri"/>
          <w:lang w:val="en-IE" w:eastAsia="pt-PT"/>
        </w:rPr>
      </w:pPr>
      <w:r w:rsidRPr="00706680">
        <w:rPr>
          <w:rStyle w:val="lev"/>
          <w:rFonts w:ascii="Arial" w:hAnsi="Arial"/>
          <w:b w:val="0"/>
          <w:smallCaps/>
          <w:sz w:val="18"/>
          <w:szCs w:val="18"/>
          <w:lang w:val="en-IE"/>
        </w:rPr>
        <w:t>Schubert E., Sachse K.</w:t>
      </w:r>
      <w:r w:rsidR="00D6374C" w:rsidRPr="00706680">
        <w:rPr>
          <w:rStyle w:val="lev"/>
          <w:rFonts w:ascii="Arial" w:hAnsi="Arial"/>
          <w:b w:val="0"/>
          <w:smallCaps/>
          <w:sz w:val="18"/>
          <w:szCs w:val="18"/>
          <w:lang w:val="en-IE"/>
        </w:rPr>
        <w:t>, Jores J.</w:t>
      </w:r>
      <w:r w:rsidRPr="00706680">
        <w:rPr>
          <w:rStyle w:val="lev"/>
          <w:rFonts w:ascii="Arial" w:hAnsi="Arial"/>
          <w:b w:val="0"/>
          <w:smallCaps/>
          <w:sz w:val="18"/>
          <w:szCs w:val="18"/>
          <w:lang w:val="en-IE"/>
        </w:rPr>
        <w:t xml:space="preserve"> &amp;</w:t>
      </w:r>
      <w:r w:rsidRPr="00706680">
        <w:rPr>
          <w:smallCaps/>
          <w:lang w:val="en-IE"/>
        </w:rPr>
        <w:t xml:space="preserve"> </w:t>
      </w:r>
      <w:r w:rsidRPr="00706680">
        <w:rPr>
          <w:rStyle w:val="lev"/>
          <w:rFonts w:ascii="Arial" w:hAnsi="Arial"/>
          <w:b w:val="0"/>
          <w:smallCaps/>
          <w:sz w:val="18"/>
          <w:szCs w:val="18"/>
          <w:lang w:val="en-IE"/>
        </w:rPr>
        <w:t>Heller M.</w:t>
      </w:r>
      <w:r w:rsidRPr="00706680">
        <w:rPr>
          <w:rStyle w:val="lev"/>
          <w:rFonts w:ascii="Arial" w:hAnsi="Arial"/>
          <w:b w:val="0"/>
          <w:sz w:val="18"/>
          <w:szCs w:val="18"/>
          <w:lang w:val="en-IE"/>
        </w:rPr>
        <w:t xml:space="preserve"> (2011). </w:t>
      </w:r>
      <w:r w:rsidRPr="00706680">
        <w:rPr>
          <w:lang w:val="en-IE"/>
        </w:rPr>
        <w:t xml:space="preserve">Serological testing of cattle experimentally infected with </w:t>
      </w:r>
      <w:r w:rsidRPr="00706680">
        <w:rPr>
          <w:rStyle w:val="Accentuation"/>
          <w:b w:val="0"/>
          <w:i/>
          <w:lang w:val="en-IE"/>
        </w:rPr>
        <w:t xml:space="preserve">Mycoplasma mycoides </w:t>
      </w:r>
      <w:r w:rsidRPr="00706680">
        <w:rPr>
          <w:lang w:val="en-IE"/>
        </w:rPr>
        <w:t xml:space="preserve">subsp. </w:t>
      </w:r>
      <w:r w:rsidRPr="00706680">
        <w:rPr>
          <w:rStyle w:val="Accentuation"/>
          <w:b w:val="0"/>
          <w:i/>
          <w:lang w:val="en-IE"/>
        </w:rPr>
        <w:t>mycoides</w:t>
      </w:r>
      <w:r w:rsidRPr="00706680">
        <w:rPr>
          <w:rStyle w:val="Accentuation"/>
          <w:b w:val="0"/>
          <w:lang w:val="en-IE"/>
        </w:rPr>
        <w:t xml:space="preserve"> </w:t>
      </w:r>
      <w:r w:rsidRPr="00706680">
        <w:rPr>
          <w:lang w:val="en-IE"/>
        </w:rPr>
        <w:t xml:space="preserve">Small Colony using four different tests reveals a variety of seroconversion patterns. </w:t>
      </w:r>
      <w:r w:rsidRPr="00706680">
        <w:rPr>
          <w:rFonts w:eastAsia="Calibri"/>
          <w:i/>
          <w:lang w:val="en-IE" w:eastAsia="pt-PT"/>
        </w:rPr>
        <w:t>BMC Vet. Res</w:t>
      </w:r>
      <w:r w:rsidRPr="00706680">
        <w:rPr>
          <w:rFonts w:eastAsia="Calibri"/>
          <w:lang w:val="en-IE" w:eastAsia="pt-PT"/>
        </w:rPr>
        <w:t xml:space="preserve">., </w:t>
      </w:r>
      <w:r w:rsidRPr="00706680">
        <w:rPr>
          <w:rFonts w:eastAsia="Calibri"/>
          <w:b/>
          <w:lang w:val="en-IE" w:eastAsia="pt-PT"/>
        </w:rPr>
        <w:t>7</w:t>
      </w:r>
      <w:r w:rsidR="00D6374C" w:rsidRPr="00706680">
        <w:rPr>
          <w:rFonts w:eastAsia="Calibri"/>
          <w:lang w:val="en-IE" w:eastAsia="pt-PT"/>
        </w:rPr>
        <w:t xml:space="preserve">, </w:t>
      </w:r>
      <w:r w:rsidRPr="00706680">
        <w:rPr>
          <w:rFonts w:eastAsia="Calibri"/>
          <w:lang w:val="en-IE" w:eastAsia="pt-PT"/>
        </w:rPr>
        <w:t>72.</w:t>
      </w:r>
    </w:p>
    <w:p w14:paraId="01F2791A" w14:textId="77777777" w:rsidR="0049299A" w:rsidRPr="00706680" w:rsidRDefault="0049299A" w:rsidP="00FB285F">
      <w:pPr>
        <w:pStyle w:val="Ref"/>
        <w:rPr>
          <w:smallCaps/>
          <w:lang w:val="en-IE"/>
        </w:rPr>
      </w:pPr>
      <w:r w:rsidRPr="00706680">
        <w:rPr>
          <w:smallCaps/>
          <w:lang w:val="en-IE"/>
        </w:rPr>
        <w:t>Sheriff D. &amp; Piercy S.E. (1952).</w:t>
      </w:r>
      <w:r w:rsidRPr="00706680">
        <w:rPr>
          <w:sz w:val="24"/>
          <w:szCs w:val="24"/>
          <w:lang w:val="en-IE"/>
        </w:rPr>
        <w:t xml:space="preserve"> </w:t>
      </w:r>
      <w:r w:rsidRPr="00706680">
        <w:rPr>
          <w:lang w:val="en-IE"/>
        </w:rPr>
        <w:t>Experiments with an avianised strain of the organism of contagious bovine pleuropneumonia</w:t>
      </w:r>
      <w:r w:rsidRPr="00706680">
        <w:rPr>
          <w:sz w:val="24"/>
          <w:szCs w:val="24"/>
          <w:lang w:val="en-IE"/>
        </w:rPr>
        <w:t>.</w:t>
      </w:r>
      <w:r w:rsidRPr="00706680">
        <w:rPr>
          <w:lang w:val="en-IE"/>
        </w:rPr>
        <w:t xml:space="preserve"> </w:t>
      </w:r>
      <w:r w:rsidR="00D6374C" w:rsidRPr="00706680">
        <w:rPr>
          <w:i/>
          <w:lang w:val="en-IE"/>
        </w:rPr>
        <w:t xml:space="preserve">Vet. Rec., </w:t>
      </w:r>
      <w:r w:rsidRPr="00706680">
        <w:rPr>
          <w:b/>
          <w:lang w:val="en-IE"/>
        </w:rPr>
        <w:t>64</w:t>
      </w:r>
      <w:r w:rsidRPr="00706680">
        <w:rPr>
          <w:lang w:val="en-IE"/>
        </w:rPr>
        <w:t>, 615–621.</w:t>
      </w:r>
    </w:p>
    <w:p w14:paraId="4E1C8035" w14:textId="77777777" w:rsidR="00405DBF" w:rsidRPr="00706680" w:rsidRDefault="00405DBF" w:rsidP="00FB285F">
      <w:pPr>
        <w:pStyle w:val="Ref"/>
        <w:rPr>
          <w:lang w:val="en-IE"/>
        </w:rPr>
      </w:pPr>
      <w:r w:rsidRPr="00706680">
        <w:rPr>
          <w:smallCaps/>
          <w:lang w:val="en-IE"/>
        </w:rPr>
        <w:t>Srivastava N.C., Thia</w:t>
      </w:r>
      <w:r w:rsidR="00E53738" w:rsidRPr="00706680">
        <w:rPr>
          <w:smallCaps/>
          <w:lang w:val="en-IE"/>
        </w:rPr>
        <w:t>u</w:t>
      </w:r>
      <w:r w:rsidRPr="00706680">
        <w:rPr>
          <w:smallCaps/>
          <w:lang w:val="en-IE"/>
        </w:rPr>
        <w:t>court F., Singh V.P., Sunder J. &amp; Singh V.P</w:t>
      </w:r>
      <w:r w:rsidRPr="00706680">
        <w:rPr>
          <w:lang w:val="en-IE"/>
        </w:rPr>
        <w:t xml:space="preserve">. (2000). Isolation of </w:t>
      </w:r>
      <w:r w:rsidRPr="00706680">
        <w:rPr>
          <w:i/>
          <w:iCs/>
          <w:lang w:val="en-IE"/>
        </w:rPr>
        <w:t>Mycoplasma myco</w:t>
      </w:r>
      <w:r w:rsidR="00E901BC">
        <w:rPr>
          <w:i/>
          <w:iCs/>
          <w:lang w:val="en-IE"/>
        </w:rPr>
        <w:t>i</w:t>
      </w:r>
      <w:r w:rsidRPr="00706680">
        <w:rPr>
          <w:i/>
          <w:iCs/>
          <w:lang w:val="en-IE"/>
        </w:rPr>
        <w:t>des</w:t>
      </w:r>
      <w:r w:rsidRPr="00706680">
        <w:rPr>
          <w:lang w:val="en-IE"/>
        </w:rPr>
        <w:t xml:space="preserve"> small colony type from contagious caprine pleuropneumonia in India. </w:t>
      </w:r>
      <w:r w:rsidRPr="00E901BC">
        <w:rPr>
          <w:i/>
          <w:lang w:val="en-IE"/>
        </w:rPr>
        <w:t>Vet. Rec</w:t>
      </w:r>
      <w:r w:rsidRPr="00706680">
        <w:rPr>
          <w:lang w:val="en-IE"/>
        </w:rPr>
        <w:t xml:space="preserve">., </w:t>
      </w:r>
      <w:r w:rsidRPr="00706680">
        <w:rPr>
          <w:b/>
          <w:bCs/>
          <w:lang w:val="en-IE"/>
        </w:rPr>
        <w:t>147</w:t>
      </w:r>
      <w:r w:rsidRPr="00706680">
        <w:rPr>
          <w:lang w:val="en-IE"/>
        </w:rPr>
        <w:t>, 520–521.</w:t>
      </w:r>
    </w:p>
    <w:p w14:paraId="366F6013" w14:textId="77777777" w:rsidR="00093494" w:rsidRPr="00706680" w:rsidRDefault="00093494" w:rsidP="00035E2E">
      <w:pPr>
        <w:pStyle w:val="Ref"/>
        <w:rPr>
          <w:lang w:val="en-IE"/>
        </w:rPr>
      </w:pPr>
      <w:r w:rsidRPr="00706680">
        <w:rPr>
          <w:smallCaps/>
          <w:lang w:val="en-IE"/>
        </w:rPr>
        <w:t>Wesonga H.O. &amp; Thiaucourt F</w:t>
      </w:r>
      <w:r w:rsidRPr="00706680">
        <w:rPr>
          <w:lang w:val="en-IE"/>
        </w:rPr>
        <w:t>. (2000)</w:t>
      </w:r>
      <w:r w:rsidR="00743B50" w:rsidRPr="00706680">
        <w:rPr>
          <w:lang w:val="en-IE"/>
        </w:rPr>
        <w:t>.</w:t>
      </w:r>
      <w:r w:rsidRPr="00706680">
        <w:rPr>
          <w:lang w:val="en-IE"/>
        </w:rPr>
        <w:t xml:space="preserve"> Experimental studies on the efficacy of T1sr and T1/44 vaccine strains of </w:t>
      </w:r>
      <w:r w:rsidRPr="00706680">
        <w:rPr>
          <w:i/>
          <w:iCs/>
          <w:lang w:val="en-IE"/>
        </w:rPr>
        <w:t>Mmm</w:t>
      </w:r>
      <w:r w:rsidRPr="00706680">
        <w:rPr>
          <w:lang w:val="en-IE"/>
        </w:rPr>
        <w:t xml:space="preserve">SC against a field isolate causing contagious bovine pleuropneumonia in Kenya – Effect of a revaccination. </w:t>
      </w:r>
      <w:r w:rsidRPr="00706680">
        <w:rPr>
          <w:i/>
          <w:iCs/>
          <w:lang w:val="en-IE"/>
        </w:rPr>
        <w:t>Rev. Elev. Med. Vet. Pays Trop</w:t>
      </w:r>
      <w:r w:rsidRPr="00706680">
        <w:rPr>
          <w:lang w:val="en-IE"/>
        </w:rPr>
        <w:t xml:space="preserve">., </w:t>
      </w:r>
      <w:r w:rsidRPr="00706680">
        <w:rPr>
          <w:b/>
          <w:bCs/>
          <w:lang w:val="en-IE"/>
        </w:rPr>
        <w:t>53</w:t>
      </w:r>
      <w:r w:rsidRPr="00706680">
        <w:rPr>
          <w:lang w:val="en-IE"/>
        </w:rPr>
        <w:t>, 313–318.</w:t>
      </w:r>
    </w:p>
    <w:p w14:paraId="69C59C2E" w14:textId="77777777" w:rsidR="00093494" w:rsidRPr="00706680" w:rsidRDefault="00093494" w:rsidP="00743B50">
      <w:pPr>
        <w:pStyle w:val="Ref"/>
        <w:rPr>
          <w:lang w:val="en-IE"/>
        </w:rPr>
      </w:pPr>
      <w:r w:rsidRPr="00524400">
        <w:rPr>
          <w:smallCaps/>
          <w:lang w:val="en-IE"/>
        </w:rPr>
        <w:t>Yaya A., Golsia R., Hamadou B., Amaro A. &amp; Thiaucourt F.</w:t>
      </w:r>
      <w:r w:rsidRPr="00524400">
        <w:rPr>
          <w:lang w:val="en-IE"/>
        </w:rPr>
        <w:t xml:space="preserve"> (1999). </w:t>
      </w:r>
      <w:r w:rsidRPr="00706680">
        <w:rPr>
          <w:lang w:val="fr-FR"/>
        </w:rPr>
        <w:t xml:space="preserve">Essai comparatif d’efficacité des deux souches vaccinales T1/44 et T1sr contre la péripneumonie contagieuse bovine. </w:t>
      </w:r>
      <w:r w:rsidRPr="00706680">
        <w:rPr>
          <w:i/>
          <w:iCs/>
          <w:lang w:val="en-IE"/>
        </w:rPr>
        <w:t>Rev. Elev. Med. Vet. Pays Trop</w:t>
      </w:r>
      <w:r w:rsidRPr="00706680">
        <w:rPr>
          <w:lang w:val="en-IE"/>
        </w:rPr>
        <w:t xml:space="preserve">., </w:t>
      </w:r>
      <w:r w:rsidRPr="00706680">
        <w:rPr>
          <w:b/>
          <w:bCs/>
          <w:lang w:val="en-IE"/>
        </w:rPr>
        <w:t>52</w:t>
      </w:r>
      <w:r w:rsidRPr="00706680">
        <w:rPr>
          <w:lang w:val="en-IE"/>
        </w:rPr>
        <w:t>, 171–179.</w:t>
      </w:r>
    </w:p>
    <w:p w14:paraId="5D058466" w14:textId="77777777" w:rsidR="00093494" w:rsidRPr="00706680" w:rsidRDefault="00093494">
      <w:pPr>
        <w:pStyle w:val="rtoiles"/>
        <w:rPr>
          <w:lang w:val="en-IE"/>
        </w:rPr>
      </w:pPr>
      <w:r w:rsidRPr="00706680">
        <w:rPr>
          <w:lang w:val="en-IE"/>
        </w:rPr>
        <w:t>*</w:t>
      </w:r>
      <w:r w:rsidRPr="00706680">
        <w:rPr>
          <w:lang w:val="en-IE"/>
        </w:rPr>
        <w:br/>
        <w:t>*   *</w:t>
      </w:r>
    </w:p>
    <w:p w14:paraId="37B52847" w14:textId="77777777" w:rsidR="00DC5130" w:rsidRPr="00706680" w:rsidRDefault="00DC5130" w:rsidP="008233DC">
      <w:pPr>
        <w:pStyle w:val="Reflabnote"/>
        <w:spacing w:after="240"/>
        <w:rPr>
          <w:lang w:val="en-IE"/>
        </w:rPr>
      </w:pPr>
      <w:r w:rsidRPr="00706680">
        <w:rPr>
          <w:b/>
          <w:bCs/>
          <w:lang w:val="en-IE"/>
        </w:rPr>
        <w:t>NB:</w:t>
      </w:r>
      <w:r w:rsidRPr="00706680">
        <w:rPr>
          <w:lang w:val="en-IE"/>
        </w:rPr>
        <w:t xml:space="preserve"> There are OIE Reference Laboratories for Contagious bovine pleuropneumonia</w:t>
      </w:r>
      <w:r w:rsidRPr="00706680">
        <w:rPr>
          <w:lang w:val="en-IE"/>
        </w:rPr>
        <w:br/>
        <w:t xml:space="preserve">(see Table in </w:t>
      </w:r>
      <w:r w:rsidR="0023484A" w:rsidRPr="00706680">
        <w:rPr>
          <w:lang w:val="en-IE"/>
        </w:rPr>
        <w:t>Part 4</w:t>
      </w:r>
      <w:r w:rsidRPr="00706680">
        <w:rPr>
          <w:lang w:val="en-IE"/>
        </w:rPr>
        <w:t xml:space="preserve"> of this </w:t>
      </w:r>
      <w:r w:rsidRPr="00706680">
        <w:rPr>
          <w:i/>
          <w:lang w:val="en-IE"/>
        </w:rPr>
        <w:t xml:space="preserve">Terrestrial Manual </w:t>
      </w:r>
      <w:r w:rsidRPr="00706680">
        <w:rPr>
          <w:lang w:val="en-IE"/>
        </w:rPr>
        <w:t xml:space="preserve">or consult the OIE Web site for the most up-to-date list: </w:t>
      </w:r>
      <w:hyperlink r:id="rId15" w:history="1">
        <w:r w:rsidR="00E901BC" w:rsidRPr="000D6C35">
          <w:rPr>
            <w:rStyle w:val="Lienhypertexte"/>
            <w:lang w:val="en-IE"/>
          </w:rPr>
          <w:t>http://www.oie.int/en/scientific-expertise/reference-laboratories/list-of-laboratories/</w:t>
        </w:r>
      </w:hyperlink>
      <w:r w:rsidRPr="00706680">
        <w:rPr>
          <w:lang w:val="en-IE"/>
        </w:rPr>
        <w:t xml:space="preserve"> </w:t>
      </w:r>
      <w:hyperlink r:id="rId16" w:history="1"/>
      <w:r w:rsidRPr="00706680">
        <w:rPr>
          <w:lang w:val="en-IE"/>
        </w:rPr>
        <w:t xml:space="preserve">). </w:t>
      </w:r>
      <w:r w:rsidRPr="00706680">
        <w:rPr>
          <w:lang w:val="en-IE"/>
        </w:rPr>
        <w:br/>
        <w:t xml:space="preserve">Please contact the OIE Reference Laboratories for any further information on </w:t>
      </w:r>
      <w:r w:rsidRPr="00706680">
        <w:rPr>
          <w:lang w:val="en-IE"/>
        </w:rPr>
        <w:br/>
        <w:t>diagnostic tests, reagents and vaccines for contagious bovine pleuropneumonia</w:t>
      </w:r>
    </w:p>
    <w:p w14:paraId="3BD702DC" w14:textId="77777777" w:rsidR="00E901BC" w:rsidRPr="00E901BC" w:rsidRDefault="002E6D0A" w:rsidP="008233DC">
      <w:pPr>
        <w:spacing w:after="240"/>
        <w:jc w:val="center"/>
        <w:rPr>
          <w:rFonts w:ascii="Arial" w:hAnsi="Arial" w:cs="Arial"/>
          <w:sz w:val="18"/>
          <w:szCs w:val="18"/>
          <w:lang w:val="en-IE"/>
        </w:rPr>
      </w:pPr>
      <w:r w:rsidRPr="00683785">
        <w:rPr>
          <w:rFonts w:ascii="Arial" w:hAnsi="Arial" w:cs="Arial"/>
          <w:b/>
          <w:smallCaps/>
          <w:sz w:val="18"/>
          <w:szCs w:val="18"/>
          <w:lang w:val="en-GB"/>
        </w:rPr>
        <w:t>NB:</w:t>
      </w:r>
      <w:r w:rsidRPr="00683785">
        <w:rPr>
          <w:rFonts w:ascii="Arial" w:hAnsi="Arial" w:cs="Arial"/>
          <w:smallCaps/>
          <w:sz w:val="18"/>
          <w:szCs w:val="18"/>
          <w:lang w:val="en-GB"/>
        </w:rPr>
        <w:t xml:space="preserve"> First adopted in 1991. Most recent updates adopted in 2014.</w:t>
      </w:r>
    </w:p>
    <w:p w14:paraId="42958E4F" w14:textId="77777777" w:rsidR="00972AA8" w:rsidRPr="000176E6" w:rsidRDefault="00972AA8" w:rsidP="004F29A8">
      <w:pPr>
        <w:pStyle w:val="Ref"/>
        <w:rPr>
          <w:u w:val="double"/>
        </w:rPr>
      </w:pPr>
    </w:p>
    <w:sectPr w:rsidR="00972AA8" w:rsidRPr="000176E6" w:rsidSect="00E30BA0">
      <w:headerReference w:type="even" r:id="rId17"/>
      <w:headerReference w:type="default" r:id="rId18"/>
      <w:footerReference w:type="even" r:id="rId19"/>
      <w:footerReference w:type="default" r:id="rId20"/>
      <w:footerReference w:type="first" r:id="rId21"/>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29026" w14:textId="77777777" w:rsidR="00F848FF" w:rsidRDefault="00F848FF">
      <w:r>
        <w:separator/>
      </w:r>
    </w:p>
  </w:endnote>
  <w:endnote w:type="continuationSeparator" w:id="0">
    <w:p w14:paraId="0E1E6A73" w14:textId="77777777" w:rsidR="00F848FF" w:rsidRDefault="00F84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18C54" w14:textId="77777777" w:rsidR="00497929" w:rsidRPr="006D33D4" w:rsidRDefault="00497929" w:rsidP="006D33D4">
    <w:pPr>
      <w:pBdr>
        <w:top w:val="single" w:sz="6" w:space="5" w:color="auto"/>
      </w:pBdr>
      <w:tabs>
        <w:tab w:val="right" w:pos="9072"/>
      </w:tabs>
      <w:spacing w:line="240" w:lineRule="exac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A54C5E">
      <w:rPr>
        <w:rFonts w:ascii="Ottawa" w:hAnsi="Ottawa"/>
        <w:noProof/>
        <w:sz w:val="22"/>
      </w:rPr>
      <w:t>12</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D63AB" w14:textId="77777777" w:rsidR="00497929" w:rsidRPr="006D33D4" w:rsidRDefault="00497929" w:rsidP="006D33D4">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A54C5E">
      <w:rPr>
        <w:rFonts w:ascii="Ottawa" w:hAnsi="Ottawa"/>
        <w:noProof/>
        <w:sz w:val="22"/>
      </w:rPr>
      <w:t>13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775DC" w14:textId="77777777" w:rsidR="00497929" w:rsidRDefault="00497929" w:rsidP="00DC5130">
    <w:pPr>
      <w:pBdr>
        <w:top w:val="single" w:sz="6" w:space="5" w:color="auto"/>
      </w:pBdr>
      <w:tabs>
        <w:tab w:val="right" w:pos="9072"/>
      </w:tabs>
      <w:spacing w:line="240" w:lineRule="exac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7CB49" w14:textId="77777777" w:rsidR="00F848FF" w:rsidRDefault="00F848FF">
      <w:r>
        <w:separator/>
      </w:r>
    </w:p>
  </w:footnote>
  <w:footnote w:type="continuationSeparator" w:id="0">
    <w:p w14:paraId="7278DC78" w14:textId="77777777" w:rsidR="00F848FF" w:rsidRDefault="00F848FF">
      <w:r>
        <w:continuationSeparator/>
      </w:r>
    </w:p>
  </w:footnote>
  <w:footnote w:id="1">
    <w:p w14:paraId="25D43CCF" w14:textId="77777777" w:rsidR="00497929" w:rsidRPr="00543273" w:rsidRDefault="00497929" w:rsidP="00543273">
      <w:pPr>
        <w:pStyle w:val="Notedebasdepage"/>
        <w:spacing w:line="240" w:lineRule="auto"/>
        <w:ind w:left="425" w:hanging="425"/>
        <w:rPr>
          <w:rFonts w:ascii="Arial" w:hAnsi="Arial" w:cs="Arial"/>
          <w:sz w:val="16"/>
          <w:szCs w:val="16"/>
          <w:lang w:val="en-IE"/>
        </w:rPr>
      </w:pPr>
      <w:r w:rsidRPr="00543273">
        <w:rPr>
          <w:rStyle w:val="Appelnotedebasdep"/>
          <w:rFonts w:ascii="Arial" w:hAnsi="Arial" w:cs="Arial"/>
          <w:sz w:val="16"/>
          <w:szCs w:val="16"/>
          <w:vertAlign w:val="baseline"/>
        </w:rPr>
        <w:footnoteRef/>
      </w:r>
      <w:r w:rsidRPr="00543273">
        <w:rPr>
          <w:rFonts w:ascii="Arial" w:hAnsi="Arial" w:cs="Arial"/>
          <w:sz w:val="16"/>
          <w:szCs w:val="16"/>
        </w:rPr>
        <w:t xml:space="preserve"> </w:t>
      </w:r>
      <w:r w:rsidRPr="00543273">
        <w:rPr>
          <w:rFonts w:ascii="Arial" w:hAnsi="Arial" w:cs="Arial"/>
          <w:sz w:val="16"/>
          <w:szCs w:val="16"/>
        </w:rPr>
        <w:tab/>
      </w:r>
      <w:r w:rsidRPr="000902A2">
        <w:rPr>
          <w:rFonts w:ascii="Arial" w:hAnsi="Arial" w:cs="Arial"/>
          <w:strike/>
          <w:sz w:val="16"/>
          <w:szCs w:val="16"/>
          <w:lang w:eastAsia="en-US"/>
        </w:rPr>
        <w:t xml:space="preserve">Recent </w:t>
      </w:r>
      <w:r w:rsidRPr="000902A2">
        <w:rPr>
          <w:rFonts w:ascii="Arial" w:hAnsi="Arial" w:cs="Arial"/>
          <w:sz w:val="16"/>
          <w:szCs w:val="16"/>
          <w:u w:val="double"/>
          <w:lang w:eastAsia="en-US"/>
        </w:rPr>
        <w:t>After</w:t>
      </w:r>
      <w:r>
        <w:rPr>
          <w:rFonts w:ascii="Arial" w:hAnsi="Arial" w:cs="Arial"/>
          <w:sz w:val="16"/>
          <w:szCs w:val="16"/>
          <w:lang w:eastAsia="en-US"/>
        </w:rPr>
        <w:t xml:space="preserve"> t</w:t>
      </w:r>
      <w:r w:rsidRPr="00543273">
        <w:rPr>
          <w:rFonts w:ascii="Arial" w:hAnsi="Arial" w:cs="Arial"/>
          <w:sz w:val="16"/>
          <w:szCs w:val="16"/>
          <w:lang w:eastAsia="en-US"/>
        </w:rPr>
        <w:t xml:space="preserve">axonomic revision </w:t>
      </w:r>
      <w:r w:rsidRPr="000902A2">
        <w:rPr>
          <w:rFonts w:ascii="Arial" w:hAnsi="Arial" w:cs="Arial"/>
          <w:sz w:val="16"/>
          <w:szCs w:val="16"/>
          <w:u w:val="double"/>
          <w:lang w:eastAsia="en-US"/>
        </w:rPr>
        <w:t xml:space="preserve">of the </w:t>
      </w:r>
      <w:r w:rsidRPr="000902A2">
        <w:rPr>
          <w:rFonts w:ascii="Arial" w:hAnsi="Arial" w:cs="Arial"/>
          <w:i/>
          <w:sz w:val="16"/>
          <w:szCs w:val="16"/>
          <w:u w:val="double"/>
          <w:lang w:eastAsia="en-US"/>
        </w:rPr>
        <w:t>Mycoplasma mycoides</w:t>
      </w:r>
      <w:r w:rsidRPr="000902A2">
        <w:rPr>
          <w:rFonts w:ascii="Arial" w:hAnsi="Arial" w:cs="Arial"/>
          <w:sz w:val="16"/>
          <w:szCs w:val="16"/>
          <w:u w:val="double"/>
          <w:lang w:eastAsia="en-US"/>
        </w:rPr>
        <w:t xml:space="preserve"> cluster by </w:t>
      </w:r>
      <w:r w:rsidRPr="000902A2">
        <w:rPr>
          <w:rFonts w:ascii="Arial" w:hAnsi="Arial" w:cs="Arial"/>
          <w:sz w:val="16"/>
          <w:szCs w:val="16"/>
          <w:u w:val="double"/>
          <w:lang w:val="en-IE"/>
        </w:rPr>
        <w:t>Manso-Silv</w:t>
      </w:r>
      <w:r>
        <w:rPr>
          <w:rFonts w:ascii="Arial" w:hAnsi="Arial" w:cs="Arial"/>
          <w:sz w:val="16"/>
          <w:szCs w:val="16"/>
          <w:u w:val="double"/>
          <w:lang w:val="en-IE"/>
        </w:rPr>
        <w:t>a</w:t>
      </w:r>
      <w:r w:rsidRPr="000902A2">
        <w:rPr>
          <w:rFonts w:ascii="Arial" w:hAnsi="Arial" w:cs="Arial"/>
          <w:sz w:val="16"/>
          <w:szCs w:val="16"/>
          <w:u w:val="double"/>
          <w:lang w:val="en-IE"/>
        </w:rPr>
        <w:t xml:space="preserve">n </w:t>
      </w:r>
      <w:r w:rsidRPr="000902A2">
        <w:rPr>
          <w:rFonts w:ascii="Arial" w:hAnsi="Arial" w:cs="Arial"/>
          <w:i/>
          <w:sz w:val="16"/>
          <w:szCs w:val="16"/>
          <w:u w:val="double"/>
          <w:lang w:val="en-IE"/>
        </w:rPr>
        <w:t>et al</w:t>
      </w:r>
      <w:r w:rsidRPr="000902A2">
        <w:rPr>
          <w:rFonts w:ascii="Arial" w:hAnsi="Arial" w:cs="Arial"/>
          <w:sz w:val="16"/>
          <w:szCs w:val="16"/>
          <w:u w:val="double"/>
          <w:lang w:val="en-IE"/>
        </w:rPr>
        <w:t>., 2009</w:t>
      </w:r>
      <w:r>
        <w:rPr>
          <w:lang w:val="en-IE"/>
        </w:rPr>
        <w:t xml:space="preserve"> </w:t>
      </w:r>
      <w:r w:rsidRPr="000902A2">
        <w:rPr>
          <w:rFonts w:ascii="Arial" w:hAnsi="Arial" w:cs="Arial"/>
          <w:strike/>
          <w:sz w:val="16"/>
          <w:szCs w:val="16"/>
          <w:lang w:eastAsia="en-US"/>
        </w:rPr>
        <w:t>has dropped</w:t>
      </w:r>
      <w:r w:rsidRPr="00543273">
        <w:rPr>
          <w:rFonts w:ascii="Arial" w:hAnsi="Arial" w:cs="Arial"/>
          <w:sz w:val="16"/>
          <w:szCs w:val="16"/>
          <w:lang w:eastAsia="en-US"/>
        </w:rPr>
        <w:t xml:space="preserve"> the designation</w:t>
      </w:r>
      <w:r w:rsidRPr="000902A2">
        <w:rPr>
          <w:rFonts w:ascii="Arial" w:hAnsi="Arial" w:cs="Arial"/>
          <w:sz w:val="16"/>
          <w:szCs w:val="16"/>
          <w:u w:val="double"/>
          <w:lang w:eastAsia="en-US"/>
        </w:rPr>
        <w:t>s</w:t>
      </w:r>
      <w:r w:rsidRPr="00543273">
        <w:rPr>
          <w:rFonts w:ascii="Arial" w:hAnsi="Arial" w:cs="Arial"/>
          <w:sz w:val="16"/>
          <w:szCs w:val="16"/>
          <w:lang w:eastAsia="en-US"/>
        </w:rPr>
        <w:t xml:space="preserve"> ‘Small Colony (SC)’</w:t>
      </w:r>
      <w:r>
        <w:rPr>
          <w:rFonts w:ascii="Arial" w:hAnsi="Arial" w:cs="Arial"/>
          <w:sz w:val="16"/>
          <w:szCs w:val="16"/>
          <w:lang w:eastAsia="en-US"/>
        </w:rPr>
        <w:t xml:space="preserve"> and Large Colony (LC) </w:t>
      </w:r>
      <w:r w:rsidRPr="000902A2">
        <w:rPr>
          <w:rFonts w:ascii="Arial" w:hAnsi="Arial" w:cs="Arial"/>
          <w:sz w:val="16"/>
          <w:szCs w:val="16"/>
          <w:u w:val="double"/>
          <w:lang w:eastAsia="en-US"/>
        </w:rPr>
        <w:t>are no longer used</w:t>
      </w:r>
      <w:r w:rsidRPr="000902A2">
        <w:rPr>
          <w:rFonts w:ascii="Arial" w:hAnsi="Arial" w:cs="Arial"/>
          <w:strike/>
          <w:sz w:val="16"/>
          <w:szCs w:val="16"/>
          <w:lang w:eastAsia="en-US"/>
        </w:rPr>
        <w:t xml:space="preserve"> were removed. This will be addressed in a forthcoming revision of the chapter</w:t>
      </w:r>
      <w:r>
        <w:rPr>
          <w:rFonts w:ascii="Arial" w:hAnsi="Arial" w:cs="Arial"/>
          <w:sz w:val="16"/>
          <w:szCs w:val="16"/>
          <w:lang w:eastAsia="en-US"/>
        </w:rPr>
        <w:t>.</w:t>
      </w:r>
    </w:p>
  </w:footnote>
  <w:footnote w:id="2">
    <w:p w14:paraId="5A2D9EF9" w14:textId="77777777" w:rsidR="00497929" w:rsidRPr="003B3EF6" w:rsidRDefault="00497929" w:rsidP="00A15E3A">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3">
    <w:p w14:paraId="2338A521" w14:textId="77777777" w:rsidR="00497929" w:rsidRPr="00706680" w:rsidRDefault="00497929" w:rsidP="00951806">
      <w:pPr>
        <w:pStyle w:val="Notedebasdepage"/>
        <w:tabs>
          <w:tab w:val="left" w:pos="-1843"/>
        </w:tabs>
        <w:spacing w:line="240" w:lineRule="auto"/>
        <w:ind w:left="425" w:hanging="425"/>
      </w:pPr>
      <w:r w:rsidRPr="00706680">
        <w:rPr>
          <w:rStyle w:val="Appelnotedebasdep"/>
          <w:rFonts w:ascii="Arial" w:hAnsi="Arial" w:cs="Arial"/>
          <w:sz w:val="16"/>
          <w:szCs w:val="16"/>
          <w:vertAlign w:val="baseline"/>
        </w:rPr>
        <w:footnoteRef/>
      </w:r>
      <w:r w:rsidRPr="00706680">
        <w:rPr>
          <w:rFonts w:ascii="Arial" w:hAnsi="Arial" w:cs="Arial"/>
          <w:sz w:val="16"/>
          <w:szCs w:val="16"/>
        </w:rPr>
        <w:t xml:space="preserve"> </w:t>
      </w:r>
      <w:r w:rsidRPr="00706680">
        <w:rPr>
          <w:rFonts w:ascii="Arial" w:hAnsi="Arial" w:cs="Arial"/>
          <w:sz w:val="16"/>
          <w:szCs w:val="16"/>
        </w:rPr>
        <w:tab/>
        <w:t>A combination of agent identification methods applied on the same clinical sample is recommended.</w:t>
      </w:r>
    </w:p>
  </w:footnote>
  <w:footnote w:id="4">
    <w:p w14:paraId="4F23A154" w14:textId="77777777" w:rsidR="00497929" w:rsidRPr="00B03850" w:rsidRDefault="00497929" w:rsidP="00B03850">
      <w:pPr>
        <w:pStyle w:val="Notedebasdepage"/>
        <w:spacing w:before="120" w:line="240" w:lineRule="auto"/>
        <w:ind w:left="425" w:hanging="425"/>
        <w:rPr>
          <w:rFonts w:ascii="Arial" w:hAnsi="Arial" w:cs="Arial"/>
          <w:sz w:val="16"/>
          <w:szCs w:val="16"/>
        </w:rPr>
      </w:pPr>
      <w:r w:rsidRPr="00D527D5">
        <w:rPr>
          <w:rStyle w:val="Appelnotedebasdep"/>
          <w:rFonts w:ascii="Arial" w:hAnsi="Arial" w:cs="Arial"/>
          <w:sz w:val="16"/>
          <w:szCs w:val="16"/>
          <w:vertAlign w:val="baseline"/>
        </w:rPr>
        <w:footnoteRef/>
      </w:r>
      <w:r w:rsidRPr="00D527D5">
        <w:rPr>
          <w:rFonts w:ascii="Arial" w:hAnsi="Arial" w:cs="Arial"/>
          <w:sz w:val="16"/>
          <w:szCs w:val="16"/>
        </w:rPr>
        <w:t xml:space="preserve"> </w:t>
      </w:r>
      <w:r w:rsidRPr="00D527D5">
        <w:rPr>
          <w:rFonts w:ascii="Arial" w:hAnsi="Arial" w:cs="Arial"/>
          <w:sz w:val="16"/>
          <w:szCs w:val="16"/>
        </w:rPr>
        <w:tab/>
        <w:t>ISO/IEC: International Organisation for Standardisation/International Electrotechnical Commission</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C972C" w14:textId="77777777" w:rsidR="00497929" w:rsidRPr="00683785" w:rsidRDefault="00497929" w:rsidP="006D33D4">
    <w:pPr>
      <w:pBdr>
        <w:bottom w:val="single" w:sz="6" w:space="1" w:color="auto"/>
      </w:pBdr>
      <w:ind w:right="-1"/>
      <w:jc w:val="center"/>
      <w:rPr>
        <w:rFonts w:ascii="Ottawa" w:hAnsi="Ottawa"/>
        <w:i/>
        <w:sz w:val="18"/>
        <w:szCs w:val="18"/>
        <w:lang w:val="en-GB"/>
      </w:rPr>
    </w:pPr>
    <w:r w:rsidRPr="00683785">
      <w:rPr>
        <w:rFonts w:ascii="Ottawa" w:hAnsi="Ottawa"/>
        <w:i/>
        <w:sz w:val="18"/>
        <w:szCs w:val="18"/>
        <w:lang w:val="en-GB"/>
      </w:rPr>
      <w:t xml:space="preserve">Chapter 3.4.8. – Contagious bovine pleuropneumonia </w:t>
    </w:r>
    <w:r w:rsidRPr="00683785">
      <w:rPr>
        <w:rFonts w:ascii="Ottawa" w:hAnsi="Ottawa"/>
        <w:sz w:val="18"/>
        <w:szCs w:val="18"/>
        <w:lang w:val="en-GB"/>
      </w:rPr>
      <w:t>(</w:t>
    </w:r>
    <w:r w:rsidRPr="004F49A4">
      <w:rPr>
        <w:rFonts w:ascii="Ottawa" w:hAnsi="Ottawa" w:cs="Arial"/>
        <w:i/>
        <w:sz w:val="18"/>
        <w:szCs w:val="18"/>
        <w:lang w:val="en-IE" w:eastAsia="en-IE"/>
      </w:rPr>
      <w:t xml:space="preserve">infection with </w:t>
    </w:r>
    <w:r w:rsidRPr="004F49A4">
      <w:rPr>
        <w:rFonts w:ascii="Ottawa" w:hAnsi="Ottawa" w:cs="Arial"/>
        <w:iCs/>
        <w:sz w:val="18"/>
        <w:szCs w:val="18"/>
        <w:lang w:val="en-IE" w:eastAsia="en-IE"/>
      </w:rPr>
      <w:t>Mycoplasma mycoides</w:t>
    </w:r>
    <w:r w:rsidRPr="004F49A4">
      <w:rPr>
        <w:rFonts w:ascii="Ottawa" w:hAnsi="Ottawa" w:cs="Arial"/>
        <w:i/>
        <w:sz w:val="18"/>
        <w:szCs w:val="18"/>
        <w:lang w:val="en-IE" w:eastAsia="en-IE"/>
      </w:rPr>
      <w:t xml:space="preserve"> subsp. </w:t>
    </w:r>
    <w:r w:rsidRPr="004F49A4">
      <w:rPr>
        <w:rFonts w:ascii="Ottawa" w:hAnsi="Ottawa" w:cs="Arial"/>
        <w:iCs/>
        <w:sz w:val="18"/>
        <w:szCs w:val="18"/>
        <w:lang w:val="en-IE" w:eastAsia="en-IE"/>
      </w:rPr>
      <w:t>mycoides</w:t>
    </w:r>
    <w:r w:rsidRPr="000902A2">
      <w:rPr>
        <w:rFonts w:ascii="Ottawa" w:hAnsi="Ottawa" w:cs="Arial"/>
        <w:i/>
        <w:strike/>
        <w:sz w:val="18"/>
        <w:szCs w:val="18"/>
        <w:lang w:val="en-IE" w:eastAsia="en-IE"/>
      </w:rPr>
      <w:t xml:space="preserve"> SC</w:t>
    </w:r>
    <w:r w:rsidRPr="004F49A4">
      <w:rPr>
        <w:rFonts w:ascii="Ottawa" w:hAnsi="Ottawa" w:cs="Arial"/>
        <w:sz w:val="18"/>
        <w:szCs w:val="18"/>
        <w:lang w:val="en-IE" w:eastAsia="en-I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2411" w14:textId="77777777" w:rsidR="00497929" w:rsidRPr="00683785" w:rsidRDefault="00497929" w:rsidP="006D33D4">
    <w:pPr>
      <w:pBdr>
        <w:bottom w:val="single" w:sz="6" w:space="1" w:color="auto"/>
      </w:pBdr>
      <w:ind w:right="-1"/>
      <w:jc w:val="center"/>
      <w:rPr>
        <w:rFonts w:ascii="Ottawa" w:hAnsi="Ottawa"/>
        <w:i/>
        <w:lang w:val="en-GB"/>
      </w:rPr>
    </w:pPr>
    <w:r w:rsidRPr="00683785">
      <w:rPr>
        <w:rFonts w:ascii="Ottawa" w:hAnsi="Ottawa"/>
        <w:i/>
        <w:sz w:val="18"/>
        <w:szCs w:val="18"/>
        <w:lang w:val="en-GB"/>
      </w:rPr>
      <w:t xml:space="preserve">Chapter 3.4.8. – Contagious bovine pleuropneumonia </w:t>
    </w:r>
    <w:r w:rsidRPr="00683785">
      <w:rPr>
        <w:rFonts w:ascii="Ottawa" w:hAnsi="Ottawa"/>
        <w:sz w:val="18"/>
        <w:szCs w:val="18"/>
        <w:lang w:val="en-GB"/>
      </w:rPr>
      <w:t>(</w:t>
    </w:r>
    <w:r w:rsidRPr="004F49A4">
      <w:rPr>
        <w:rFonts w:ascii="Ottawa" w:hAnsi="Ottawa" w:cs="Arial"/>
        <w:i/>
        <w:sz w:val="18"/>
        <w:szCs w:val="18"/>
        <w:lang w:val="en-IE" w:eastAsia="en-IE"/>
      </w:rPr>
      <w:t xml:space="preserve">infection with </w:t>
    </w:r>
    <w:r w:rsidRPr="004F49A4">
      <w:rPr>
        <w:rFonts w:ascii="Ottawa" w:hAnsi="Ottawa" w:cs="Arial"/>
        <w:iCs/>
        <w:sz w:val="18"/>
        <w:szCs w:val="18"/>
        <w:lang w:val="en-IE" w:eastAsia="en-IE"/>
      </w:rPr>
      <w:t>Mycoplasma mycoides</w:t>
    </w:r>
    <w:r w:rsidRPr="004F49A4">
      <w:rPr>
        <w:rFonts w:ascii="Ottawa" w:hAnsi="Ottawa" w:cs="Arial"/>
        <w:i/>
        <w:sz w:val="18"/>
        <w:szCs w:val="18"/>
        <w:lang w:val="en-IE" w:eastAsia="en-IE"/>
      </w:rPr>
      <w:t xml:space="preserve"> subsp. </w:t>
    </w:r>
    <w:r w:rsidRPr="004F49A4">
      <w:rPr>
        <w:rFonts w:ascii="Ottawa" w:hAnsi="Ottawa" w:cs="Arial"/>
        <w:iCs/>
        <w:sz w:val="18"/>
        <w:szCs w:val="18"/>
        <w:lang w:val="en-IE" w:eastAsia="en-IE"/>
      </w:rPr>
      <w:t>mycoides</w:t>
    </w:r>
    <w:r w:rsidRPr="000902A2">
      <w:rPr>
        <w:rFonts w:ascii="Ottawa" w:hAnsi="Ottawa" w:cs="Arial"/>
        <w:i/>
        <w:strike/>
        <w:sz w:val="18"/>
        <w:szCs w:val="18"/>
        <w:lang w:val="en-IE" w:eastAsia="en-IE"/>
      </w:rPr>
      <w:t xml:space="preserve"> SC</w:t>
    </w:r>
    <w:r w:rsidRPr="004F49A4">
      <w:rPr>
        <w:rFonts w:ascii="Ottawa" w:hAnsi="Ottawa" w:cs="Arial"/>
        <w:sz w:val="18"/>
        <w:szCs w:val="18"/>
        <w:lang w:val="en-IE" w:eastAsia="en-I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653"/>
    <w:multiLevelType w:val="hybridMultilevel"/>
    <w:tmpl w:val="C0088476"/>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 w15:restartNumberingAfterBreak="0">
    <w:nsid w:val="14221399"/>
    <w:multiLevelType w:val="hybridMultilevel"/>
    <w:tmpl w:val="1C0E9686"/>
    <w:lvl w:ilvl="0" w:tplc="845AD272">
      <w:start w:val="1"/>
      <w:numFmt w:val="lowerRoman"/>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21C65BEA"/>
    <w:multiLevelType w:val="hybridMultilevel"/>
    <w:tmpl w:val="0C02E610"/>
    <w:lvl w:ilvl="0" w:tplc="0816001B">
      <w:start w:val="1"/>
      <w:numFmt w:val="lowerRoman"/>
      <w:lvlText w:val="%1."/>
      <w:lvlJc w:val="right"/>
      <w:pPr>
        <w:ind w:left="720" w:hanging="360"/>
      </w:pPr>
    </w:lvl>
    <w:lvl w:ilvl="1" w:tplc="08160019">
      <w:start w:val="1"/>
      <w:numFmt w:val="lowerLetter"/>
      <w:lvlText w:val="%2."/>
      <w:lvlJc w:val="left"/>
      <w:pPr>
        <w:ind w:left="1440" w:hanging="360"/>
      </w:pPr>
    </w:lvl>
    <w:lvl w:ilvl="2" w:tplc="08160001">
      <w:start w:val="1"/>
      <w:numFmt w:val="bullet"/>
      <w:lvlText w:val=""/>
      <w:lvlJc w:val="left"/>
      <w:pPr>
        <w:ind w:left="2415" w:hanging="435"/>
      </w:pPr>
      <w:rPr>
        <w:rFonts w:ascii="Symbol" w:hAnsi="Symbol" w:hint="default"/>
      </w:rPr>
    </w:lvl>
    <w:lvl w:ilvl="3" w:tplc="C6B0E68A">
      <w:start w:val="1"/>
      <w:numFmt w:val="lowerRoman"/>
      <w:lvlText w:val="%4)"/>
      <w:lvlJc w:val="left"/>
      <w:pPr>
        <w:ind w:left="3240" w:hanging="720"/>
      </w:pPr>
      <w:rPr>
        <w:rFonts w:hint="default"/>
      </w:r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3534598B"/>
    <w:multiLevelType w:val="hybridMultilevel"/>
    <w:tmpl w:val="46D0FE40"/>
    <w:lvl w:ilvl="0" w:tplc="26061738">
      <w:start w:val="3"/>
      <w:numFmt w:val="lowerRoman"/>
      <w:lvlText w:val="%1)"/>
      <w:lvlJc w:val="left"/>
      <w:pPr>
        <w:tabs>
          <w:tab w:val="num" w:pos="1145"/>
        </w:tabs>
        <w:ind w:left="1145" w:hanging="72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15:restartNumberingAfterBreak="0">
    <w:nsid w:val="39F70632"/>
    <w:multiLevelType w:val="hybridMultilevel"/>
    <w:tmpl w:val="C5E2E22C"/>
    <w:lvl w:ilvl="0" w:tplc="C6B0E68A">
      <w:start w:val="1"/>
      <w:numFmt w:val="lowerRoman"/>
      <w:lvlText w:val="%1)"/>
      <w:lvlJc w:val="left"/>
      <w:pPr>
        <w:ind w:left="1429" w:hanging="360"/>
      </w:pPr>
      <w:rPr>
        <w:rFonts w:hint="default"/>
      </w:rPr>
    </w:lvl>
    <w:lvl w:ilvl="1" w:tplc="08160019" w:tentative="1">
      <w:start w:val="1"/>
      <w:numFmt w:val="lowerLetter"/>
      <w:lvlText w:val="%2."/>
      <w:lvlJc w:val="left"/>
      <w:pPr>
        <w:ind w:left="2149" w:hanging="360"/>
      </w:pPr>
    </w:lvl>
    <w:lvl w:ilvl="2" w:tplc="0816001B" w:tentative="1">
      <w:start w:val="1"/>
      <w:numFmt w:val="lowerRoman"/>
      <w:lvlText w:val="%3."/>
      <w:lvlJc w:val="right"/>
      <w:pPr>
        <w:ind w:left="2869" w:hanging="180"/>
      </w:pPr>
    </w:lvl>
    <w:lvl w:ilvl="3" w:tplc="0816000F" w:tentative="1">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5" w15:restartNumberingAfterBreak="0">
    <w:nsid w:val="43542337"/>
    <w:multiLevelType w:val="hybridMultilevel"/>
    <w:tmpl w:val="7CE0FC82"/>
    <w:lvl w:ilvl="0" w:tplc="845AD272">
      <w:start w:val="1"/>
      <w:numFmt w:val="lowerRoman"/>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6B6F3E27"/>
    <w:multiLevelType w:val="hybridMultilevel"/>
    <w:tmpl w:val="33467546"/>
    <w:lvl w:ilvl="0" w:tplc="0809000F">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715F1EC9"/>
    <w:multiLevelType w:val="hybridMultilevel"/>
    <w:tmpl w:val="0B645E2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9"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8"/>
  </w:num>
  <w:num w:numId="2">
    <w:abstractNumId w:val="9"/>
  </w:num>
  <w:num w:numId="3">
    <w:abstractNumId w:val="9"/>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6"/>
  </w:num>
  <w:num w:numId="5">
    <w:abstractNumId w:val="3"/>
  </w:num>
  <w:num w:numId="6">
    <w:abstractNumId w:val="5"/>
  </w:num>
  <w:num w:numId="7">
    <w:abstractNumId w:val="4"/>
  </w:num>
  <w:num w:numId="8">
    <w:abstractNumId w:val="1"/>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embedSystemFonts/>
  <w:hideGrammaticalErrors/>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IE"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SV" w:vendorID="64" w:dllVersion="0" w:nlCheck="1" w:checkStyle="0"/>
  <w:activeWritingStyle w:appName="MSWord" w:lang="en-AU" w:vendorID="64" w:dllVersion="0" w:nlCheck="1" w:checkStyle="0"/>
  <w:activeWritingStyle w:appName="MSWord" w:lang="en-AU" w:vendorID="64" w:dllVersion="6" w:nlCheck="1" w:checkStyle="1"/>
  <w:activeWritingStyle w:appName="MSWord" w:lang="es-SV" w:vendorID="64" w:dllVersion="6" w:nlCheck="1" w:checkStyle="0"/>
  <w:activeWritingStyle w:appName="MSWord" w:lang="en-GB" w:vendorID="8" w:dllVersion="513" w:checkStyle="1"/>
  <w:activeWritingStyle w:appName="MSWord" w:lang="en-US" w:vendorID="8" w:dllVersion="513" w:checkStyle="1"/>
  <w:activeWritingStyle w:appName="MSWord" w:lang="de-DE" w:vendorID="9" w:dllVersion="512" w:checkStyle="1"/>
  <w:activeWritingStyle w:appName="MSWord" w:lang="fr-FR" w:vendorID="9" w:dllVersion="512" w:checkStyle="1"/>
  <w:activeWritingStyle w:appName="MSWord" w:lang="nl-NL" w:vendorID="1" w:dllVersion="512" w:checkStyle="1"/>
  <w:activeWritingStyle w:appName="MSWord" w:lang="pt-PT" w:vendorID="13"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Author-Dat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PCB_mycoides_090106-Converted Copy.enl&lt;/item&gt;&lt;/Libraries&gt;&lt;/ENLibraries&gt;"/>
  </w:docVars>
  <w:rsids>
    <w:rsidRoot w:val="006C75CF"/>
    <w:rsid w:val="0000234F"/>
    <w:rsid w:val="00002A12"/>
    <w:rsid w:val="000057AB"/>
    <w:rsid w:val="000176E6"/>
    <w:rsid w:val="0002223A"/>
    <w:rsid w:val="00025D07"/>
    <w:rsid w:val="0002611F"/>
    <w:rsid w:val="00030FBD"/>
    <w:rsid w:val="000336C0"/>
    <w:rsid w:val="00035E2E"/>
    <w:rsid w:val="0003601B"/>
    <w:rsid w:val="00040374"/>
    <w:rsid w:val="0004196B"/>
    <w:rsid w:val="0004643A"/>
    <w:rsid w:val="00056E1D"/>
    <w:rsid w:val="00057FC6"/>
    <w:rsid w:val="00060A44"/>
    <w:rsid w:val="000652FB"/>
    <w:rsid w:val="00071F24"/>
    <w:rsid w:val="00075C68"/>
    <w:rsid w:val="00075FF7"/>
    <w:rsid w:val="0007700B"/>
    <w:rsid w:val="00081D66"/>
    <w:rsid w:val="00082EA4"/>
    <w:rsid w:val="00084D92"/>
    <w:rsid w:val="0008644A"/>
    <w:rsid w:val="00087F80"/>
    <w:rsid w:val="000902A2"/>
    <w:rsid w:val="00093494"/>
    <w:rsid w:val="000A51AB"/>
    <w:rsid w:val="000B1137"/>
    <w:rsid w:val="000B403B"/>
    <w:rsid w:val="000B6F00"/>
    <w:rsid w:val="000B7CE5"/>
    <w:rsid w:val="000D1337"/>
    <w:rsid w:val="000D20C6"/>
    <w:rsid w:val="000D6EE4"/>
    <w:rsid w:val="000F0B63"/>
    <w:rsid w:val="000F3880"/>
    <w:rsid w:val="000F3E7F"/>
    <w:rsid w:val="000F5A8C"/>
    <w:rsid w:val="00102669"/>
    <w:rsid w:val="00103A9B"/>
    <w:rsid w:val="00107C7A"/>
    <w:rsid w:val="0011504A"/>
    <w:rsid w:val="001219B1"/>
    <w:rsid w:val="00122FFA"/>
    <w:rsid w:val="001327E3"/>
    <w:rsid w:val="0013524C"/>
    <w:rsid w:val="00136E5B"/>
    <w:rsid w:val="0013729B"/>
    <w:rsid w:val="00137C03"/>
    <w:rsid w:val="00153FD2"/>
    <w:rsid w:val="00160346"/>
    <w:rsid w:val="00172AF7"/>
    <w:rsid w:val="00175473"/>
    <w:rsid w:val="0017553F"/>
    <w:rsid w:val="00176939"/>
    <w:rsid w:val="00190F89"/>
    <w:rsid w:val="001915C0"/>
    <w:rsid w:val="001A0BA4"/>
    <w:rsid w:val="001A578D"/>
    <w:rsid w:val="001B4922"/>
    <w:rsid w:val="001B671B"/>
    <w:rsid w:val="001C0452"/>
    <w:rsid w:val="001C32B0"/>
    <w:rsid w:val="001C36E3"/>
    <w:rsid w:val="001C6DF6"/>
    <w:rsid w:val="001C712D"/>
    <w:rsid w:val="001C79CE"/>
    <w:rsid w:val="001D0074"/>
    <w:rsid w:val="001D0B47"/>
    <w:rsid w:val="001D3D58"/>
    <w:rsid w:val="001D4C4C"/>
    <w:rsid w:val="001D58BA"/>
    <w:rsid w:val="001E4509"/>
    <w:rsid w:val="001E7B58"/>
    <w:rsid w:val="001F02E3"/>
    <w:rsid w:val="001F65FD"/>
    <w:rsid w:val="001F7AEF"/>
    <w:rsid w:val="002053EF"/>
    <w:rsid w:val="0020778D"/>
    <w:rsid w:val="002159DD"/>
    <w:rsid w:val="00230364"/>
    <w:rsid w:val="002303D7"/>
    <w:rsid w:val="00232FFD"/>
    <w:rsid w:val="0023484A"/>
    <w:rsid w:val="00234D03"/>
    <w:rsid w:val="00234FF7"/>
    <w:rsid w:val="00243B60"/>
    <w:rsid w:val="00243DFC"/>
    <w:rsid w:val="00245C0D"/>
    <w:rsid w:val="00253622"/>
    <w:rsid w:val="00253FAF"/>
    <w:rsid w:val="00262345"/>
    <w:rsid w:val="002666A4"/>
    <w:rsid w:val="00266F96"/>
    <w:rsid w:val="0027523F"/>
    <w:rsid w:val="0028341A"/>
    <w:rsid w:val="002848BB"/>
    <w:rsid w:val="00286C62"/>
    <w:rsid w:val="00287CE2"/>
    <w:rsid w:val="002941BE"/>
    <w:rsid w:val="002A1DBB"/>
    <w:rsid w:val="002A3ABB"/>
    <w:rsid w:val="002A5F70"/>
    <w:rsid w:val="002B65C8"/>
    <w:rsid w:val="002B7221"/>
    <w:rsid w:val="002C294A"/>
    <w:rsid w:val="002C29BC"/>
    <w:rsid w:val="002C486F"/>
    <w:rsid w:val="002C6C06"/>
    <w:rsid w:val="002D10FE"/>
    <w:rsid w:val="002D6370"/>
    <w:rsid w:val="002E4A9B"/>
    <w:rsid w:val="002E6D0A"/>
    <w:rsid w:val="002E7BB6"/>
    <w:rsid w:val="002F400F"/>
    <w:rsid w:val="002F764D"/>
    <w:rsid w:val="00301A3B"/>
    <w:rsid w:val="00307D77"/>
    <w:rsid w:val="00311FC0"/>
    <w:rsid w:val="003163B1"/>
    <w:rsid w:val="00321E53"/>
    <w:rsid w:val="00324FAD"/>
    <w:rsid w:val="003275B4"/>
    <w:rsid w:val="0033735B"/>
    <w:rsid w:val="00346AE3"/>
    <w:rsid w:val="00354B6F"/>
    <w:rsid w:val="00355FF7"/>
    <w:rsid w:val="003560BF"/>
    <w:rsid w:val="00360C23"/>
    <w:rsid w:val="0036648E"/>
    <w:rsid w:val="00372A4E"/>
    <w:rsid w:val="00372B5D"/>
    <w:rsid w:val="00377A1C"/>
    <w:rsid w:val="003812F2"/>
    <w:rsid w:val="003836A8"/>
    <w:rsid w:val="00391883"/>
    <w:rsid w:val="00393F57"/>
    <w:rsid w:val="00396EFB"/>
    <w:rsid w:val="0039743C"/>
    <w:rsid w:val="003A0D70"/>
    <w:rsid w:val="003B73DB"/>
    <w:rsid w:val="003C1C49"/>
    <w:rsid w:val="003C2BB9"/>
    <w:rsid w:val="003C7F09"/>
    <w:rsid w:val="003D6613"/>
    <w:rsid w:val="003E2C42"/>
    <w:rsid w:val="003E3B6B"/>
    <w:rsid w:val="003E3DA9"/>
    <w:rsid w:val="003E5790"/>
    <w:rsid w:val="003E5B05"/>
    <w:rsid w:val="003E7319"/>
    <w:rsid w:val="00405DBF"/>
    <w:rsid w:val="004347E4"/>
    <w:rsid w:val="004365EC"/>
    <w:rsid w:val="00444C3A"/>
    <w:rsid w:val="004456B5"/>
    <w:rsid w:val="00447A21"/>
    <w:rsid w:val="00452DD2"/>
    <w:rsid w:val="004541B1"/>
    <w:rsid w:val="00454BC5"/>
    <w:rsid w:val="00456CFF"/>
    <w:rsid w:val="004574C1"/>
    <w:rsid w:val="00464D56"/>
    <w:rsid w:val="00472821"/>
    <w:rsid w:val="00476045"/>
    <w:rsid w:val="004812D5"/>
    <w:rsid w:val="00486DAC"/>
    <w:rsid w:val="00490A5E"/>
    <w:rsid w:val="0049299A"/>
    <w:rsid w:val="00497929"/>
    <w:rsid w:val="004A1137"/>
    <w:rsid w:val="004A2A53"/>
    <w:rsid w:val="004A4B4E"/>
    <w:rsid w:val="004A7D23"/>
    <w:rsid w:val="004B1145"/>
    <w:rsid w:val="004B2A0A"/>
    <w:rsid w:val="004C4A46"/>
    <w:rsid w:val="004C4E2D"/>
    <w:rsid w:val="004D0C4F"/>
    <w:rsid w:val="004D1D79"/>
    <w:rsid w:val="004E34D4"/>
    <w:rsid w:val="004E6C8C"/>
    <w:rsid w:val="004F1298"/>
    <w:rsid w:val="004F1FC8"/>
    <w:rsid w:val="004F29A8"/>
    <w:rsid w:val="004F49A4"/>
    <w:rsid w:val="004F4BE9"/>
    <w:rsid w:val="004F62F3"/>
    <w:rsid w:val="004F74BE"/>
    <w:rsid w:val="004F78AC"/>
    <w:rsid w:val="00502D5F"/>
    <w:rsid w:val="00503C21"/>
    <w:rsid w:val="00504769"/>
    <w:rsid w:val="00507009"/>
    <w:rsid w:val="00523731"/>
    <w:rsid w:val="00524400"/>
    <w:rsid w:val="0052642C"/>
    <w:rsid w:val="005336BE"/>
    <w:rsid w:val="0054161B"/>
    <w:rsid w:val="00543273"/>
    <w:rsid w:val="00557F40"/>
    <w:rsid w:val="00560701"/>
    <w:rsid w:val="005640CC"/>
    <w:rsid w:val="00564219"/>
    <w:rsid w:val="00567B51"/>
    <w:rsid w:val="00575B58"/>
    <w:rsid w:val="00576BA5"/>
    <w:rsid w:val="00584087"/>
    <w:rsid w:val="00584D9B"/>
    <w:rsid w:val="0058779B"/>
    <w:rsid w:val="005926EA"/>
    <w:rsid w:val="005A38CE"/>
    <w:rsid w:val="005A55B3"/>
    <w:rsid w:val="005A6D96"/>
    <w:rsid w:val="005B35FD"/>
    <w:rsid w:val="005B4153"/>
    <w:rsid w:val="005B7BB8"/>
    <w:rsid w:val="005D426E"/>
    <w:rsid w:val="005E6868"/>
    <w:rsid w:val="005F33D8"/>
    <w:rsid w:val="006035E3"/>
    <w:rsid w:val="00607B10"/>
    <w:rsid w:val="006145F0"/>
    <w:rsid w:val="0062139B"/>
    <w:rsid w:val="0062258A"/>
    <w:rsid w:val="006311FC"/>
    <w:rsid w:val="0063404A"/>
    <w:rsid w:val="00636A44"/>
    <w:rsid w:val="00636CA9"/>
    <w:rsid w:val="00637506"/>
    <w:rsid w:val="00643B82"/>
    <w:rsid w:val="00644172"/>
    <w:rsid w:val="00650D6B"/>
    <w:rsid w:val="0065246E"/>
    <w:rsid w:val="00656C3D"/>
    <w:rsid w:val="0065743D"/>
    <w:rsid w:val="00660176"/>
    <w:rsid w:val="006674D8"/>
    <w:rsid w:val="00667E31"/>
    <w:rsid w:val="006720A6"/>
    <w:rsid w:val="00681F18"/>
    <w:rsid w:val="00683785"/>
    <w:rsid w:val="00687197"/>
    <w:rsid w:val="00687C55"/>
    <w:rsid w:val="006A731E"/>
    <w:rsid w:val="006B3CB3"/>
    <w:rsid w:val="006B50B8"/>
    <w:rsid w:val="006B5698"/>
    <w:rsid w:val="006B7C78"/>
    <w:rsid w:val="006C0DF4"/>
    <w:rsid w:val="006C44B1"/>
    <w:rsid w:val="006C75CF"/>
    <w:rsid w:val="006D0C5A"/>
    <w:rsid w:val="006D1AEE"/>
    <w:rsid w:val="006D2F37"/>
    <w:rsid w:val="006D33D4"/>
    <w:rsid w:val="006E164F"/>
    <w:rsid w:val="006E7FB5"/>
    <w:rsid w:val="006F1F6F"/>
    <w:rsid w:val="0070065D"/>
    <w:rsid w:val="00704FCF"/>
    <w:rsid w:val="00706473"/>
    <w:rsid w:val="00706680"/>
    <w:rsid w:val="00710F40"/>
    <w:rsid w:val="00714087"/>
    <w:rsid w:val="00716274"/>
    <w:rsid w:val="00716E9A"/>
    <w:rsid w:val="00724CC0"/>
    <w:rsid w:val="007259FC"/>
    <w:rsid w:val="00726481"/>
    <w:rsid w:val="00727174"/>
    <w:rsid w:val="007326CA"/>
    <w:rsid w:val="0073402F"/>
    <w:rsid w:val="00743B50"/>
    <w:rsid w:val="00747858"/>
    <w:rsid w:val="00756DB0"/>
    <w:rsid w:val="007614A4"/>
    <w:rsid w:val="007645AA"/>
    <w:rsid w:val="00774DDB"/>
    <w:rsid w:val="00776CD3"/>
    <w:rsid w:val="007826C7"/>
    <w:rsid w:val="007853F2"/>
    <w:rsid w:val="00787ACD"/>
    <w:rsid w:val="00795035"/>
    <w:rsid w:val="00796BE4"/>
    <w:rsid w:val="007A2093"/>
    <w:rsid w:val="007A5D53"/>
    <w:rsid w:val="007B6A1D"/>
    <w:rsid w:val="007C4C85"/>
    <w:rsid w:val="007D0E8A"/>
    <w:rsid w:val="007D414C"/>
    <w:rsid w:val="007E2159"/>
    <w:rsid w:val="007F2538"/>
    <w:rsid w:val="007F6072"/>
    <w:rsid w:val="00801525"/>
    <w:rsid w:val="00802A49"/>
    <w:rsid w:val="008159FC"/>
    <w:rsid w:val="008233DC"/>
    <w:rsid w:val="00823752"/>
    <w:rsid w:val="00830CFC"/>
    <w:rsid w:val="008324F4"/>
    <w:rsid w:val="00841AAC"/>
    <w:rsid w:val="00856085"/>
    <w:rsid w:val="008572A3"/>
    <w:rsid w:val="00864AE9"/>
    <w:rsid w:val="00882818"/>
    <w:rsid w:val="0088384E"/>
    <w:rsid w:val="00884027"/>
    <w:rsid w:val="00884040"/>
    <w:rsid w:val="00897DA0"/>
    <w:rsid w:val="008A2533"/>
    <w:rsid w:val="008B088D"/>
    <w:rsid w:val="008B3716"/>
    <w:rsid w:val="008B455F"/>
    <w:rsid w:val="008B4CEF"/>
    <w:rsid w:val="008C3514"/>
    <w:rsid w:val="008D47D6"/>
    <w:rsid w:val="008D506E"/>
    <w:rsid w:val="008E36F7"/>
    <w:rsid w:val="00900AA2"/>
    <w:rsid w:val="0090157A"/>
    <w:rsid w:val="00903D72"/>
    <w:rsid w:val="00905E4A"/>
    <w:rsid w:val="00911904"/>
    <w:rsid w:val="00913252"/>
    <w:rsid w:val="00913BCB"/>
    <w:rsid w:val="00914D2D"/>
    <w:rsid w:val="0091516F"/>
    <w:rsid w:val="009168AF"/>
    <w:rsid w:val="00916D86"/>
    <w:rsid w:val="009224B4"/>
    <w:rsid w:val="00924731"/>
    <w:rsid w:val="009355D6"/>
    <w:rsid w:val="00951806"/>
    <w:rsid w:val="00952222"/>
    <w:rsid w:val="00954E69"/>
    <w:rsid w:val="009573D1"/>
    <w:rsid w:val="00957C40"/>
    <w:rsid w:val="00965411"/>
    <w:rsid w:val="00966356"/>
    <w:rsid w:val="009703CB"/>
    <w:rsid w:val="00972AA8"/>
    <w:rsid w:val="0097763D"/>
    <w:rsid w:val="009819E5"/>
    <w:rsid w:val="00991ED5"/>
    <w:rsid w:val="00994DA5"/>
    <w:rsid w:val="00995E8B"/>
    <w:rsid w:val="009A463E"/>
    <w:rsid w:val="009A5360"/>
    <w:rsid w:val="009A5749"/>
    <w:rsid w:val="009A61D8"/>
    <w:rsid w:val="009A6D4F"/>
    <w:rsid w:val="009B2041"/>
    <w:rsid w:val="009B2A92"/>
    <w:rsid w:val="009B2CB6"/>
    <w:rsid w:val="009D4D4B"/>
    <w:rsid w:val="009E51C3"/>
    <w:rsid w:val="009F21FF"/>
    <w:rsid w:val="00A027BA"/>
    <w:rsid w:val="00A05C82"/>
    <w:rsid w:val="00A15E3A"/>
    <w:rsid w:val="00A205D7"/>
    <w:rsid w:val="00A304D2"/>
    <w:rsid w:val="00A310F4"/>
    <w:rsid w:val="00A345E1"/>
    <w:rsid w:val="00A37748"/>
    <w:rsid w:val="00A4162A"/>
    <w:rsid w:val="00A504E2"/>
    <w:rsid w:val="00A50845"/>
    <w:rsid w:val="00A54C5E"/>
    <w:rsid w:val="00A5591F"/>
    <w:rsid w:val="00A650CC"/>
    <w:rsid w:val="00A71320"/>
    <w:rsid w:val="00A74E4D"/>
    <w:rsid w:val="00A76FA4"/>
    <w:rsid w:val="00A809D5"/>
    <w:rsid w:val="00A970EA"/>
    <w:rsid w:val="00AA57EF"/>
    <w:rsid w:val="00AB0A09"/>
    <w:rsid w:val="00AB2D38"/>
    <w:rsid w:val="00AB5BC4"/>
    <w:rsid w:val="00AC6B03"/>
    <w:rsid w:val="00AC7E23"/>
    <w:rsid w:val="00AD0424"/>
    <w:rsid w:val="00AD10A0"/>
    <w:rsid w:val="00AD1338"/>
    <w:rsid w:val="00AD3816"/>
    <w:rsid w:val="00AE2F6F"/>
    <w:rsid w:val="00AE33E9"/>
    <w:rsid w:val="00AF0518"/>
    <w:rsid w:val="00AF14F6"/>
    <w:rsid w:val="00AF1BA1"/>
    <w:rsid w:val="00AF31F2"/>
    <w:rsid w:val="00AF473E"/>
    <w:rsid w:val="00AF5CCF"/>
    <w:rsid w:val="00B019B0"/>
    <w:rsid w:val="00B01D1D"/>
    <w:rsid w:val="00B03850"/>
    <w:rsid w:val="00B11E3E"/>
    <w:rsid w:val="00B17050"/>
    <w:rsid w:val="00B20177"/>
    <w:rsid w:val="00B27F5E"/>
    <w:rsid w:val="00B466DC"/>
    <w:rsid w:val="00B4773E"/>
    <w:rsid w:val="00B504CC"/>
    <w:rsid w:val="00B565DB"/>
    <w:rsid w:val="00B63F85"/>
    <w:rsid w:val="00B66E48"/>
    <w:rsid w:val="00B66FBA"/>
    <w:rsid w:val="00B66FEC"/>
    <w:rsid w:val="00B67321"/>
    <w:rsid w:val="00B72562"/>
    <w:rsid w:val="00B80CB9"/>
    <w:rsid w:val="00B850FA"/>
    <w:rsid w:val="00B86B38"/>
    <w:rsid w:val="00B9022D"/>
    <w:rsid w:val="00B90E62"/>
    <w:rsid w:val="00B936F0"/>
    <w:rsid w:val="00B97456"/>
    <w:rsid w:val="00BA4BE6"/>
    <w:rsid w:val="00BA561F"/>
    <w:rsid w:val="00BB038D"/>
    <w:rsid w:val="00BB3A50"/>
    <w:rsid w:val="00BB56BA"/>
    <w:rsid w:val="00BB7CFA"/>
    <w:rsid w:val="00BC54E7"/>
    <w:rsid w:val="00BC75B8"/>
    <w:rsid w:val="00BC7D73"/>
    <w:rsid w:val="00BD265B"/>
    <w:rsid w:val="00BD35A2"/>
    <w:rsid w:val="00BE6F4B"/>
    <w:rsid w:val="00BF2423"/>
    <w:rsid w:val="00C0111B"/>
    <w:rsid w:val="00C06A43"/>
    <w:rsid w:val="00C141CE"/>
    <w:rsid w:val="00C15C8E"/>
    <w:rsid w:val="00C201B8"/>
    <w:rsid w:val="00C230C9"/>
    <w:rsid w:val="00C23716"/>
    <w:rsid w:val="00C30248"/>
    <w:rsid w:val="00C322B0"/>
    <w:rsid w:val="00C35558"/>
    <w:rsid w:val="00C44BA7"/>
    <w:rsid w:val="00C51B79"/>
    <w:rsid w:val="00C6156F"/>
    <w:rsid w:val="00C63358"/>
    <w:rsid w:val="00C63BCD"/>
    <w:rsid w:val="00C6564F"/>
    <w:rsid w:val="00C705F6"/>
    <w:rsid w:val="00C81A5D"/>
    <w:rsid w:val="00C83F77"/>
    <w:rsid w:val="00C91D95"/>
    <w:rsid w:val="00C95C60"/>
    <w:rsid w:val="00C95CEA"/>
    <w:rsid w:val="00CA05A7"/>
    <w:rsid w:val="00CA1356"/>
    <w:rsid w:val="00CB3D90"/>
    <w:rsid w:val="00CD3B28"/>
    <w:rsid w:val="00CD42B0"/>
    <w:rsid w:val="00CD5E41"/>
    <w:rsid w:val="00CD6652"/>
    <w:rsid w:val="00CE4943"/>
    <w:rsid w:val="00CE7850"/>
    <w:rsid w:val="00CF63F9"/>
    <w:rsid w:val="00D024D2"/>
    <w:rsid w:val="00D2158A"/>
    <w:rsid w:val="00D34329"/>
    <w:rsid w:val="00D346E2"/>
    <w:rsid w:val="00D35F96"/>
    <w:rsid w:val="00D44DD9"/>
    <w:rsid w:val="00D527D5"/>
    <w:rsid w:val="00D605EB"/>
    <w:rsid w:val="00D6374C"/>
    <w:rsid w:val="00D65488"/>
    <w:rsid w:val="00D65F2B"/>
    <w:rsid w:val="00D67C5C"/>
    <w:rsid w:val="00D80372"/>
    <w:rsid w:val="00D81CCB"/>
    <w:rsid w:val="00D941EC"/>
    <w:rsid w:val="00D948AC"/>
    <w:rsid w:val="00D95A96"/>
    <w:rsid w:val="00D96116"/>
    <w:rsid w:val="00DA4935"/>
    <w:rsid w:val="00DB0C96"/>
    <w:rsid w:val="00DC27D7"/>
    <w:rsid w:val="00DC5130"/>
    <w:rsid w:val="00DD3836"/>
    <w:rsid w:val="00DD55F2"/>
    <w:rsid w:val="00DD6F56"/>
    <w:rsid w:val="00DE34D1"/>
    <w:rsid w:val="00DE5732"/>
    <w:rsid w:val="00DF5A70"/>
    <w:rsid w:val="00E00AC1"/>
    <w:rsid w:val="00E02672"/>
    <w:rsid w:val="00E03964"/>
    <w:rsid w:val="00E06546"/>
    <w:rsid w:val="00E1127A"/>
    <w:rsid w:val="00E1211E"/>
    <w:rsid w:val="00E14179"/>
    <w:rsid w:val="00E17828"/>
    <w:rsid w:val="00E219AB"/>
    <w:rsid w:val="00E23530"/>
    <w:rsid w:val="00E24810"/>
    <w:rsid w:val="00E30BA0"/>
    <w:rsid w:val="00E331E6"/>
    <w:rsid w:val="00E36C8D"/>
    <w:rsid w:val="00E41A1D"/>
    <w:rsid w:val="00E420C2"/>
    <w:rsid w:val="00E42435"/>
    <w:rsid w:val="00E4267A"/>
    <w:rsid w:val="00E4339D"/>
    <w:rsid w:val="00E53738"/>
    <w:rsid w:val="00E54BC7"/>
    <w:rsid w:val="00E56ADB"/>
    <w:rsid w:val="00E617DF"/>
    <w:rsid w:val="00E61F1F"/>
    <w:rsid w:val="00E74B97"/>
    <w:rsid w:val="00E774EB"/>
    <w:rsid w:val="00E77A65"/>
    <w:rsid w:val="00E87DF1"/>
    <w:rsid w:val="00E901BC"/>
    <w:rsid w:val="00E937E0"/>
    <w:rsid w:val="00E97CE2"/>
    <w:rsid w:val="00EA1DFC"/>
    <w:rsid w:val="00EA4772"/>
    <w:rsid w:val="00ED18C4"/>
    <w:rsid w:val="00ED3C2F"/>
    <w:rsid w:val="00ED444C"/>
    <w:rsid w:val="00ED5A0E"/>
    <w:rsid w:val="00EE412E"/>
    <w:rsid w:val="00EE54FF"/>
    <w:rsid w:val="00EE5B67"/>
    <w:rsid w:val="00EE66A5"/>
    <w:rsid w:val="00EE6A30"/>
    <w:rsid w:val="00EE76DA"/>
    <w:rsid w:val="00EF1180"/>
    <w:rsid w:val="00F02585"/>
    <w:rsid w:val="00F04BEB"/>
    <w:rsid w:val="00F062CF"/>
    <w:rsid w:val="00F12636"/>
    <w:rsid w:val="00F22C33"/>
    <w:rsid w:val="00F33A7C"/>
    <w:rsid w:val="00F34F0C"/>
    <w:rsid w:val="00F354E8"/>
    <w:rsid w:val="00F43B69"/>
    <w:rsid w:val="00F53148"/>
    <w:rsid w:val="00F55C38"/>
    <w:rsid w:val="00F65897"/>
    <w:rsid w:val="00F65E47"/>
    <w:rsid w:val="00F673E0"/>
    <w:rsid w:val="00F67919"/>
    <w:rsid w:val="00F71505"/>
    <w:rsid w:val="00F733DE"/>
    <w:rsid w:val="00F741DB"/>
    <w:rsid w:val="00F80042"/>
    <w:rsid w:val="00F848FF"/>
    <w:rsid w:val="00F85672"/>
    <w:rsid w:val="00FB285F"/>
    <w:rsid w:val="00FB36CE"/>
    <w:rsid w:val="00FC05B1"/>
    <w:rsid w:val="00FC636A"/>
    <w:rsid w:val="00FD2B6F"/>
    <w:rsid w:val="00FD4660"/>
    <w:rsid w:val="00FD6669"/>
    <w:rsid w:val="00FE6EB6"/>
    <w:rsid w:val="00FF0E7A"/>
    <w:rsid w:val="00FF610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5BA9154"/>
  <w15:docId w15:val="{18ED72E8-ADE6-428B-A930-8DCFE153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3E7F"/>
    <w:rPr>
      <w:sz w:val="24"/>
      <w:szCs w:val="24"/>
      <w:lang w:val="pt-PT" w:eastAsia="pt-PT"/>
    </w:rPr>
  </w:style>
  <w:style w:type="paragraph" w:styleId="Titre1">
    <w:name w:val="heading 1"/>
    <w:basedOn w:val="Normal"/>
    <w:next w:val="Normal"/>
    <w:link w:val="Titre1Car"/>
    <w:qFormat/>
    <w:rsid w:val="00AF31F2"/>
    <w:pPr>
      <w:tabs>
        <w:tab w:val="left" w:pos="-720"/>
      </w:tabs>
      <w:spacing w:before="240" w:line="360" w:lineRule="atLeast"/>
      <w:jc w:val="both"/>
      <w:outlineLvl w:val="0"/>
    </w:pPr>
    <w:rPr>
      <w:rFonts w:ascii="Arial" w:hAnsi="Arial" w:cs="Arial"/>
      <w:b/>
      <w:bCs/>
      <w:u w:val="single"/>
      <w:lang w:val="en-GB" w:eastAsia="fr-FR"/>
    </w:rPr>
  </w:style>
  <w:style w:type="paragraph" w:styleId="Titre2">
    <w:name w:val="heading 2"/>
    <w:basedOn w:val="Normal"/>
    <w:next w:val="Normal"/>
    <w:qFormat/>
    <w:rsid w:val="00AF31F2"/>
    <w:pPr>
      <w:tabs>
        <w:tab w:val="left" w:pos="-720"/>
      </w:tabs>
      <w:spacing w:before="120" w:line="360" w:lineRule="atLeast"/>
      <w:jc w:val="both"/>
      <w:outlineLvl w:val="1"/>
    </w:pPr>
    <w:rPr>
      <w:rFonts w:ascii="Arial" w:hAnsi="Arial" w:cs="Arial"/>
      <w:b/>
      <w:bCs/>
      <w:lang w:val="en-GB" w:eastAsia="fr-FR"/>
    </w:rPr>
  </w:style>
  <w:style w:type="paragraph" w:styleId="Titre3">
    <w:name w:val="heading 3"/>
    <w:basedOn w:val="Normal"/>
    <w:next w:val="Normal"/>
    <w:qFormat/>
    <w:rsid w:val="00AF31F2"/>
    <w:pPr>
      <w:tabs>
        <w:tab w:val="left" w:pos="-720"/>
      </w:tabs>
      <w:spacing w:line="360" w:lineRule="atLeast"/>
      <w:ind w:left="360"/>
      <w:jc w:val="both"/>
      <w:outlineLvl w:val="2"/>
    </w:pPr>
    <w:rPr>
      <w:b/>
      <w:bCs/>
      <w:lang w:val="en-GB" w:eastAsia="fr-FR"/>
    </w:rPr>
  </w:style>
  <w:style w:type="paragraph" w:styleId="Titre4">
    <w:name w:val="heading 4"/>
    <w:basedOn w:val="Normal"/>
    <w:next w:val="Normal"/>
    <w:qFormat/>
    <w:rsid w:val="00AF31F2"/>
    <w:pPr>
      <w:tabs>
        <w:tab w:val="left" w:pos="-720"/>
      </w:tabs>
      <w:spacing w:line="360" w:lineRule="atLeast"/>
      <w:ind w:left="360"/>
      <w:jc w:val="both"/>
      <w:outlineLvl w:val="3"/>
    </w:pPr>
    <w:rPr>
      <w:u w:val="single"/>
      <w:lang w:val="en-GB" w:eastAsia="fr-FR"/>
    </w:rPr>
  </w:style>
  <w:style w:type="paragraph" w:styleId="Titre5">
    <w:name w:val="heading 5"/>
    <w:basedOn w:val="Normal"/>
    <w:next w:val="Normal"/>
    <w:qFormat/>
    <w:rsid w:val="00AF31F2"/>
    <w:pPr>
      <w:tabs>
        <w:tab w:val="left" w:pos="-720"/>
      </w:tabs>
      <w:spacing w:line="360" w:lineRule="atLeast"/>
      <w:ind w:left="720"/>
      <w:jc w:val="both"/>
      <w:outlineLvl w:val="4"/>
    </w:pPr>
    <w:rPr>
      <w:b/>
      <w:bCs/>
      <w:sz w:val="20"/>
      <w:szCs w:val="20"/>
      <w:lang w:val="en-GB" w:eastAsia="fr-FR"/>
    </w:rPr>
  </w:style>
  <w:style w:type="paragraph" w:styleId="Titre6">
    <w:name w:val="heading 6"/>
    <w:basedOn w:val="Normal"/>
    <w:next w:val="Normal"/>
    <w:qFormat/>
    <w:rsid w:val="00AF31F2"/>
    <w:pPr>
      <w:tabs>
        <w:tab w:val="left" w:pos="-720"/>
      </w:tabs>
      <w:spacing w:line="360" w:lineRule="atLeast"/>
      <w:ind w:left="720"/>
      <w:jc w:val="both"/>
      <w:outlineLvl w:val="5"/>
    </w:pPr>
    <w:rPr>
      <w:sz w:val="20"/>
      <w:szCs w:val="20"/>
      <w:u w:val="single"/>
      <w:lang w:val="en-GB" w:eastAsia="fr-FR"/>
    </w:rPr>
  </w:style>
  <w:style w:type="paragraph" w:styleId="Titre7">
    <w:name w:val="heading 7"/>
    <w:basedOn w:val="Normal"/>
    <w:next w:val="Normal"/>
    <w:qFormat/>
    <w:rsid w:val="00AF31F2"/>
    <w:pPr>
      <w:tabs>
        <w:tab w:val="left" w:pos="-720"/>
      </w:tabs>
      <w:spacing w:line="360" w:lineRule="atLeast"/>
      <w:ind w:left="720"/>
      <w:jc w:val="both"/>
      <w:outlineLvl w:val="6"/>
    </w:pPr>
    <w:rPr>
      <w:i/>
      <w:iCs/>
      <w:sz w:val="20"/>
      <w:szCs w:val="20"/>
      <w:lang w:val="en-GB" w:eastAsia="fr-FR"/>
    </w:rPr>
  </w:style>
  <w:style w:type="paragraph" w:styleId="Titre8">
    <w:name w:val="heading 8"/>
    <w:basedOn w:val="Normal"/>
    <w:next w:val="Normal"/>
    <w:qFormat/>
    <w:rsid w:val="00AF31F2"/>
    <w:pPr>
      <w:tabs>
        <w:tab w:val="left" w:pos="-720"/>
      </w:tabs>
      <w:spacing w:line="360" w:lineRule="atLeast"/>
      <w:ind w:left="720"/>
      <w:jc w:val="both"/>
      <w:outlineLvl w:val="7"/>
    </w:pPr>
    <w:rPr>
      <w:i/>
      <w:iCs/>
      <w:sz w:val="20"/>
      <w:szCs w:val="20"/>
      <w:lang w:val="en-GB" w:eastAsia="fr-FR"/>
    </w:rPr>
  </w:style>
  <w:style w:type="paragraph" w:styleId="Titre9">
    <w:name w:val="heading 9"/>
    <w:basedOn w:val="Normal"/>
    <w:next w:val="Normal"/>
    <w:qFormat/>
    <w:rsid w:val="00AF31F2"/>
    <w:pPr>
      <w:tabs>
        <w:tab w:val="left" w:pos="-720"/>
      </w:tabs>
      <w:spacing w:line="360" w:lineRule="atLeast"/>
      <w:ind w:left="720"/>
      <w:jc w:val="both"/>
      <w:outlineLvl w:val="8"/>
    </w:pPr>
    <w:rPr>
      <w:i/>
      <w:iCs/>
      <w:sz w:val="20"/>
      <w:szCs w:val="20"/>
      <w:lang w:val="en-GB"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D34329"/>
    <w:rPr>
      <w:rFonts w:ascii="Arial" w:hAnsi="Arial"/>
      <w:sz w:val="16"/>
    </w:rPr>
  </w:style>
  <w:style w:type="paragraph" w:styleId="En-tte">
    <w:name w:val="header"/>
    <w:basedOn w:val="Normal"/>
    <w:link w:val="En-tteCar"/>
    <w:rsid w:val="00AF31F2"/>
    <w:pPr>
      <w:tabs>
        <w:tab w:val="center" w:pos="4536"/>
        <w:tab w:val="right" w:pos="9072"/>
      </w:tabs>
      <w:spacing w:line="360" w:lineRule="atLeast"/>
      <w:jc w:val="both"/>
    </w:pPr>
    <w:rPr>
      <w:sz w:val="20"/>
      <w:szCs w:val="20"/>
      <w:lang w:val="en-GB" w:eastAsia="fr-FR"/>
    </w:rPr>
  </w:style>
  <w:style w:type="paragraph" w:customStyle="1" w:styleId="notedebas">
    <w:name w:val="note de bas"/>
    <w:basedOn w:val="Normal"/>
    <w:rsid w:val="00AF31F2"/>
    <w:pPr>
      <w:widowControl w:val="0"/>
      <w:tabs>
        <w:tab w:val="left" w:pos="-720"/>
      </w:tabs>
      <w:ind w:left="425" w:hanging="425"/>
      <w:jc w:val="both"/>
    </w:pPr>
    <w:rPr>
      <w:rFonts w:ascii="Arial" w:hAnsi="Arial" w:cs="Arial"/>
      <w:sz w:val="16"/>
      <w:szCs w:val="16"/>
      <w:lang w:val="en-US" w:eastAsia="fr-FR"/>
    </w:rPr>
  </w:style>
  <w:style w:type="paragraph" w:customStyle="1" w:styleId="a">
    <w:name w:val="a)"/>
    <w:basedOn w:val="Normal"/>
    <w:rsid w:val="00AF31F2"/>
    <w:pPr>
      <w:spacing w:after="120"/>
      <w:ind w:left="425" w:hanging="425"/>
      <w:jc w:val="both"/>
    </w:pPr>
    <w:rPr>
      <w:rFonts w:ascii="Ottawa" w:hAnsi="Ottawa"/>
      <w:b/>
      <w:bCs/>
      <w:sz w:val="20"/>
      <w:szCs w:val="20"/>
      <w:lang w:val="en-GB" w:eastAsia="fr-FR"/>
    </w:rPr>
  </w:style>
  <w:style w:type="paragraph" w:customStyle="1" w:styleId="paraa">
    <w:name w:val="paraa)"/>
    <w:basedOn w:val="Normal"/>
    <w:rsid w:val="00AF31F2"/>
    <w:pPr>
      <w:tabs>
        <w:tab w:val="left" w:pos="-720"/>
      </w:tabs>
      <w:spacing w:after="240"/>
      <w:ind w:left="425"/>
      <w:jc w:val="both"/>
    </w:pPr>
    <w:rPr>
      <w:rFonts w:ascii="Arial" w:hAnsi="Arial" w:cs="Arial"/>
      <w:sz w:val="18"/>
      <w:szCs w:val="18"/>
      <w:lang w:val="en-GB" w:eastAsia="fr-FR"/>
    </w:rPr>
  </w:style>
  <w:style w:type="paragraph" w:customStyle="1" w:styleId="1">
    <w:name w:val="1"/>
    <w:basedOn w:val="para1"/>
    <w:rsid w:val="00AF31F2"/>
    <w:pPr>
      <w:tabs>
        <w:tab w:val="clear" w:pos="-720"/>
      </w:tabs>
      <w:ind w:left="426" w:hanging="426"/>
    </w:pPr>
    <w:rPr>
      <w:rFonts w:ascii="Ottawa" w:hAnsi="Ottawa"/>
      <w:b/>
      <w:bCs/>
      <w:sz w:val="22"/>
      <w:szCs w:val="22"/>
    </w:rPr>
  </w:style>
  <w:style w:type="paragraph" w:customStyle="1" w:styleId="para1">
    <w:name w:val="para1"/>
    <w:basedOn w:val="Normal"/>
    <w:rsid w:val="00AF31F2"/>
    <w:pPr>
      <w:tabs>
        <w:tab w:val="left" w:pos="-720"/>
      </w:tabs>
      <w:spacing w:after="240"/>
      <w:jc w:val="both"/>
    </w:pPr>
    <w:rPr>
      <w:rFonts w:ascii="Arial" w:hAnsi="Arial" w:cs="Arial"/>
      <w:sz w:val="18"/>
      <w:szCs w:val="18"/>
      <w:lang w:val="en-GB" w:eastAsia="fr-FR"/>
    </w:rPr>
  </w:style>
  <w:style w:type="paragraph" w:customStyle="1" w:styleId="i">
    <w:name w:val="i)"/>
    <w:basedOn w:val="Normal"/>
    <w:link w:val="iCar1"/>
    <w:qFormat/>
    <w:rsid w:val="0073402F"/>
    <w:pPr>
      <w:tabs>
        <w:tab w:val="left" w:pos="-720"/>
      </w:tabs>
      <w:spacing w:after="120"/>
      <w:ind w:left="1843" w:hanging="425"/>
      <w:jc w:val="both"/>
    </w:pPr>
    <w:rPr>
      <w:rFonts w:ascii="Arial" w:hAnsi="Arial"/>
      <w:sz w:val="18"/>
      <w:szCs w:val="18"/>
      <w:lang w:eastAsia="fr-FR"/>
    </w:rPr>
  </w:style>
  <w:style w:type="paragraph" w:customStyle="1" w:styleId="A0">
    <w:name w:val="A"/>
    <w:basedOn w:val="Normal"/>
    <w:rsid w:val="00AF31F2"/>
    <w:pPr>
      <w:tabs>
        <w:tab w:val="left" w:pos="-720"/>
      </w:tabs>
      <w:spacing w:after="240"/>
      <w:jc w:val="center"/>
    </w:pPr>
    <w:rPr>
      <w:rFonts w:ascii="Ottawa" w:hAnsi="Ottawa"/>
      <w:b/>
      <w:bCs/>
      <w:caps/>
      <w:lang w:val="en-GB" w:eastAsia="fr-FR"/>
    </w:rPr>
  </w:style>
  <w:style w:type="paragraph" w:customStyle="1" w:styleId="Ref">
    <w:name w:val="Ref."/>
    <w:basedOn w:val="Normal"/>
    <w:rsid w:val="000176E6"/>
    <w:pPr>
      <w:tabs>
        <w:tab w:val="left" w:pos="-720"/>
      </w:tabs>
      <w:spacing w:after="240"/>
      <w:jc w:val="both"/>
    </w:pPr>
    <w:rPr>
      <w:rFonts w:ascii="Arial" w:hAnsi="Arial" w:cs="Arial"/>
      <w:sz w:val="18"/>
      <w:szCs w:val="18"/>
      <w:lang w:val="en-GB" w:eastAsia="fr-FR"/>
    </w:rPr>
  </w:style>
  <w:style w:type="paragraph" w:customStyle="1" w:styleId="sumtexte">
    <w:name w:val="sumtexte"/>
    <w:basedOn w:val="Normal"/>
    <w:rsid w:val="00AF31F2"/>
    <w:pPr>
      <w:tabs>
        <w:tab w:val="left" w:pos="-720"/>
      </w:tabs>
      <w:spacing w:after="120" w:line="240" w:lineRule="exact"/>
      <w:ind w:left="567" w:right="567"/>
      <w:jc w:val="both"/>
    </w:pPr>
    <w:rPr>
      <w:rFonts w:ascii="Arial" w:hAnsi="Arial" w:cs="Arial"/>
      <w:i/>
      <w:iCs/>
      <w:sz w:val="18"/>
      <w:szCs w:val="18"/>
      <w:lang w:val="en-GB" w:eastAsia="fr-FR"/>
    </w:rPr>
  </w:style>
  <w:style w:type="paragraph" w:customStyle="1" w:styleId="paraA0">
    <w:name w:val="paraA"/>
    <w:basedOn w:val="Normal"/>
    <w:rsid w:val="00AF31F2"/>
    <w:pPr>
      <w:tabs>
        <w:tab w:val="left" w:pos="-720"/>
      </w:tabs>
      <w:spacing w:after="240"/>
      <w:jc w:val="both"/>
    </w:pPr>
    <w:rPr>
      <w:rFonts w:ascii="Arial" w:hAnsi="Arial" w:cs="Arial"/>
      <w:sz w:val="18"/>
      <w:szCs w:val="18"/>
      <w:lang w:val="en-GB" w:eastAsia="fr-FR"/>
    </w:rPr>
  </w:style>
  <w:style w:type="paragraph" w:customStyle="1" w:styleId="TITRE">
    <w:name w:val="TITRE"/>
    <w:basedOn w:val="Normal"/>
    <w:rsid w:val="00AF31F2"/>
    <w:pPr>
      <w:tabs>
        <w:tab w:val="left" w:pos="-720"/>
      </w:tabs>
      <w:spacing w:after="240" w:line="360" w:lineRule="atLeast"/>
      <w:jc w:val="center"/>
    </w:pPr>
    <w:rPr>
      <w:b/>
      <w:bCs/>
      <w:caps/>
      <w:sz w:val="20"/>
      <w:szCs w:val="20"/>
      <w:lang w:val="en-GB" w:eastAsia="fr-FR"/>
    </w:rPr>
  </w:style>
  <w:style w:type="paragraph" w:styleId="Pieddepage">
    <w:name w:val="footer"/>
    <w:basedOn w:val="Normal"/>
    <w:rsid w:val="00AF31F2"/>
    <w:pPr>
      <w:tabs>
        <w:tab w:val="center" w:pos="4536"/>
        <w:tab w:val="right" w:pos="9072"/>
      </w:tabs>
      <w:spacing w:line="360" w:lineRule="atLeast"/>
      <w:jc w:val="both"/>
    </w:pPr>
    <w:rPr>
      <w:sz w:val="20"/>
      <w:szCs w:val="20"/>
      <w:lang w:val="en-GB" w:eastAsia="fr-FR"/>
    </w:rPr>
  </w:style>
  <w:style w:type="paragraph" w:styleId="Notedebasdepage">
    <w:name w:val="footnote text"/>
    <w:basedOn w:val="Normal"/>
    <w:link w:val="NotedebasdepageCar"/>
    <w:rsid w:val="00AF31F2"/>
    <w:pPr>
      <w:tabs>
        <w:tab w:val="left" w:pos="-720"/>
      </w:tabs>
      <w:spacing w:line="360" w:lineRule="atLeast"/>
      <w:jc w:val="both"/>
    </w:pPr>
    <w:rPr>
      <w:sz w:val="20"/>
      <w:szCs w:val="20"/>
      <w:lang w:val="en-GB" w:eastAsia="fr-FR"/>
    </w:rPr>
  </w:style>
  <w:style w:type="character" w:styleId="Appelnotedebasdep">
    <w:name w:val="footnote reference"/>
    <w:rsid w:val="00AF31F2"/>
    <w:rPr>
      <w:vertAlign w:val="superscript"/>
    </w:rPr>
  </w:style>
  <w:style w:type="paragraph" w:customStyle="1" w:styleId="sumtextelastpara">
    <w:name w:val="sumtexte last para"/>
    <w:basedOn w:val="sumtexte"/>
    <w:rsid w:val="00AF31F2"/>
    <w:pPr>
      <w:spacing w:after="480"/>
    </w:pPr>
  </w:style>
  <w:style w:type="paragraph" w:customStyle="1" w:styleId="b">
    <w:name w:val="b)"/>
    <w:basedOn w:val="Normal"/>
    <w:rsid w:val="00AF31F2"/>
    <w:pPr>
      <w:tabs>
        <w:tab w:val="left" w:pos="-720"/>
      </w:tabs>
      <w:spacing w:after="120"/>
      <w:ind w:left="850" w:hanging="425"/>
      <w:jc w:val="both"/>
    </w:pPr>
    <w:rPr>
      <w:rFonts w:ascii="Ottawa" w:hAnsi="Ottawa"/>
      <w:b/>
      <w:sz w:val="18"/>
      <w:szCs w:val="20"/>
      <w:lang w:val="en-GB" w:eastAsia="fr-FR"/>
    </w:rPr>
  </w:style>
  <w:style w:type="paragraph" w:customStyle="1" w:styleId="ipara">
    <w:name w:val="i_para"/>
    <w:basedOn w:val="i"/>
    <w:link w:val="iparaCar"/>
    <w:rsid w:val="00AF31F2"/>
    <w:pPr>
      <w:spacing w:line="200" w:lineRule="exact"/>
      <w:ind w:left="851" w:firstLine="0"/>
    </w:pPr>
  </w:style>
  <w:style w:type="paragraph" w:customStyle="1" w:styleId="iparalast">
    <w:name w:val="i_para_last"/>
    <w:basedOn w:val="i"/>
    <w:rsid w:val="00AF31F2"/>
    <w:pPr>
      <w:spacing w:after="240" w:line="200" w:lineRule="exact"/>
    </w:pPr>
  </w:style>
  <w:style w:type="paragraph" w:customStyle="1" w:styleId="Referencetitle">
    <w:name w:val="Reference_title"/>
    <w:basedOn w:val="Normal"/>
    <w:rsid w:val="00AF31F2"/>
    <w:pPr>
      <w:widowControl w:val="0"/>
      <w:tabs>
        <w:tab w:val="left" w:pos="-720"/>
        <w:tab w:val="left" w:pos="2410"/>
      </w:tabs>
      <w:spacing w:after="240"/>
      <w:jc w:val="center"/>
    </w:pPr>
    <w:rPr>
      <w:rFonts w:ascii="Ottawa" w:hAnsi="Ottawa"/>
      <w:b/>
      <w:sz w:val="22"/>
      <w:szCs w:val="20"/>
      <w:lang w:val="en-GB" w:eastAsia="fr-FR"/>
    </w:rPr>
  </w:style>
  <w:style w:type="paragraph" w:customStyle="1" w:styleId="Chatperno">
    <w:name w:val="Chatper_no"/>
    <w:basedOn w:val="Normal"/>
    <w:rsid w:val="00AF31F2"/>
    <w:pPr>
      <w:tabs>
        <w:tab w:val="left" w:pos="-720"/>
      </w:tabs>
      <w:spacing w:after="240"/>
      <w:jc w:val="center"/>
    </w:pPr>
    <w:rPr>
      <w:rFonts w:ascii="Ottawa" w:hAnsi="Ottawa"/>
      <w:caps/>
      <w:spacing w:val="60"/>
      <w:szCs w:val="20"/>
      <w:lang w:val="en-GB" w:eastAsia="fr-FR"/>
    </w:rPr>
  </w:style>
  <w:style w:type="paragraph" w:customStyle="1" w:styleId="Chaptertitle">
    <w:name w:val="Chapter_title"/>
    <w:basedOn w:val="Normal"/>
    <w:rsid w:val="00AF31F2"/>
    <w:pPr>
      <w:pBdr>
        <w:bottom w:val="single" w:sz="6" w:space="10" w:color="auto"/>
      </w:pBdr>
      <w:tabs>
        <w:tab w:val="left" w:pos="-720"/>
      </w:tabs>
      <w:jc w:val="center"/>
    </w:pPr>
    <w:rPr>
      <w:rFonts w:ascii="Ottawa" w:hAnsi="Ottawa"/>
      <w:b/>
      <w:caps/>
      <w:spacing w:val="40"/>
      <w:sz w:val="32"/>
      <w:szCs w:val="20"/>
      <w:lang w:val="en-GB" w:eastAsia="fr-FR"/>
    </w:rPr>
  </w:style>
  <w:style w:type="paragraph" w:customStyle="1" w:styleId="Summarytitle">
    <w:name w:val="Summary_title"/>
    <w:basedOn w:val="A0"/>
    <w:rsid w:val="00AF31F2"/>
    <w:pPr>
      <w:spacing w:before="1200"/>
    </w:pPr>
  </w:style>
  <w:style w:type="paragraph" w:customStyle="1" w:styleId="rtoiles">
    <w:name w:val="r_étoiles"/>
    <w:basedOn w:val="Normal"/>
    <w:next w:val="Normal"/>
    <w:rsid w:val="00AF31F2"/>
    <w:pPr>
      <w:keepLines/>
      <w:spacing w:before="240" w:after="240" w:line="240" w:lineRule="atLeast"/>
      <w:jc w:val="center"/>
    </w:pPr>
    <w:rPr>
      <w:sz w:val="20"/>
      <w:szCs w:val="20"/>
      <w:lang w:val="fr-FR" w:eastAsia="fr-FR"/>
    </w:rPr>
  </w:style>
  <w:style w:type="paragraph" w:styleId="Textedebulles">
    <w:name w:val="Balloon Text"/>
    <w:basedOn w:val="Normal"/>
    <w:semiHidden/>
    <w:rsid w:val="00AF31F2"/>
    <w:pPr>
      <w:tabs>
        <w:tab w:val="left" w:pos="-720"/>
      </w:tabs>
      <w:spacing w:line="360" w:lineRule="atLeast"/>
      <w:jc w:val="both"/>
    </w:pPr>
    <w:rPr>
      <w:rFonts w:ascii="Tahoma" w:hAnsi="Tahoma" w:cs="Tahoma"/>
      <w:sz w:val="16"/>
      <w:szCs w:val="16"/>
      <w:lang w:val="en-GB" w:eastAsia="fr-FR"/>
    </w:rPr>
  </w:style>
  <w:style w:type="character" w:customStyle="1" w:styleId="iCar">
    <w:name w:val="i) Car"/>
    <w:rsid w:val="00AF31F2"/>
    <w:rPr>
      <w:rFonts w:ascii="Arial" w:hAnsi="Arial" w:cs="Arial"/>
      <w:sz w:val="18"/>
      <w:szCs w:val="18"/>
      <w:lang w:val="en-GB" w:eastAsia="fr-FR" w:bidi="ar-SA"/>
    </w:rPr>
  </w:style>
  <w:style w:type="character" w:customStyle="1" w:styleId="iparalastCar">
    <w:name w:val="i_para_last Car"/>
    <w:rsid w:val="00AF31F2"/>
    <w:rPr>
      <w:rFonts w:ascii="Arial" w:hAnsi="Arial" w:cs="Arial"/>
      <w:sz w:val="18"/>
      <w:szCs w:val="18"/>
      <w:lang w:val="en-GB" w:eastAsia="fr-FR" w:bidi="ar-SA"/>
    </w:rPr>
  </w:style>
  <w:style w:type="paragraph" w:styleId="Explorateurdedocuments">
    <w:name w:val="Document Map"/>
    <w:basedOn w:val="Normal"/>
    <w:semiHidden/>
    <w:rsid w:val="00AF31F2"/>
    <w:pPr>
      <w:shd w:val="clear" w:color="auto" w:fill="000080"/>
      <w:tabs>
        <w:tab w:val="left" w:pos="-720"/>
      </w:tabs>
      <w:spacing w:line="360" w:lineRule="atLeast"/>
      <w:jc w:val="both"/>
    </w:pPr>
    <w:rPr>
      <w:rFonts w:ascii="Tahoma" w:hAnsi="Tahoma" w:cs="Tahoma"/>
      <w:sz w:val="20"/>
      <w:szCs w:val="20"/>
      <w:lang w:val="en-GB" w:eastAsia="fr-FR"/>
    </w:rPr>
  </w:style>
  <w:style w:type="character" w:styleId="Lienhypertexte">
    <w:name w:val="Hyperlink"/>
    <w:rsid w:val="00AF31F2"/>
    <w:rPr>
      <w:color w:val="0000FF"/>
      <w:u w:val="single"/>
    </w:rPr>
  </w:style>
  <w:style w:type="character" w:styleId="Numrodepage">
    <w:name w:val="page number"/>
    <w:basedOn w:val="Policepardfaut"/>
    <w:rsid w:val="00AF31F2"/>
  </w:style>
  <w:style w:type="character" w:styleId="Marquedecommentaire">
    <w:name w:val="annotation reference"/>
    <w:semiHidden/>
    <w:rsid w:val="00AF31F2"/>
    <w:rPr>
      <w:sz w:val="16"/>
      <w:szCs w:val="16"/>
    </w:rPr>
  </w:style>
  <w:style w:type="paragraph" w:styleId="Commentaire">
    <w:name w:val="annotation text"/>
    <w:basedOn w:val="Normal"/>
    <w:link w:val="CommentaireCar"/>
    <w:semiHidden/>
    <w:rsid w:val="00AF31F2"/>
    <w:pPr>
      <w:tabs>
        <w:tab w:val="left" w:pos="-720"/>
      </w:tabs>
      <w:spacing w:line="360" w:lineRule="atLeast"/>
      <w:jc w:val="both"/>
    </w:pPr>
    <w:rPr>
      <w:sz w:val="20"/>
      <w:szCs w:val="20"/>
      <w:lang w:val="en-GB" w:eastAsia="fr-FR"/>
    </w:rPr>
  </w:style>
  <w:style w:type="paragraph" w:styleId="Objetducommentaire">
    <w:name w:val="annotation subject"/>
    <w:basedOn w:val="Commentaire"/>
    <w:next w:val="Commentaire"/>
    <w:semiHidden/>
    <w:rsid w:val="002666A4"/>
    <w:rPr>
      <w:b/>
      <w:bCs/>
    </w:rPr>
  </w:style>
  <w:style w:type="character" w:customStyle="1" w:styleId="iCar1">
    <w:name w:val="i) Car1"/>
    <w:link w:val="i"/>
    <w:rsid w:val="0073402F"/>
    <w:rPr>
      <w:rFonts w:ascii="Arial" w:hAnsi="Arial" w:cs="Arial"/>
      <w:sz w:val="18"/>
      <w:szCs w:val="18"/>
      <w:lang w:eastAsia="fr-FR"/>
    </w:rPr>
  </w:style>
  <w:style w:type="character" w:customStyle="1" w:styleId="iparaCar">
    <w:name w:val="i_para Car"/>
    <w:link w:val="ipara"/>
    <w:rsid w:val="008C3514"/>
    <w:rPr>
      <w:rFonts w:ascii="Arial" w:hAnsi="Arial" w:cs="Arial"/>
      <w:sz w:val="18"/>
      <w:szCs w:val="18"/>
      <w:lang w:val="en-GB" w:eastAsia="fr-FR" w:bidi="ar-SA"/>
    </w:rPr>
  </w:style>
  <w:style w:type="character" w:customStyle="1" w:styleId="CommentaireCar">
    <w:name w:val="Commentaire Car"/>
    <w:link w:val="Commentaire"/>
    <w:rsid w:val="008C3514"/>
    <w:rPr>
      <w:lang w:val="en-GB" w:eastAsia="fr-FR" w:bidi="ar-SA"/>
    </w:rPr>
  </w:style>
  <w:style w:type="character" w:customStyle="1" w:styleId="googqs-tidbitgoogqs-tidbit-0">
    <w:name w:val="goog_qs-tidbit goog_qs-tidbit-0"/>
    <w:basedOn w:val="Policepardfaut"/>
    <w:rsid w:val="00F67919"/>
  </w:style>
  <w:style w:type="character" w:customStyle="1" w:styleId="En-tteCar">
    <w:name w:val="En-tête Car"/>
    <w:link w:val="En-tte"/>
    <w:rsid w:val="001C712D"/>
    <w:rPr>
      <w:lang w:eastAsia="fr-FR"/>
    </w:rPr>
  </w:style>
  <w:style w:type="paragraph" w:customStyle="1" w:styleId="Reflabnote">
    <w:name w:val="Ref_lab_note"/>
    <w:basedOn w:val="Normal"/>
    <w:link w:val="ReflabnoteCar"/>
    <w:rsid w:val="00DC5130"/>
    <w:pPr>
      <w:spacing w:before="120" w:after="120"/>
      <w:jc w:val="center"/>
    </w:pPr>
    <w:rPr>
      <w:rFonts w:ascii="Arial" w:hAnsi="Arial" w:cs="Arial"/>
      <w:sz w:val="18"/>
      <w:szCs w:val="18"/>
      <w:lang w:val="en-GB" w:eastAsia="fr-FR"/>
    </w:rPr>
  </w:style>
  <w:style w:type="character" w:customStyle="1" w:styleId="ReflabnoteCar">
    <w:name w:val="Ref_lab_note Car"/>
    <w:link w:val="Reflabnote"/>
    <w:rsid w:val="00DC5130"/>
    <w:rPr>
      <w:rFonts w:ascii="Arial" w:hAnsi="Arial" w:cs="Arial"/>
      <w:sz w:val="18"/>
      <w:szCs w:val="18"/>
      <w:lang w:eastAsia="fr-FR"/>
    </w:rPr>
  </w:style>
  <w:style w:type="paragraph" w:styleId="Textebrut">
    <w:name w:val="Plain Text"/>
    <w:basedOn w:val="Normal"/>
    <w:link w:val="TextebrutCar"/>
    <w:uiPriority w:val="99"/>
    <w:unhideWhenUsed/>
    <w:rsid w:val="00667E31"/>
    <w:rPr>
      <w:rFonts w:ascii="Calibri" w:eastAsia="Calibri" w:hAnsi="Calibri"/>
      <w:sz w:val="22"/>
      <w:szCs w:val="21"/>
      <w:lang w:val="en-GB" w:eastAsia="en-US"/>
    </w:rPr>
  </w:style>
  <w:style w:type="character" w:customStyle="1" w:styleId="TextebrutCar">
    <w:name w:val="Texte brut Car"/>
    <w:link w:val="Textebrut"/>
    <w:uiPriority w:val="99"/>
    <w:rsid w:val="00667E31"/>
    <w:rPr>
      <w:rFonts w:ascii="Calibri" w:eastAsia="Calibri" w:hAnsi="Calibri" w:cs="Times New Roman"/>
      <w:sz w:val="22"/>
      <w:szCs w:val="21"/>
      <w:lang w:eastAsia="en-US"/>
    </w:rPr>
  </w:style>
  <w:style w:type="paragraph" w:customStyle="1" w:styleId="2">
    <w:name w:val="2"/>
    <w:basedOn w:val="Normal"/>
    <w:rsid w:val="0058779B"/>
    <w:pPr>
      <w:spacing w:after="240" w:line="240" w:lineRule="atLeast"/>
      <w:ind w:left="709" w:hanging="283"/>
      <w:jc w:val="both"/>
    </w:pPr>
    <w:rPr>
      <w:rFonts w:ascii="Verdana" w:hAnsi="Verdana"/>
      <w:sz w:val="18"/>
      <w:u w:val="single"/>
      <w:lang w:val="en-GB" w:eastAsia="fr-FR"/>
    </w:rPr>
  </w:style>
  <w:style w:type="paragraph" w:customStyle="1" w:styleId="3">
    <w:name w:val="3"/>
    <w:basedOn w:val="Normal"/>
    <w:rsid w:val="004B1145"/>
    <w:pPr>
      <w:spacing w:after="240" w:line="240" w:lineRule="exact"/>
      <w:ind w:left="1276" w:hanging="426"/>
      <w:jc w:val="both"/>
    </w:pPr>
    <w:rPr>
      <w:rFonts w:ascii="Verdana" w:hAnsi="Verdana"/>
      <w:b/>
      <w:bCs/>
      <w:sz w:val="18"/>
      <w:lang w:val="en-GB" w:eastAsia="fr-FR"/>
    </w:rPr>
  </w:style>
  <w:style w:type="paragraph" w:styleId="Paragraphedeliste">
    <w:name w:val="List Paragraph"/>
    <w:basedOn w:val="Normal"/>
    <w:uiPriority w:val="34"/>
    <w:qFormat/>
    <w:rsid w:val="00823752"/>
    <w:pPr>
      <w:ind w:left="720"/>
      <w:contextualSpacing/>
    </w:pPr>
    <w:rPr>
      <w:rFonts w:ascii="Cambria" w:eastAsia="Cambria" w:hAnsi="Cambria"/>
      <w:sz w:val="18"/>
      <w:lang w:val="en-US" w:eastAsia="en-US"/>
    </w:rPr>
  </w:style>
  <w:style w:type="character" w:styleId="Accentuation">
    <w:name w:val="Emphasis"/>
    <w:uiPriority w:val="20"/>
    <w:qFormat/>
    <w:rsid w:val="0049299A"/>
    <w:rPr>
      <w:b/>
      <w:bCs/>
      <w:i w:val="0"/>
      <w:iCs w:val="0"/>
    </w:rPr>
  </w:style>
  <w:style w:type="character" w:styleId="lev">
    <w:name w:val="Strong"/>
    <w:uiPriority w:val="22"/>
    <w:qFormat/>
    <w:rsid w:val="0049299A"/>
    <w:rPr>
      <w:rFonts w:ascii="inherit" w:hAnsi="inherit" w:hint="default"/>
      <w:b/>
      <w:bCs/>
      <w:sz w:val="24"/>
      <w:szCs w:val="24"/>
      <w:bdr w:val="none" w:sz="0" w:space="0" w:color="auto" w:frame="1"/>
      <w:vertAlign w:val="baseline"/>
    </w:rPr>
  </w:style>
  <w:style w:type="character" w:customStyle="1" w:styleId="highlight">
    <w:name w:val="highlight"/>
    <w:basedOn w:val="Policepardfaut"/>
    <w:rsid w:val="00D6374C"/>
  </w:style>
  <w:style w:type="paragraph" w:customStyle="1" w:styleId="11">
    <w:name w:val="1.1"/>
    <w:basedOn w:val="Normal"/>
    <w:qFormat/>
    <w:rsid w:val="0073402F"/>
    <w:pPr>
      <w:spacing w:after="240"/>
      <w:ind w:left="850" w:hanging="425"/>
      <w:jc w:val="both"/>
    </w:pPr>
    <w:rPr>
      <w:rFonts w:ascii="Ottawa" w:eastAsia="Calibri" w:hAnsi="Ottawa" w:cs="Arial"/>
      <w:b/>
      <w:sz w:val="20"/>
      <w:szCs w:val="22"/>
      <w:lang w:val="en-GB" w:eastAsia="en-US"/>
    </w:rPr>
  </w:style>
  <w:style w:type="paragraph" w:customStyle="1" w:styleId="11Para">
    <w:name w:val="1.1_Para"/>
    <w:basedOn w:val="Normal"/>
    <w:qFormat/>
    <w:rsid w:val="00972AA8"/>
    <w:pPr>
      <w:spacing w:after="240"/>
      <w:ind w:left="851"/>
      <w:jc w:val="both"/>
    </w:pPr>
    <w:rPr>
      <w:rFonts w:ascii="Arial" w:eastAsia="Calibri" w:hAnsi="Arial" w:cs="Arial"/>
      <w:sz w:val="18"/>
      <w:szCs w:val="18"/>
      <w:lang w:val="en-GB" w:eastAsia="en-US"/>
    </w:rPr>
  </w:style>
  <w:style w:type="paragraph" w:customStyle="1" w:styleId="111">
    <w:name w:val="1.1.1"/>
    <w:basedOn w:val="Normal"/>
    <w:qFormat/>
    <w:rsid w:val="00972AA8"/>
    <w:pPr>
      <w:spacing w:after="120"/>
      <w:ind w:left="1418" w:hanging="567"/>
    </w:pPr>
    <w:rPr>
      <w:rFonts w:ascii="Ottawa" w:eastAsia="Calibri" w:hAnsi="Ottawa" w:cs="Arial"/>
      <w:b/>
      <w:sz w:val="19"/>
      <w:szCs w:val="20"/>
      <w:lang w:val="en-GB" w:eastAsia="en-US"/>
    </w:rPr>
  </w:style>
  <w:style w:type="paragraph" w:customStyle="1" w:styleId="111Para">
    <w:name w:val="1.1.1_Para"/>
    <w:basedOn w:val="Normal"/>
    <w:qFormat/>
    <w:rsid w:val="00972AA8"/>
    <w:pPr>
      <w:spacing w:after="240"/>
      <w:ind w:left="1418"/>
      <w:jc w:val="both"/>
    </w:pPr>
    <w:rPr>
      <w:rFonts w:ascii="Arial" w:eastAsia="Calibri" w:hAnsi="Arial" w:cs="Arial"/>
      <w:sz w:val="18"/>
      <w:szCs w:val="18"/>
      <w:lang w:val="en-GB" w:eastAsia="en-US"/>
    </w:rPr>
  </w:style>
  <w:style w:type="paragraph" w:customStyle="1" w:styleId="ilast">
    <w:name w:val="i)_last"/>
    <w:basedOn w:val="Normal"/>
    <w:qFormat/>
    <w:rsid w:val="00972AA8"/>
    <w:pPr>
      <w:spacing w:after="240"/>
      <w:ind w:left="1843" w:hanging="425"/>
    </w:pPr>
    <w:rPr>
      <w:rFonts w:ascii="Arial" w:eastAsia="Calibri" w:hAnsi="Arial" w:cs="Arial"/>
      <w:sz w:val="18"/>
      <w:szCs w:val="18"/>
      <w:lang w:val="en-GB" w:eastAsia="en-US"/>
    </w:rPr>
  </w:style>
  <w:style w:type="paragraph" w:customStyle="1" w:styleId="afourthlevel">
    <w:name w:val="a)_fourth_level"/>
    <w:basedOn w:val="Normal"/>
    <w:qFormat/>
    <w:rsid w:val="00972AA8"/>
    <w:pPr>
      <w:spacing w:after="120"/>
      <w:ind w:left="1843" w:hanging="425"/>
    </w:pPr>
    <w:rPr>
      <w:rFonts w:ascii="Ottawa" w:eastAsia="Calibri" w:hAnsi="Ottawa" w:cs="Arial"/>
      <w:b/>
      <w:sz w:val="18"/>
      <w:szCs w:val="20"/>
      <w:lang w:val="en-GB" w:eastAsia="en-US"/>
    </w:rPr>
  </w:style>
  <w:style w:type="paragraph" w:customStyle="1" w:styleId="afourthpara">
    <w:name w:val="a)_fourth_para"/>
    <w:basedOn w:val="Normal"/>
    <w:qFormat/>
    <w:rsid w:val="00972AA8"/>
    <w:pPr>
      <w:spacing w:after="240"/>
      <w:ind w:left="1843"/>
      <w:jc w:val="both"/>
    </w:pPr>
    <w:rPr>
      <w:rFonts w:ascii="Arial" w:eastAsia="Calibri" w:hAnsi="Arial" w:cs="Arial"/>
      <w:sz w:val="18"/>
      <w:szCs w:val="18"/>
      <w:lang w:val="en-GB" w:eastAsia="en-US"/>
    </w:rPr>
  </w:style>
  <w:style w:type="paragraph" w:customStyle="1" w:styleId="ififthlevel">
    <w:name w:val="i)_fifth_level"/>
    <w:basedOn w:val="Normal"/>
    <w:qFormat/>
    <w:rsid w:val="00972AA8"/>
    <w:pPr>
      <w:spacing w:after="120"/>
      <w:ind w:left="2268" w:hanging="425"/>
    </w:pPr>
    <w:rPr>
      <w:rFonts w:ascii="Ottawa" w:eastAsia="Calibri" w:hAnsi="Ottawa" w:cs="Arial"/>
      <w:b/>
      <w:sz w:val="17"/>
      <w:szCs w:val="18"/>
      <w:lang w:val="en-GB" w:eastAsia="en-US"/>
    </w:rPr>
  </w:style>
  <w:style w:type="paragraph" w:customStyle="1" w:styleId="ififthpara">
    <w:name w:val="i)_fifth_para"/>
    <w:basedOn w:val="Normal"/>
    <w:qFormat/>
    <w:rsid w:val="00972AA8"/>
    <w:pPr>
      <w:spacing w:after="240"/>
      <w:ind w:left="2268"/>
      <w:jc w:val="both"/>
    </w:pPr>
    <w:rPr>
      <w:rFonts w:ascii="Arial" w:eastAsia="Calibri" w:hAnsi="Arial" w:cs="Arial"/>
      <w:sz w:val="18"/>
      <w:szCs w:val="18"/>
      <w:lang w:val="en-GB" w:eastAsia="en-US"/>
    </w:rPr>
  </w:style>
  <w:style w:type="paragraph" w:customStyle="1" w:styleId="dotsixthlevel">
    <w:name w:val="dot_sixth_level"/>
    <w:basedOn w:val="Normal"/>
    <w:qFormat/>
    <w:rsid w:val="00972AA8"/>
    <w:pPr>
      <w:spacing w:after="120"/>
      <w:ind w:left="2268" w:hanging="425"/>
    </w:pPr>
    <w:rPr>
      <w:rFonts w:ascii="Arial" w:eastAsia="Calibri" w:hAnsi="Arial" w:cs="Arial"/>
      <w:sz w:val="18"/>
      <w:szCs w:val="18"/>
      <w:lang w:val="en-GB" w:eastAsia="en-US"/>
    </w:rPr>
  </w:style>
  <w:style w:type="paragraph" w:customStyle="1" w:styleId="dotsixthpara">
    <w:name w:val="dot_sixth_para"/>
    <w:basedOn w:val="Normal"/>
    <w:qFormat/>
    <w:rsid w:val="00972AA8"/>
    <w:pPr>
      <w:spacing w:after="240"/>
      <w:ind w:left="2268"/>
      <w:jc w:val="both"/>
    </w:pPr>
    <w:rPr>
      <w:rFonts w:ascii="Arial" w:eastAsia="Calibri" w:hAnsi="Arial" w:cs="Arial"/>
      <w:sz w:val="18"/>
      <w:szCs w:val="18"/>
      <w:lang w:val="en-GB" w:eastAsia="en-US"/>
    </w:rPr>
  </w:style>
  <w:style w:type="paragraph" w:customStyle="1" w:styleId="ififthlevellist">
    <w:name w:val="i_fifth_level_list"/>
    <w:basedOn w:val="ififthpara"/>
    <w:qFormat/>
    <w:rsid w:val="00972AA8"/>
    <w:pPr>
      <w:spacing w:after="120"/>
      <w:ind w:hanging="425"/>
    </w:pPr>
  </w:style>
  <w:style w:type="paragraph" w:customStyle="1" w:styleId="Style111Doublesoulign">
    <w:name w:val="Style 1.1.1 + Double souligné"/>
    <w:basedOn w:val="111"/>
    <w:rsid w:val="00B466DC"/>
    <w:pPr>
      <w:jc w:val="both"/>
    </w:pPr>
    <w:rPr>
      <w:bCs/>
      <w:u w:val="double"/>
    </w:rPr>
  </w:style>
  <w:style w:type="paragraph" w:styleId="NormalWeb">
    <w:name w:val="Normal (Web)"/>
    <w:basedOn w:val="Normal"/>
    <w:uiPriority w:val="99"/>
    <w:unhideWhenUsed/>
    <w:rsid w:val="00D81CCB"/>
    <w:pPr>
      <w:spacing w:before="100" w:beforeAutospacing="1" w:after="100" w:afterAutospacing="1"/>
    </w:pPr>
    <w:rPr>
      <w:lang w:val="en-GB" w:eastAsia="en-GB"/>
    </w:rPr>
  </w:style>
  <w:style w:type="character" w:customStyle="1" w:styleId="Titre1Car">
    <w:name w:val="Titre 1 Car"/>
    <w:link w:val="Titre1"/>
    <w:rsid w:val="00B63F85"/>
    <w:rPr>
      <w:rFonts w:ascii="Arial" w:hAnsi="Arial" w:cs="Arial"/>
      <w:b/>
      <w:bCs/>
      <w:sz w:val="24"/>
      <w:szCs w:val="24"/>
      <w:u w:val="single"/>
      <w:lang w:eastAsia="fr-FR"/>
    </w:rPr>
  </w:style>
  <w:style w:type="paragraph" w:styleId="Corpsdetexte">
    <w:name w:val="Body Text"/>
    <w:basedOn w:val="Normal"/>
    <w:link w:val="CorpsdetexteCar"/>
    <w:rsid w:val="00B63F85"/>
    <w:rPr>
      <w:rFonts w:ascii="Arial" w:hAnsi="Arial" w:cs="Arial"/>
      <w:sz w:val="28"/>
      <w:szCs w:val="28"/>
      <w:lang w:val="en-US" w:eastAsia="fr-FR"/>
    </w:rPr>
  </w:style>
  <w:style w:type="character" w:customStyle="1" w:styleId="CorpsdetexteCar">
    <w:name w:val="Corps de texte Car"/>
    <w:link w:val="Corpsdetexte"/>
    <w:rsid w:val="00B63F85"/>
    <w:rPr>
      <w:rFonts w:ascii="Arial" w:hAnsi="Arial" w:cs="Arial"/>
      <w:sz w:val="28"/>
      <w:szCs w:val="28"/>
      <w:lang w:val="en-US" w:eastAsia="fr-FR"/>
    </w:rPr>
  </w:style>
  <w:style w:type="character" w:customStyle="1" w:styleId="ui-ncbitoggler-master-text">
    <w:name w:val="ui-ncbitoggler-master-text"/>
    <w:basedOn w:val="Policepardfaut"/>
    <w:rsid w:val="00F354E8"/>
  </w:style>
  <w:style w:type="paragraph" w:styleId="Rvision">
    <w:name w:val="Revision"/>
    <w:hidden/>
    <w:uiPriority w:val="99"/>
    <w:semiHidden/>
    <w:rsid w:val="00F85672"/>
    <w:rPr>
      <w:lang w:val="en-GB" w:eastAsia="fr-FR"/>
    </w:rPr>
  </w:style>
  <w:style w:type="character" w:customStyle="1" w:styleId="NotedebasdepageCar">
    <w:name w:val="Note de bas de page Car"/>
    <w:basedOn w:val="Policepardfaut"/>
    <w:link w:val="Notedebasdepage"/>
    <w:rsid w:val="00A15E3A"/>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1873">
      <w:bodyDiv w:val="1"/>
      <w:marLeft w:val="0"/>
      <w:marRight w:val="0"/>
      <w:marTop w:val="0"/>
      <w:marBottom w:val="0"/>
      <w:divBdr>
        <w:top w:val="none" w:sz="0" w:space="0" w:color="auto"/>
        <w:left w:val="none" w:sz="0" w:space="0" w:color="auto"/>
        <w:bottom w:val="none" w:sz="0" w:space="0" w:color="auto"/>
        <w:right w:val="none" w:sz="0" w:space="0" w:color="auto"/>
      </w:divBdr>
    </w:div>
    <w:div w:id="45493445">
      <w:bodyDiv w:val="1"/>
      <w:marLeft w:val="0"/>
      <w:marRight w:val="0"/>
      <w:marTop w:val="0"/>
      <w:marBottom w:val="0"/>
      <w:divBdr>
        <w:top w:val="none" w:sz="0" w:space="0" w:color="auto"/>
        <w:left w:val="none" w:sz="0" w:space="0" w:color="auto"/>
        <w:bottom w:val="none" w:sz="0" w:space="0" w:color="auto"/>
        <w:right w:val="none" w:sz="0" w:space="0" w:color="auto"/>
      </w:divBdr>
    </w:div>
    <w:div w:id="560749102">
      <w:bodyDiv w:val="1"/>
      <w:marLeft w:val="0"/>
      <w:marRight w:val="0"/>
      <w:marTop w:val="0"/>
      <w:marBottom w:val="0"/>
      <w:divBdr>
        <w:top w:val="none" w:sz="0" w:space="0" w:color="auto"/>
        <w:left w:val="none" w:sz="0" w:space="0" w:color="auto"/>
        <w:bottom w:val="none" w:sz="0" w:space="0" w:color="auto"/>
        <w:right w:val="none" w:sz="0" w:space="0" w:color="auto"/>
      </w:divBdr>
      <w:divsChild>
        <w:div w:id="75976694">
          <w:marLeft w:val="0"/>
          <w:marRight w:val="0"/>
          <w:marTop w:val="240"/>
          <w:marBottom w:val="0"/>
          <w:divBdr>
            <w:top w:val="none" w:sz="0" w:space="0" w:color="auto"/>
            <w:left w:val="none" w:sz="0" w:space="0" w:color="auto"/>
            <w:bottom w:val="none" w:sz="0" w:space="0" w:color="auto"/>
            <w:right w:val="none" w:sz="0" w:space="0" w:color="auto"/>
          </w:divBdr>
        </w:div>
      </w:divsChild>
    </w:div>
    <w:div w:id="620301875">
      <w:bodyDiv w:val="1"/>
      <w:marLeft w:val="0"/>
      <w:marRight w:val="0"/>
      <w:marTop w:val="0"/>
      <w:marBottom w:val="0"/>
      <w:divBdr>
        <w:top w:val="none" w:sz="0" w:space="0" w:color="auto"/>
        <w:left w:val="none" w:sz="0" w:space="0" w:color="auto"/>
        <w:bottom w:val="none" w:sz="0" w:space="0" w:color="auto"/>
        <w:right w:val="none" w:sz="0" w:space="0" w:color="auto"/>
      </w:divBdr>
    </w:div>
    <w:div w:id="653484664">
      <w:bodyDiv w:val="1"/>
      <w:marLeft w:val="0"/>
      <w:marRight w:val="0"/>
      <w:marTop w:val="0"/>
      <w:marBottom w:val="0"/>
      <w:divBdr>
        <w:top w:val="none" w:sz="0" w:space="0" w:color="auto"/>
        <w:left w:val="none" w:sz="0" w:space="0" w:color="auto"/>
        <w:bottom w:val="none" w:sz="0" w:space="0" w:color="auto"/>
        <w:right w:val="none" w:sz="0" w:space="0" w:color="auto"/>
      </w:divBdr>
    </w:div>
    <w:div w:id="1018963739">
      <w:bodyDiv w:val="1"/>
      <w:marLeft w:val="0"/>
      <w:marRight w:val="0"/>
      <w:marTop w:val="0"/>
      <w:marBottom w:val="0"/>
      <w:divBdr>
        <w:top w:val="none" w:sz="0" w:space="0" w:color="auto"/>
        <w:left w:val="none" w:sz="0" w:space="0" w:color="auto"/>
        <w:bottom w:val="none" w:sz="0" w:space="0" w:color="auto"/>
        <w:right w:val="none" w:sz="0" w:space="0" w:color="auto"/>
      </w:divBdr>
    </w:div>
    <w:div w:id="1267614311">
      <w:bodyDiv w:val="1"/>
      <w:marLeft w:val="0"/>
      <w:marRight w:val="0"/>
      <w:marTop w:val="0"/>
      <w:marBottom w:val="0"/>
      <w:divBdr>
        <w:top w:val="none" w:sz="0" w:space="0" w:color="auto"/>
        <w:left w:val="none" w:sz="0" w:space="0" w:color="auto"/>
        <w:bottom w:val="none" w:sz="0" w:space="0" w:color="auto"/>
        <w:right w:val="none" w:sz="0" w:space="0" w:color="auto"/>
      </w:divBdr>
      <w:divsChild>
        <w:div w:id="1144783197">
          <w:marLeft w:val="0"/>
          <w:marRight w:val="0"/>
          <w:marTop w:val="0"/>
          <w:marBottom w:val="0"/>
          <w:divBdr>
            <w:top w:val="none" w:sz="0" w:space="0" w:color="auto"/>
            <w:left w:val="none" w:sz="0" w:space="0" w:color="auto"/>
            <w:bottom w:val="none" w:sz="0" w:space="0" w:color="auto"/>
            <w:right w:val="none" w:sz="0" w:space="0" w:color="auto"/>
          </w:divBdr>
        </w:div>
        <w:div w:id="1781871344">
          <w:marLeft w:val="0"/>
          <w:marRight w:val="0"/>
          <w:marTop w:val="0"/>
          <w:marBottom w:val="0"/>
          <w:divBdr>
            <w:top w:val="none" w:sz="0" w:space="0" w:color="auto"/>
            <w:left w:val="none" w:sz="0" w:space="0" w:color="auto"/>
            <w:bottom w:val="none" w:sz="0" w:space="0" w:color="auto"/>
            <w:right w:val="none" w:sz="0" w:space="0" w:color="auto"/>
          </w:divBdr>
        </w:div>
      </w:divsChild>
    </w:div>
    <w:div w:id="1463693473">
      <w:bodyDiv w:val="1"/>
      <w:marLeft w:val="0"/>
      <w:marRight w:val="0"/>
      <w:marTop w:val="0"/>
      <w:marBottom w:val="0"/>
      <w:divBdr>
        <w:top w:val="none" w:sz="0" w:space="0" w:color="auto"/>
        <w:left w:val="none" w:sz="0" w:space="0" w:color="auto"/>
        <w:bottom w:val="none" w:sz="0" w:space="0" w:color="auto"/>
        <w:right w:val="none" w:sz="0" w:space="0" w:color="auto"/>
      </w:divBdr>
    </w:div>
    <w:div w:id="1830292757">
      <w:bodyDiv w:val="1"/>
      <w:marLeft w:val="0"/>
      <w:marRight w:val="0"/>
      <w:marTop w:val="0"/>
      <w:marBottom w:val="0"/>
      <w:divBdr>
        <w:top w:val="none" w:sz="0" w:space="0" w:color="auto"/>
        <w:left w:val="none" w:sz="0" w:space="0" w:color="auto"/>
        <w:bottom w:val="none" w:sz="0" w:space="0" w:color="auto"/>
        <w:right w:val="none" w:sz="0" w:space="0" w:color="auto"/>
      </w:divBdr>
      <w:divsChild>
        <w:div w:id="425418279">
          <w:marLeft w:val="0"/>
          <w:marRight w:val="0"/>
          <w:marTop w:val="0"/>
          <w:marBottom w:val="0"/>
          <w:divBdr>
            <w:top w:val="none" w:sz="0" w:space="0" w:color="auto"/>
            <w:left w:val="none" w:sz="0" w:space="0" w:color="auto"/>
            <w:bottom w:val="none" w:sz="0" w:space="0" w:color="auto"/>
            <w:right w:val="none" w:sz="0" w:space="0" w:color="auto"/>
          </w:divBdr>
        </w:div>
        <w:div w:id="645277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fileadmin/Home/eng/Health_standards/tahm/1.01.05_VALIDATION.pdf" TargetMode="External"/><Relationship Id="rId13" Type="http://schemas.openxmlformats.org/officeDocument/2006/relationships/hyperlink" Target="http://www.ncbi.nlm.nih.gov/pubmed?term=Ayling%20RD%5BAuthor%5D&amp;cauthor=true&amp;cauthor_uid=1661769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ncbi.nlm.nih.gov/pubmed?term=McAuliffe%20L%5BAuthor%5D&amp;cauthor=true&amp;cauthor_uid=1661769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ie.i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Churchward%20CP%5BAuthor%5D&amp;cauthor=true&amp;cauthor_uid=16617697" TargetMode="External"/><Relationship Id="rId5" Type="http://schemas.openxmlformats.org/officeDocument/2006/relationships/webSettings" Target="webSettings.xml"/><Relationship Id="rId15" Type="http://schemas.openxmlformats.org/officeDocument/2006/relationships/hyperlink" Target="http://www.oie.int/en/scientific-expertise/reference-laboratories/list-of-laboratories/" TargetMode="External"/><Relationship Id="rId23" Type="http://schemas.openxmlformats.org/officeDocument/2006/relationships/theme" Target="theme/theme1.xml"/><Relationship Id="rId10" Type="http://schemas.openxmlformats.org/officeDocument/2006/relationships/hyperlink" Target="http://www.ansespro.fr/euroreference/Documents/ER08-Meth-PeripneumoEN.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cbi.nlm.nih.gov/genomes/GenomesGroup.cgi?taxid=656088" TargetMode="External"/><Relationship Id="rId14" Type="http://schemas.openxmlformats.org/officeDocument/2006/relationships/hyperlink" Target="http://www.ncbi.nlm.nih.gov/pubmed?term=Nicholas%20RA%5BAuthor%5D&amp;cauthor=true&amp;cauthor_uid=1661769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E97EA-E35C-44B6-8232-E285997D8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11</TotalTime>
  <Pages>16</Pages>
  <Words>9337</Words>
  <Characters>51681</Characters>
  <Application>Microsoft Office Word</Application>
  <DocSecurity>0</DocSecurity>
  <Lines>430</Lines>
  <Paragraphs>121</Paragraphs>
  <ScaleCrop>false</ScaleCrop>
  <HeadingPairs>
    <vt:vector size="8" baseType="variant">
      <vt:variant>
        <vt:lpstr>Titre</vt:lpstr>
      </vt:variant>
      <vt:variant>
        <vt:i4>1</vt:i4>
      </vt:variant>
      <vt:variant>
        <vt:lpstr>Título</vt:lpstr>
      </vt:variant>
      <vt:variant>
        <vt:i4>1</vt:i4>
      </vt:variant>
      <vt:variant>
        <vt:lpstr>Title</vt:lpstr>
      </vt:variant>
      <vt:variant>
        <vt:i4>1</vt:i4>
      </vt:variant>
      <vt:variant>
        <vt:lpstr>Titolo</vt:lpstr>
      </vt:variant>
      <vt:variant>
        <vt:i4>1</vt:i4>
      </vt:variant>
    </vt:vector>
  </HeadingPairs>
  <TitlesOfParts>
    <vt:vector size="4" baseType="lpstr">
      <vt:lpstr>fmd with viaa test incl.</vt:lpstr>
      <vt:lpstr>fmd with viaa test incl.</vt:lpstr>
      <vt:lpstr>fmd with viaa test incl.</vt:lpstr>
      <vt:lpstr>fmd with viaa test incl.</vt:lpstr>
    </vt:vector>
  </TitlesOfParts>
  <Company>Microsoft</Company>
  <LinksUpToDate>false</LinksUpToDate>
  <CharactersWithSpaces>60897</CharactersWithSpaces>
  <SharedDoc>false</SharedDoc>
  <HLinks>
    <vt:vector size="48" baseType="variant">
      <vt:variant>
        <vt:i4>3932281</vt:i4>
      </vt:variant>
      <vt:variant>
        <vt:i4>21</vt:i4>
      </vt:variant>
      <vt:variant>
        <vt:i4>0</vt:i4>
      </vt:variant>
      <vt:variant>
        <vt:i4>5</vt:i4>
      </vt:variant>
      <vt:variant>
        <vt:lpwstr>http://www.oie.int/</vt:lpwstr>
      </vt:variant>
      <vt:variant>
        <vt:lpwstr/>
      </vt:variant>
      <vt:variant>
        <vt:i4>2752563</vt:i4>
      </vt:variant>
      <vt:variant>
        <vt:i4>18</vt:i4>
      </vt:variant>
      <vt:variant>
        <vt:i4>0</vt:i4>
      </vt:variant>
      <vt:variant>
        <vt:i4>5</vt:i4>
      </vt:variant>
      <vt:variant>
        <vt:lpwstr>http://www.oie.int/en/our-scientific-expertise/reference-laboratories/list-of-laboratories/</vt:lpwstr>
      </vt:variant>
      <vt:variant>
        <vt:lpwstr/>
      </vt:variant>
      <vt:variant>
        <vt:i4>2752540</vt:i4>
      </vt:variant>
      <vt:variant>
        <vt:i4>15</vt:i4>
      </vt:variant>
      <vt:variant>
        <vt:i4>0</vt:i4>
      </vt:variant>
      <vt:variant>
        <vt:i4>5</vt:i4>
      </vt:variant>
      <vt:variant>
        <vt:lpwstr>http://www.ncbi.nlm.nih.gov/pubmed?term=Nicholas%20RA%5BAuthor%5D&amp;cauthor=true&amp;cauthor_uid=16617697</vt:lpwstr>
      </vt:variant>
      <vt:variant>
        <vt:lpwstr/>
      </vt:variant>
      <vt:variant>
        <vt:i4>4391033</vt:i4>
      </vt:variant>
      <vt:variant>
        <vt:i4>12</vt:i4>
      </vt:variant>
      <vt:variant>
        <vt:i4>0</vt:i4>
      </vt:variant>
      <vt:variant>
        <vt:i4>5</vt:i4>
      </vt:variant>
      <vt:variant>
        <vt:lpwstr>http://www.ncbi.nlm.nih.gov/pubmed?term=Ayling%20RD%5BAuthor%5D&amp;cauthor=true&amp;cauthor_uid=16617697</vt:lpwstr>
      </vt:variant>
      <vt:variant>
        <vt:lpwstr/>
      </vt:variant>
      <vt:variant>
        <vt:i4>7864406</vt:i4>
      </vt:variant>
      <vt:variant>
        <vt:i4>9</vt:i4>
      </vt:variant>
      <vt:variant>
        <vt:i4>0</vt:i4>
      </vt:variant>
      <vt:variant>
        <vt:i4>5</vt:i4>
      </vt:variant>
      <vt:variant>
        <vt:lpwstr>http://www.ncbi.nlm.nih.gov/pubmed?term=McAuliffe%20L%5BAuthor%5D&amp;cauthor=true&amp;cauthor_uid=16617697</vt:lpwstr>
      </vt:variant>
      <vt:variant>
        <vt:lpwstr/>
      </vt:variant>
      <vt:variant>
        <vt:i4>5374078</vt:i4>
      </vt:variant>
      <vt:variant>
        <vt:i4>6</vt:i4>
      </vt:variant>
      <vt:variant>
        <vt:i4>0</vt:i4>
      </vt:variant>
      <vt:variant>
        <vt:i4>5</vt:i4>
      </vt:variant>
      <vt:variant>
        <vt:lpwstr>http://www.ncbi.nlm.nih.gov/pubmed?term=Churchward%20CP%5BAuthor%5D&amp;cauthor=true&amp;cauthor_uid=16617697</vt:lpwstr>
      </vt:variant>
      <vt:variant>
        <vt:lpwstr/>
      </vt:variant>
      <vt:variant>
        <vt:i4>3801176</vt:i4>
      </vt:variant>
      <vt:variant>
        <vt:i4>3</vt:i4>
      </vt:variant>
      <vt:variant>
        <vt:i4>0</vt:i4>
      </vt:variant>
      <vt:variant>
        <vt:i4>5</vt:i4>
      </vt:variant>
      <vt:variant>
        <vt:lpwstr>http://www.oie.int/fileadmin/Home/eng/Health_standards/tahm/1.01.04_QUALITY_MANAGEMENT.pdf</vt:lpwstr>
      </vt:variant>
      <vt:variant>
        <vt:lpwstr/>
      </vt:variant>
      <vt:variant>
        <vt:i4>1179739</vt:i4>
      </vt:variant>
      <vt:variant>
        <vt:i4>0</vt:i4>
      </vt:variant>
      <vt:variant>
        <vt:i4>0</vt:i4>
      </vt:variant>
      <vt:variant>
        <vt:i4>5</vt:i4>
      </vt:variant>
      <vt:variant>
        <vt:lpwstr>http://www.oie.int/fileadmin/Home/eng/Health_standards/tahm/1.01.05_VALIDATION.pdf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2014-06-16T10:08:00Z</cp:lastPrinted>
  <dcterms:created xsi:type="dcterms:W3CDTF">2020-03-12T15:35:00Z</dcterms:created>
  <dcterms:modified xsi:type="dcterms:W3CDTF">2020-03-12T15:47:00Z</dcterms:modified>
</cp:coreProperties>
</file>