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8DC66" w14:textId="0B98318D" w:rsidR="00C27990" w:rsidRPr="00FD132C" w:rsidRDefault="00D03A25" w:rsidP="00D03A25">
      <w:pPr>
        <w:pStyle w:val="Chatperno"/>
        <w:outlineLvl w:val="0"/>
        <w:rPr>
          <w:lang w:val="en-IE"/>
        </w:rPr>
      </w:pPr>
      <w:r w:rsidRPr="009C122D">
        <w:t xml:space="preserve">Chapter </w:t>
      </w:r>
      <w:r w:rsidR="00994C80">
        <w:rPr>
          <w:lang w:val="en-IE"/>
        </w:rPr>
        <w:t>3</w:t>
      </w:r>
      <w:r w:rsidR="00C27990" w:rsidRPr="00FD132C">
        <w:rPr>
          <w:lang w:val="en-IE"/>
        </w:rPr>
        <w:t>.</w:t>
      </w:r>
      <w:r w:rsidR="00F81930" w:rsidRPr="00FD132C">
        <w:rPr>
          <w:lang w:val="en-IE"/>
        </w:rPr>
        <w:t>4.</w:t>
      </w:r>
      <w:r w:rsidR="00FD132C" w:rsidRPr="00FD132C">
        <w:rPr>
          <w:lang w:val="en-IE"/>
        </w:rPr>
        <w:t>5</w:t>
      </w:r>
      <w:r w:rsidR="00C27990" w:rsidRPr="00FD132C">
        <w:rPr>
          <w:lang w:val="en-IE"/>
        </w:rPr>
        <w:t>.</w:t>
      </w:r>
    </w:p>
    <w:p w14:paraId="7BF8DC67" w14:textId="77777777" w:rsidR="00C27990" w:rsidRPr="00FD132C" w:rsidRDefault="00C27990">
      <w:pPr>
        <w:pStyle w:val="Chaptertitle"/>
        <w:rPr>
          <w:lang w:val="en-IE"/>
        </w:rPr>
      </w:pPr>
      <w:r w:rsidRPr="00FD132C">
        <w:rPr>
          <w:lang w:val="en-IE"/>
        </w:rPr>
        <w:t>bovine spongiform encephalopathy</w:t>
      </w:r>
    </w:p>
    <w:p w14:paraId="7BF8DC68" w14:textId="77777777" w:rsidR="00C27990" w:rsidRPr="00FD132C" w:rsidRDefault="00644841">
      <w:pPr>
        <w:pStyle w:val="Summarytitle"/>
        <w:rPr>
          <w:lang w:val="en-IE"/>
        </w:rPr>
      </w:pPr>
      <w:r w:rsidRPr="00FD132C">
        <w:rPr>
          <w:lang w:val="en-IE"/>
        </w:rPr>
        <w:t>SUMMARY</w:t>
      </w:r>
    </w:p>
    <w:p w14:paraId="7BF8DC69" w14:textId="1AE6CA29" w:rsidR="00C27990" w:rsidRPr="00FD132C" w:rsidRDefault="002E789E" w:rsidP="008E2040">
      <w:pPr>
        <w:pStyle w:val="sumtexte"/>
        <w:rPr>
          <w:lang w:val="en-IE"/>
        </w:rPr>
      </w:pPr>
      <w:r w:rsidRPr="00FD132C">
        <w:rPr>
          <w:b/>
          <w:lang w:val="en-IE"/>
        </w:rPr>
        <w:t>Description of the disease</w:t>
      </w:r>
      <w:r w:rsidR="006B06E9" w:rsidRPr="00FD132C">
        <w:rPr>
          <w:b/>
          <w:lang w:val="en-IE"/>
        </w:rPr>
        <w:t>:</w:t>
      </w:r>
      <w:r w:rsidR="006B06E9" w:rsidRPr="00FD132C">
        <w:rPr>
          <w:lang w:val="en-IE"/>
        </w:rPr>
        <w:t xml:space="preserve"> </w:t>
      </w:r>
      <w:r w:rsidR="00C27990" w:rsidRPr="00FD132C">
        <w:rPr>
          <w:lang w:val="en-IE"/>
        </w:rPr>
        <w:t xml:space="preserve">Bovine spongiform encephalopathy </w:t>
      </w:r>
      <w:r w:rsidR="00C27990" w:rsidRPr="00FD132C">
        <w:rPr>
          <w:i w:val="0"/>
          <w:iCs w:val="0"/>
          <w:lang w:val="en-IE"/>
        </w:rPr>
        <w:t>(</w:t>
      </w:r>
      <w:r w:rsidR="00C27990" w:rsidRPr="00FD132C">
        <w:rPr>
          <w:lang w:val="en-IE"/>
        </w:rPr>
        <w:t>BSE</w:t>
      </w:r>
      <w:r w:rsidR="00C27990" w:rsidRPr="00FD132C">
        <w:rPr>
          <w:i w:val="0"/>
          <w:iCs w:val="0"/>
          <w:lang w:val="en-IE"/>
        </w:rPr>
        <w:t>)</w:t>
      </w:r>
      <w:r w:rsidR="00C27990" w:rsidRPr="00FD132C">
        <w:rPr>
          <w:lang w:val="en-IE"/>
        </w:rPr>
        <w:t xml:space="preserve"> is a fatal neurological disease of adult cattle that was first recognised in Great Britain </w:t>
      </w:r>
      <w:r w:rsidR="00C27990" w:rsidRPr="00FD132C">
        <w:rPr>
          <w:i w:val="0"/>
          <w:iCs w:val="0"/>
          <w:lang w:val="en-IE"/>
        </w:rPr>
        <w:t>(</w:t>
      </w:r>
      <w:r w:rsidR="00C27990" w:rsidRPr="00FD132C">
        <w:rPr>
          <w:lang w:val="en-IE"/>
        </w:rPr>
        <w:t>GB</w:t>
      </w:r>
      <w:r w:rsidR="00C27990" w:rsidRPr="00FD132C">
        <w:rPr>
          <w:i w:val="0"/>
          <w:iCs w:val="0"/>
          <w:lang w:val="en-IE"/>
        </w:rPr>
        <w:t>)</w:t>
      </w:r>
      <w:r w:rsidR="008D4256" w:rsidRPr="00FD132C">
        <w:rPr>
          <w:lang w:val="en-IE"/>
        </w:rPr>
        <w:t xml:space="preserve"> and </w:t>
      </w:r>
      <w:r w:rsidR="004C1CC2" w:rsidRPr="00FD132C">
        <w:rPr>
          <w:lang w:val="en-IE"/>
        </w:rPr>
        <w:t xml:space="preserve">that has been identified in classical </w:t>
      </w:r>
      <w:r w:rsidR="004C1CC2" w:rsidRPr="00FD132C">
        <w:rPr>
          <w:i w:val="0"/>
          <w:lang w:val="en-IE"/>
        </w:rPr>
        <w:t>(</w:t>
      </w:r>
      <w:r w:rsidR="004C1CC2" w:rsidRPr="00FD132C">
        <w:rPr>
          <w:lang w:val="en-IE"/>
        </w:rPr>
        <w:t>C-type BSE</w:t>
      </w:r>
      <w:r w:rsidR="004C1CC2" w:rsidRPr="00FD132C">
        <w:rPr>
          <w:i w:val="0"/>
          <w:lang w:val="en-IE"/>
        </w:rPr>
        <w:t>)</w:t>
      </w:r>
      <w:r w:rsidR="004C1CC2" w:rsidRPr="00FD132C">
        <w:rPr>
          <w:lang w:val="en-IE"/>
        </w:rPr>
        <w:t xml:space="preserve"> and atypical forms</w:t>
      </w:r>
      <w:bookmarkStart w:id="0" w:name="_GoBack"/>
      <w:r w:rsidR="006A027C">
        <w:rPr>
          <w:lang w:val="en-IE"/>
        </w:rPr>
        <w:t xml:space="preserve"> </w:t>
      </w:r>
      <w:bookmarkEnd w:id="0"/>
      <w:r w:rsidR="006A027C" w:rsidRPr="001D6FA5">
        <w:rPr>
          <w:i w:val="0"/>
          <w:iCs w:val="0"/>
          <w:highlight w:val="yellow"/>
          <w:u w:val="double"/>
          <w:lang w:val="en-IE"/>
        </w:rPr>
        <w:t>(</w:t>
      </w:r>
      <w:r w:rsidR="006A027C" w:rsidRPr="001D6FA5">
        <w:rPr>
          <w:highlight w:val="yellow"/>
          <w:u w:val="double"/>
          <w:lang w:val="en-IE"/>
        </w:rPr>
        <w:t>H- and L-type</w:t>
      </w:r>
      <w:r w:rsidR="00971E0E" w:rsidRPr="001D6FA5">
        <w:rPr>
          <w:i w:val="0"/>
          <w:iCs w:val="0"/>
          <w:highlight w:val="yellow"/>
          <w:u w:val="double"/>
          <w:lang w:val="en-IE"/>
        </w:rPr>
        <w:t>)</w:t>
      </w:r>
      <w:r w:rsidR="004C1CC2" w:rsidRPr="00FD132C">
        <w:rPr>
          <w:lang w:val="en-IE"/>
        </w:rPr>
        <w:t xml:space="preserve">. </w:t>
      </w:r>
      <w:r w:rsidR="00637486" w:rsidRPr="00FD132C">
        <w:rPr>
          <w:lang w:val="en-IE"/>
        </w:rPr>
        <w:t xml:space="preserve">Both </w:t>
      </w:r>
      <w:r w:rsidR="004C1CC2" w:rsidRPr="00FD132C">
        <w:rPr>
          <w:lang w:val="en-IE"/>
        </w:rPr>
        <w:t>C-type BSE</w:t>
      </w:r>
      <w:r w:rsidR="00B725DB" w:rsidRPr="00FD132C">
        <w:rPr>
          <w:lang w:val="en-IE"/>
        </w:rPr>
        <w:t xml:space="preserve"> </w:t>
      </w:r>
      <w:r w:rsidR="00637486" w:rsidRPr="00FD132C">
        <w:rPr>
          <w:lang w:val="en-IE"/>
        </w:rPr>
        <w:t>and atypical forms</w:t>
      </w:r>
      <w:r w:rsidR="004C1CC2" w:rsidRPr="00FD132C">
        <w:rPr>
          <w:lang w:val="en-IE"/>
        </w:rPr>
        <w:t xml:space="preserve"> </w:t>
      </w:r>
      <w:r w:rsidR="008D4256" w:rsidRPr="00FD132C">
        <w:rPr>
          <w:lang w:val="en-IE"/>
        </w:rPr>
        <w:t>ha</w:t>
      </w:r>
      <w:r w:rsidR="00637486" w:rsidRPr="00FD132C">
        <w:rPr>
          <w:lang w:val="en-IE"/>
        </w:rPr>
        <w:t>ve</w:t>
      </w:r>
      <w:r w:rsidR="008D4256" w:rsidRPr="00FD132C">
        <w:rPr>
          <w:lang w:val="en-IE"/>
        </w:rPr>
        <w:t xml:space="preserve"> been detected in </w:t>
      </w:r>
      <w:r w:rsidR="004C1CC2" w:rsidRPr="00FD132C">
        <w:rPr>
          <w:lang w:val="en-IE"/>
        </w:rPr>
        <w:t xml:space="preserve">cattle indigenous to </w:t>
      </w:r>
      <w:r w:rsidR="008D4256" w:rsidRPr="00FD132C">
        <w:rPr>
          <w:lang w:val="en-IE"/>
        </w:rPr>
        <w:t xml:space="preserve">most European countries, </w:t>
      </w:r>
      <w:r w:rsidR="00637486" w:rsidRPr="00FD132C">
        <w:rPr>
          <w:lang w:val="en-IE"/>
        </w:rPr>
        <w:t xml:space="preserve">the Americas, </w:t>
      </w:r>
      <w:r w:rsidR="008D4256" w:rsidRPr="00FD132C">
        <w:rPr>
          <w:lang w:val="en-IE"/>
        </w:rPr>
        <w:t xml:space="preserve">and </w:t>
      </w:r>
      <w:r w:rsidR="00637486" w:rsidRPr="00FD132C">
        <w:rPr>
          <w:iCs w:val="0"/>
          <w:lang w:val="en-IE"/>
        </w:rPr>
        <w:t>Asia and the Pacific</w:t>
      </w:r>
      <w:r w:rsidR="004C1CC2" w:rsidRPr="00FD132C">
        <w:rPr>
          <w:iCs w:val="0"/>
          <w:lang w:val="en-IE"/>
        </w:rPr>
        <w:t xml:space="preserve">. </w:t>
      </w:r>
      <w:r w:rsidR="004C1CC2" w:rsidRPr="00FD132C">
        <w:rPr>
          <w:lang w:val="en-IE"/>
        </w:rPr>
        <w:t>BSE</w:t>
      </w:r>
      <w:r w:rsidR="00C27990" w:rsidRPr="00FD132C">
        <w:rPr>
          <w:lang w:val="en-IE"/>
        </w:rPr>
        <w:t xml:space="preserve"> is a transmissible</w:t>
      </w:r>
      <w:r w:rsidR="00F210F4" w:rsidRPr="00FD132C">
        <w:rPr>
          <w:lang w:val="en-IE"/>
        </w:rPr>
        <w:t xml:space="preserve"> </w:t>
      </w:r>
      <w:r w:rsidR="00233293" w:rsidRPr="00FD132C">
        <w:rPr>
          <w:lang w:val="en-IE"/>
        </w:rPr>
        <w:t xml:space="preserve">spongiform encephalopathy </w:t>
      </w:r>
      <w:r w:rsidR="00233293" w:rsidRPr="00FD132C">
        <w:rPr>
          <w:i w:val="0"/>
          <w:lang w:val="en-IE"/>
        </w:rPr>
        <w:t>(</w:t>
      </w:r>
      <w:r w:rsidR="00233293" w:rsidRPr="00FD132C">
        <w:rPr>
          <w:lang w:val="en-IE"/>
        </w:rPr>
        <w:t>TSE</w:t>
      </w:r>
      <w:r w:rsidR="00233293" w:rsidRPr="00FD132C">
        <w:rPr>
          <w:i w:val="0"/>
          <w:lang w:val="en-IE"/>
        </w:rPr>
        <w:t>)</w:t>
      </w:r>
      <w:r w:rsidR="00233293" w:rsidRPr="00FD132C">
        <w:rPr>
          <w:lang w:val="en-IE"/>
        </w:rPr>
        <w:t xml:space="preserve">, or </w:t>
      </w:r>
      <w:r w:rsidR="00C27990" w:rsidRPr="00FD132C">
        <w:rPr>
          <w:lang w:val="en-IE"/>
        </w:rPr>
        <w:t xml:space="preserve">prion disease. The archetype for this group of diseases is scrapie of sheep and goats </w:t>
      </w:r>
      <w:r w:rsidR="00C27990" w:rsidRPr="00FD132C">
        <w:rPr>
          <w:i w:val="0"/>
          <w:iCs w:val="0"/>
          <w:lang w:val="en-IE"/>
        </w:rPr>
        <w:t>(</w:t>
      </w:r>
      <w:r w:rsidR="00C27990" w:rsidRPr="00FD132C">
        <w:rPr>
          <w:lang w:val="en-IE"/>
        </w:rPr>
        <w:t xml:space="preserve">see Chapter </w:t>
      </w:r>
      <w:r w:rsidR="00994C80">
        <w:rPr>
          <w:lang w:val="en-IE"/>
        </w:rPr>
        <w:t>3</w:t>
      </w:r>
      <w:r w:rsidR="00C27990" w:rsidRPr="00FD132C">
        <w:rPr>
          <w:lang w:val="en-IE"/>
        </w:rPr>
        <w:t>.</w:t>
      </w:r>
      <w:r w:rsidR="00BA220A" w:rsidRPr="00FD132C">
        <w:rPr>
          <w:lang w:val="en-IE"/>
        </w:rPr>
        <w:t>7.1</w:t>
      </w:r>
      <w:r w:rsidR="00994C80">
        <w:rPr>
          <w:lang w:val="en-IE"/>
        </w:rPr>
        <w:t>1</w:t>
      </w:r>
      <w:r w:rsidR="00C27990" w:rsidRPr="00FD132C">
        <w:rPr>
          <w:lang w:val="en-IE"/>
        </w:rPr>
        <w:t xml:space="preserve"> </w:t>
      </w:r>
      <w:r w:rsidR="00C27990" w:rsidRPr="00FD132C">
        <w:rPr>
          <w:i w:val="0"/>
          <w:lang w:val="en-IE"/>
        </w:rPr>
        <w:t>Scrapie</w:t>
      </w:r>
      <w:r w:rsidR="00C27990" w:rsidRPr="00FD132C">
        <w:rPr>
          <w:i w:val="0"/>
          <w:iCs w:val="0"/>
          <w:lang w:val="en-IE"/>
        </w:rPr>
        <w:t>)</w:t>
      </w:r>
      <w:r w:rsidR="00C27990" w:rsidRPr="00FD132C">
        <w:rPr>
          <w:lang w:val="en-IE"/>
        </w:rPr>
        <w:t>.</w:t>
      </w:r>
    </w:p>
    <w:p w14:paraId="7BF8DC6A" w14:textId="09A4DF44" w:rsidR="00C27990" w:rsidRPr="00FD132C" w:rsidRDefault="00C27990" w:rsidP="008E2040">
      <w:pPr>
        <w:pStyle w:val="sumtexte"/>
        <w:rPr>
          <w:lang w:val="en-IE"/>
        </w:rPr>
      </w:pPr>
      <w:r w:rsidRPr="00FD132C">
        <w:rPr>
          <w:lang w:val="en-IE"/>
        </w:rPr>
        <w:t xml:space="preserve">The </w:t>
      </w:r>
      <w:r w:rsidR="004C1CC2" w:rsidRPr="00FD132C">
        <w:rPr>
          <w:lang w:val="en-IE"/>
        </w:rPr>
        <w:t xml:space="preserve">C-type </w:t>
      </w:r>
      <w:r w:rsidRPr="00FD132C">
        <w:rPr>
          <w:lang w:val="en-IE"/>
        </w:rPr>
        <w:t xml:space="preserve">BSE </w:t>
      </w:r>
      <w:r w:rsidR="00233293" w:rsidRPr="00FD132C">
        <w:rPr>
          <w:lang w:val="en-IE"/>
        </w:rPr>
        <w:t xml:space="preserve">epizootic </w:t>
      </w:r>
      <w:r w:rsidR="008D4256" w:rsidRPr="00FD132C">
        <w:rPr>
          <w:lang w:val="en-IE"/>
        </w:rPr>
        <w:t>result</w:t>
      </w:r>
      <w:r w:rsidR="00233293" w:rsidRPr="00FD132C">
        <w:rPr>
          <w:lang w:val="en-IE"/>
        </w:rPr>
        <w:t>ed</w:t>
      </w:r>
      <w:r w:rsidR="008D4256" w:rsidRPr="00FD132C">
        <w:rPr>
          <w:lang w:val="en-IE"/>
        </w:rPr>
        <w:t xml:space="preserve"> </w:t>
      </w:r>
      <w:r w:rsidR="003662CE" w:rsidRPr="00FD132C">
        <w:rPr>
          <w:lang w:val="en-IE"/>
        </w:rPr>
        <w:t xml:space="preserve">from </w:t>
      </w:r>
      <w:r w:rsidRPr="00FD132C">
        <w:rPr>
          <w:lang w:val="en-IE"/>
        </w:rPr>
        <w:t xml:space="preserve">oral exposure to </w:t>
      </w:r>
      <w:r w:rsidR="008D4256" w:rsidRPr="00FD132C">
        <w:rPr>
          <w:lang w:val="en-IE"/>
        </w:rPr>
        <w:t>prion</w:t>
      </w:r>
      <w:r w:rsidR="00233293" w:rsidRPr="00FD132C">
        <w:rPr>
          <w:lang w:val="en-IE"/>
        </w:rPr>
        <w:t>s</w:t>
      </w:r>
      <w:r w:rsidRPr="00FD132C">
        <w:rPr>
          <w:lang w:val="en-IE"/>
        </w:rPr>
        <w:t xml:space="preserve"> in the ruminant-derived protein of meat-and-bone meal</w:t>
      </w:r>
      <w:r w:rsidR="00AB4541" w:rsidRPr="00FD132C">
        <w:rPr>
          <w:lang w:val="en-IE"/>
        </w:rPr>
        <w:t xml:space="preserve"> and milk replacers</w:t>
      </w:r>
      <w:r w:rsidRPr="00FD132C">
        <w:rPr>
          <w:lang w:val="en-IE"/>
        </w:rPr>
        <w:t xml:space="preserve"> included in </w:t>
      </w:r>
      <w:r w:rsidR="00606DE7" w:rsidRPr="00FD132C">
        <w:rPr>
          <w:lang w:val="en-IE"/>
        </w:rPr>
        <w:t>animal feedstuffs</w:t>
      </w:r>
      <w:r w:rsidR="00F210F4" w:rsidRPr="00FD132C">
        <w:rPr>
          <w:lang w:val="en-IE"/>
        </w:rPr>
        <w:t>.</w:t>
      </w:r>
      <w:r w:rsidRPr="00FD132C">
        <w:rPr>
          <w:lang w:val="en-IE"/>
        </w:rPr>
        <w:t xml:space="preserve"> As a result of control measures, </w:t>
      </w:r>
      <w:r w:rsidR="00C65234" w:rsidRPr="00FD132C">
        <w:rPr>
          <w:lang w:val="en-IE"/>
        </w:rPr>
        <w:t xml:space="preserve">C-type </w:t>
      </w:r>
      <w:r w:rsidR="008D4256" w:rsidRPr="00FD132C">
        <w:rPr>
          <w:lang w:val="en-IE"/>
        </w:rPr>
        <w:t xml:space="preserve">BSE </w:t>
      </w:r>
      <w:r w:rsidRPr="00FD132C">
        <w:rPr>
          <w:lang w:val="en-IE"/>
        </w:rPr>
        <w:t>epizootics</w:t>
      </w:r>
      <w:r w:rsidR="00F210F4" w:rsidRPr="00FD132C">
        <w:rPr>
          <w:lang w:val="en-IE"/>
        </w:rPr>
        <w:t xml:space="preserve"> </w:t>
      </w:r>
      <w:r w:rsidRPr="00FD132C">
        <w:rPr>
          <w:lang w:val="en-IE"/>
        </w:rPr>
        <w:t>are in decline.</w:t>
      </w:r>
      <w:r w:rsidR="006B06E9" w:rsidRPr="00FD132C">
        <w:rPr>
          <w:lang w:val="en-IE"/>
        </w:rPr>
        <w:t xml:space="preserve"> </w:t>
      </w:r>
      <w:r w:rsidR="00F92F25" w:rsidRPr="001D6FA5">
        <w:rPr>
          <w:highlight w:val="yellow"/>
          <w:u w:val="double"/>
          <w:lang w:val="en-IE"/>
        </w:rPr>
        <w:t>Atypical forms of BSE are believed to occur spontaneously in all cattle populations at a very low rate, and have only been identified in older cattle. They have been detected in many countries, but only as an incidental finding when conducting intensive surveillance for C-type BSE.</w:t>
      </w:r>
    </w:p>
    <w:p w14:paraId="7BF8DC6B" w14:textId="451FF950" w:rsidR="00C27990" w:rsidRPr="00FD132C" w:rsidRDefault="00C27990" w:rsidP="008E2040">
      <w:pPr>
        <w:pStyle w:val="sumtexte"/>
        <w:rPr>
          <w:lang w:val="en-IE"/>
        </w:rPr>
      </w:pPr>
      <w:r w:rsidRPr="00FD132C">
        <w:rPr>
          <w:lang w:val="en-IE"/>
        </w:rPr>
        <w:t xml:space="preserve">Experimental transmissibility of </w:t>
      </w:r>
      <w:r w:rsidR="00C65234" w:rsidRPr="00FD132C">
        <w:rPr>
          <w:lang w:val="en-IE"/>
        </w:rPr>
        <w:t xml:space="preserve">all forms of </w:t>
      </w:r>
      <w:r w:rsidRPr="00FD132C">
        <w:rPr>
          <w:lang w:val="en-IE"/>
        </w:rPr>
        <w:t>BSE to cattle has been demonstrated</w:t>
      </w:r>
      <w:r w:rsidR="00F210F4" w:rsidRPr="00FD132C">
        <w:rPr>
          <w:lang w:val="en-IE"/>
        </w:rPr>
        <w:t>.</w:t>
      </w:r>
      <w:r w:rsidRPr="00FD132C">
        <w:rPr>
          <w:lang w:val="en-IE"/>
        </w:rPr>
        <w:t xml:space="preserve"> The </w:t>
      </w:r>
      <w:r w:rsidR="00C65234" w:rsidRPr="00FD132C">
        <w:rPr>
          <w:lang w:val="en-IE"/>
        </w:rPr>
        <w:t xml:space="preserve">C-type </w:t>
      </w:r>
      <w:r w:rsidRPr="00FD132C">
        <w:rPr>
          <w:lang w:val="en-IE"/>
        </w:rPr>
        <w:t>BSE agent is also believed to be the common source, via dietary routes, of TSEs in</w:t>
      </w:r>
      <w:r w:rsidR="00F210F4" w:rsidRPr="00FD132C">
        <w:rPr>
          <w:lang w:val="en-IE"/>
        </w:rPr>
        <w:t xml:space="preserve"> </w:t>
      </w:r>
      <w:r w:rsidRPr="00FD132C">
        <w:rPr>
          <w:lang w:val="en-IE"/>
        </w:rPr>
        <w:t>other ruminant species and</w:t>
      </w:r>
      <w:r w:rsidR="00F210F4" w:rsidRPr="00FD132C">
        <w:rPr>
          <w:lang w:val="en-IE"/>
        </w:rPr>
        <w:t xml:space="preserve"> </w:t>
      </w:r>
      <w:proofErr w:type="spellStart"/>
      <w:r w:rsidRPr="00FD132C">
        <w:rPr>
          <w:lang w:val="en-IE"/>
        </w:rPr>
        <w:t>felidae</w:t>
      </w:r>
      <w:proofErr w:type="spellEnd"/>
      <w:r w:rsidRPr="00FD132C">
        <w:rPr>
          <w:lang w:val="en-IE"/>
        </w:rPr>
        <w:t xml:space="preserve">. There is evidence of a causal link between the </w:t>
      </w:r>
      <w:r w:rsidR="00C65234" w:rsidRPr="00FD132C">
        <w:rPr>
          <w:lang w:val="en-IE"/>
        </w:rPr>
        <w:t xml:space="preserve">C-type </w:t>
      </w:r>
      <w:r w:rsidRPr="00FD132C">
        <w:rPr>
          <w:lang w:val="en-IE"/>
        </w:rPr>
        <w:t xml:space="preserve">BSE agent and </w:t>
      </w:r>
      <w:r w:rsidR="00D01C0D" w:rsidRPr="00FD132C">
        <w:rPr>
          <w:lang w:val="en-IE"/>
        </w:rPr>
        <w:t>variant</w:t>
      </w:r>
      <w:r w:rsidR="00F210F4" w:rsidRPr="00FD132C">
        <w:rPr>
          <w:lang w:val="en-IE"/>
        </w:rPr>
        <w:t xml:space="preserve"> </w:t>
      </w:r>
      <w:r w:rsidRPr="00FD132C">
        <w:rPr>
          <w:lang w:val="en-IE"/>
        </w:rPr>
        <w:t xml:space="preserve">Creutzfeldt-Jakob disease </w:t>
      </w:r>
      <w:r w:rsidRPr="00FD132C">
        <w:rPr>
          <w:i w:val="0"/>
          <w:iCs w:val="0"/>
          <w:lang w:val="en-IE"/>
        </w:rPr>
        <w:t>(</w:t>
      </w:r>
      <w:proofErr w:type="spellStart"/>
      <w:r w:rsidRPr="00FD132C">
        <w:rPr>
          <w:lang w:val="en-IE"/>
        </w:rPr>
        <w:t>vCJD</w:t>
      </w:r>
      <w:proofErr w:type="spellEnd"/>
      <w:r w:rsidRPr="00FD132C">
        <w:rPr>
          <w:i w:val="0"/>
          <w:iCs w:val="0"/>
          <w:lang w:val="en-IE"/>
        </w:rPr>
        <w:t>)</w:t>
      </w:r>
      <w:r w:rsidR="00DA72FC" w:rsidRPr="00FD132C">
        <w:rPr>
          <w:i w:val="0"/>
          <w:iCs w:val="0"/>
          <w:lang w:val="en-IE"/>
        </w:rPr>
        <w:t xml:space="preserve"> </w:t>
      </w:r>
      <w:r w:rsidR="00DA72FC" w:rsidRPr="00FD132C">
        <w:rPr>
          <w:iCs w:val="0"/>
          <w:lang w:val="en-IE"/>
        </w:rPr>
        <w:t>in humans</w:t>
      </w:r>
      <w:r w:rsidRPr="00FD132C">
        <w:rPr>
          <w:iCs w:val="0"/>
          <w:lang w:val="en-IE"/>
        </w:rPr>
        <w:t>.</w:t>
      </w:r>
      <w:r w:rsidRPr="00FD132C">
        <w:rPr>
          <w:lang w:val="en-IE"/>
        </w:rPr>
        <w:t xml:space="preserve"> Recommendations</w:t>
      </w:r>
      <w:r w:rsidR="00F210F4" w:rsidRPr="00FD132C">
        <w:rPr>
          <w:lang w:val="en-IE"/>
        </w:rPr>
        <w:t xml:space="preserve"> </w:t>
      </w:r>
      <w:r w:rsidRPr="00FD132C">
        <w:rPr>
          <w:lang w:val="en-IE"/>
        </w:rPr>
        <w:t>for handling BSE-infected material</w:t>
      </w:r>
      <w:r w:rsidR="00F210F4" w:rsidRPr="00FD132C">
        <w:rPr>
          <w:lang w:val="en-IE"/>
        </w:rPr>
        <w:t xml:space="preserve"> </w:t>
      </w:r>
      <w:r w:rsidRPr="00FD132C">
        <w:rPr>
          <w:lang w:val="en-IE"/>
        </w:rPr>
        <w:t xml:space="preserve">assume that BSE is a zoonosis and </w:t>
      </w:r>
      <w:r w:rsidR="007C30F5" w:rsidRPr="00FD132C">
        <w:t xml:space="preserve">manipulations with potentially contaminated material must be performed </w:t>
      </w:r>
      <w:r w:rsidR="007C30F5" w:rsidRPr="00FD132C">
        <w:rPr>
          <w:lang w:val="en-IE"/>
        </w:rPr>
        <w:t xml:space="preserve">at an appropriate biosafety and containment level determined by </w:t>
      </w:r>
      <w:proofErr w:type="spellStart"/>
      <w:r w:rsidR="007C30F5" w:rsidRPr="00FD132C">
        <w:rPr>
          <w:lang w:val="en-IE"/>
        </w:rPr>
        <w:t>biorisk</w:t>
      </w:r>
      <w:proofErr w:type="spellEnd"/>
      <w:r w:rsidR="007C30F5" w:rsidRPr="00FD132C">
        <w:rPr>
          <w:lang w:val="en-IE"/>
        </w:rPr>
        <w:t xml:space="preserve"> analysis</w:t>
      </w:r>
      <w:r w:rsidRPr="00FD132C">
        <w:rPr>
          <w:lang w:val="en-IE"/>
        </w:rPr>
        <w:t>.</w:t>
      </w:r>
    </w:p>
    <w:p w14:paraId="7BF8DC6C" w14:textId="62E29226" w:rsidR="008D4256" w:rsidRPr="00FD132C" w:rsidRDefault="00C27990" w:rsidP="008E2040">
      <w:pPr>
        <w:pStyle w:val="sumtexte"/>
        <w:rPr>
          <w:lang w:val="en-IE"/>
        </w:rPr>
      </w:pPr>
      <w:r w:rsidRPr="00FD132C">
        <w:rPr>
          <w:b/>
          <w:lang w:val="en-IE"/>
        </w:rPr>
        <w:t>Identification of the agent:</w:t>
      </w:r>
      <w:r w:rsidR="00F210F4" w:rsidRPr="00FD132C">
        <w:rPr>
          <w:lang w:val="en-IE"/>
        </w:rPr>
        <w:t xml:space="preserve"> </w:t>
      </w:r>
      <w:r w:rsidR="00AF5A29" w:rsidRPr="00FD132C">
        <w:rPr>
          <w:lang w:val="en-IE"/>
        </w:rPr>
        <w:t>Clinical</w:t>
      </w:r>
      <w:r w:rsidR="00F210F4" w:rsidRPr="00FD132C">
        <w:rPr>
          <w:lang w:val="en-IE"/>
        </w:rPr>
        <w:t xml:space="preserve"> </w:t>
      </w:r>
      <w:r w:rsidR="00F13B1C" w:rsidRPr="00FD132C">
        <w:rPr>
          <w:lang w:val="en-IE"/>
        </w:rPr>
        <w:t xml:space="preserve">C-type </w:t>
      </w:r>
      <w:r w:rsidRPr="00FD132C">
        <w:rPr>
          <w:lang w:val="en-IE"/>
        </w:rPr>
        <w:t>BSE ha</w:t>
      </w:r>
      <w:r w:rsidR="003D28B2" w:rsidRPr="00FD132C">
        <w:rPr>
          <w:lang w:val="en-IE"/>
        </w:rPr>
        <w:t>d</w:t>
      </w:r>
      <w:r w:rsidR="00F210F4" w:rsidRPr="00FD132C">
        <w:rPr>
          <w:lang w:val="en-IE"/>
        </w:rPr>
        <w:t xml:space="preserve"> </w:t>
      </w:r>
      <w:r w:rsidRPr="00FD132C">
        <w:rPr>
          <w:lang w:val="en-IE"/>
        </w:rPr>
        <w:t xml:space="preserve">a peak incidence in cattle aged between 4 and </w:t>
      </w:r>
      <w:r w:rsidR="00815668" w:rsidRPr="00FD132C">
        <w:rPr>
          <w:lang w:val="en-IE"/>
        </w:rPr>
        <w:t>5</w:t>
      </w:r>
      <w:r w:rsidRPr="00FD132C">
        <w:rPr>
          <w:lang w:val="en-IE"/>
        </w:rPr>
        <w:t> years</w:t>
      </w:r>
      <w:r w:rsidR="003D28B2" w:rsidRPr="00FD132C">
        <w:rPr>
          <w:lang w:val="en-IE"/>
        </w:rPr>
        <w:t xml:space="preserve"> during the</w:t>
      </w:r>
      <w:r w:rsidR="008E2040" w:rsidRPr="00FD132C">
        <w:rPr>
          <w:lang w:val="en-IE"/>
        </w:rPr>
        <w:t xml:space="preserve"> </w:t>
      </w:r>
      <w:r w:rsidR="00233293" w:rsidRPr="00FD132C">
        <w:rPr>
          <w:lang w:val="en-IE"/>
        </w:rPr>
        <w:t xml:space="preserve">height </w:t>
      </w:r>
      <w:r w:rsidR="003D28B2" w:rsidRPr="00FD132C">
        <w:rPr>
          <w:lang w:val="en-IE"/>
        </w:rPr>
        <w:t xml:space="preserve">of the </w:t>
      </w:r>
      <w:r w:rsidR="00464FA4" w:rsidRPr="00FD132C">
        <w:rPr>
          <w:lang w:val="en-IE"/>
        </w:rPr>
        <w:t>epi</w:t>
      </w:r>
      <w:r w:rsidR="00233293" w:rsidRPr="00FD132C">
        <w:rPr>
          <w:lang w:val="en-IE"/>
        </w:rPr>
        <w:t>zootic</w:t>
      </w:r>
      <w:r w:rsidRPr="00FD132C">
        <w:rPr>
          <w:lang w:val="en-IE"/>
        </w:rPr>
        <w:t>. The clinical course is variable but can extend to several months. Overt clinical signs are</w:t>
      </w:r>
      <w:r w:rsidR="00F210F4" w:rsidRPr="00FD132C">
        <w:rPr>
          <w:lang w:val="en-IE"/>
        </w:rPr>
        <w:t xml:space="preserve"> </w:t>
      </w:r>
      <w:r w:rsidRPr="00FD132C">
        <w:rPr>
          <w:lang w:val="en-IE"/>
        </w:rPr>
        <w:t>distinctive</w:t>
      </w:r>
      <w:r w:rsidR="00F210F4" w:rsidRPr="00FD132C">
        <w:rPr>
          <w:lang w:val="en-IE"/>
        </w:rPr>
        <w:t>,</w:t>
      </w:r>
      <w:r w:rsidRPr="00FD132C">
        <w:rPr>
          <w:lang w:val="en-IE"/>
        </w:rPr>
        <w:t xml:space="preserve"> if differential diagnoses </w:t>
      </w:r>
      <w:r w:rsidR="00AF5A29" w:rsidRPr="00FD132C">
        <w:rPr>
          <w:lang w:val="en-IE"/>
        </w:rPr>
        <w:t>can be</w:t>
      </w:r>
      <w:r w:rsidR="00F210F4" w:rsidRPr="00FD132C">
        <w:rPr>
          <w:lang w:val="en-IE"/>
        </w:rPr>
        <w:t xml:space="preserve"> </w:t>
      </w:r>
      <w:r w:rsidRPr="00FD132C">
        <w:rPr>
          <w:lang w:val="en-IE"/>
        </w:rPr>
        <w:t>eliminated. Early clinical signs may be subtle and mostly behavioural, and may lead to disposal of affected animals before suspicion of BSE is triggered. In countries with a statutory policy toward the disease, clinically suspect cases must be killed, the brain examined and the carcass destroyed. Now, in most countries</w:t>
      </w:r>
      <w:r w:rsidR="00C65234" w:rsidRPr="00FD132C">
        <w:rPr>
          <w:lang w:val="en-IE"/>
        </w:rPr>
        <w:t xml:space="preserve"> involved</w:t>
      </w:r>
      <w:r w:rsidRPr="00FD132C">
        <w:rPr>
          <w:lang w:val="en-IE"/>
        </w:rPr>
        <w:t>, active surveillance</w:t>
      </w:r>
      <w:r w:rsidR="00AB58D1" w:rsidRPr="00FD132C">
        <w:rPr>
          <w:lang w:val="en-IE"/>
        </w:rPr>
        <w:t xml:space="preserve"> at abattoirs</w:t>
      </w:r>
      <w:r w:rsidRPr="00FD132C">
        <w:rPr>
          <w:lang w:val="en-IE"/>
        </w:rPr>
        <w:t xml:space="preserve"> </w:t>
      </w:r>
      <w:r w:rsidR="00C86437" w:rsidRPr="00FD132C">
        <w:rPr>
          <w:lang w:val="en-IE"/>
        </w:rPr>
        <w:t xml:space="preserve">and the screening of fallen stock identifies </w:t>
      </w:r>
      <w:r w:rsidR="00464FA4" w:rsidRPr="00FD132C">
        <w:rPr>
          <w:lang w:val="en-IE"/>
        </w:rPr>
        <w:t>preclinical</w:t>
      </w:r>
      <w:r w:rsidR="00233293" w:rsidRPr="00FD132C">
        <w:rPr>
          <w:lang w:val="en-IE"/>
        </w:rPr>
        <w:t xml:space="preserve"> </w:t>
      </w:r>
      <w:r w:rsidR="00464FA4" w:rsidRPr="00FD132C">
        <w:rPr>
          <w:lang w:val="en-IE"/>
        </w:rPr>
        <w:t xml:space="preserve">cases and </w:t>
      </w:r>
      <w:r w:rsidR="00C86437" w:rsidRPr="00FD132C">
        <w:rPr>
          <w:lang w:val="en-IE"/>
        </w:rPr>
        <w:t>cases in which there may have been unrecognised clinical signs</w:t>
      </w:r>
      <w:r w:rsidRPr="00FD132C">
        <w:rPr>
          <w:lang w:val="en-IE"/>
        </w:rPr>
        <w:t>. No diagnostic test</w:t>
      </w:r>
      <w:r w:rsidR="00F210F4" w:rsidRPr="00FD132C">
        <w:rPr>
          <w:lang w:val="en-IE"/>
        </w:rPr>
        <w:t xml:space="preserve"> </w:t>
      </w:r>
      <w:r w:rsidR="00AF5A29" w:rsidRPr="00FD132C">
        <w:rPr>
          <w:lang w:val="en-IE"/>
        </w:rPr>
        <w:t xml:space="preserve">is </w:t>
      </w:r>
      <w:r w:rsidR="00C92E1D" w:rsidRPr="00FD132C">
        <w:rPr>
          <w:lang w:val="en-IE"/>
        </w:rPr>
        <w:t>currently</w:t>
      </w:r>
      <w:r w:rsidR="00AF5A29" w:rsidRPr="00FD132C">
        <w:rPr>
          <w:lang w:val="en-IE"/>
        </w:rPr>
        <w:t xml:space="preserve"> available</w:t>
      </w:r>
      <w:r w:rsidR="00AF5A29" w:rsidRPr="00FD132C" w:rsidDel="00AF5A29">
        <w:rPr>
          <w:lang w:val="en-IE"/>
        </w:rPr>
        <w:t xml:space="preserve"> </w:t>
      </w:r>
      <w:r w:rsidR="00AF5A29" w:rsidRPr="00FD132C">
        <w:rPr>
          <w:lang w:val="en-IE"/>
        </w:rPr>
        <w:t xml:space="preserve">for </w:t>
      </w:r>
      <w:r w:rsidRPr="00FD132C">
        <w:rPr>
          <w:lang w:val="en-IE"/>
        </w:rPr>
        <w:t>live animal</w:t>
      </w:r>
      <w:r w:rsidR="00AF5A29" w:rsidRPr="00FD132C">
        <w:rPr>
          <w:lang w:val="en-IE"/>
        </w:rPr>
        <w:t>s</w:t>
      </w:r>
      <w:r w:rsidRPr="00FD132C">
        <w:rPr>
          <w:lang w:val="en-IE"/>
        </w:rPr>
        <w:t xml:space="preserve">. </w:t>
      </w:r>
    </w:p>
    <w:p w14:paraId="7BF8DC6E" w14:textId="72A83B12" w:rsidR="00AF5A29" w:rsidRPr="00FD132C" w:rsidRDefault="00C27990" w:rsidP="008E2040">
      <w:pPr>
        <w:pStyle w:val="sumtexte"/>
        <w:rPr>
          <w:lang w:val="en-IE"/>
        </w:rPr>
      </w:pPr>
      <w:r w:rsidRPr="00FD132C">
        <w:rPr>
          <w:lang w:val="en-IE"/>
        </w:rPr>
        <w:t xml:space="preserve">A disease-specific partially protease-resistant, misfolded isoform of a membrane protein </w:t>
      </w:r>
      <w:proofErr w:type="spellStart"/>
      <w:r w:rsidRPr="00FD132C">
        <w:rPr>
          <w:lang w:val="en-IE"/>
        </w:rPr>
        <w:t>PrP</w:t>
      </w:r>
      <w:r w:rsidRPr="004E3697">
        <w:rPr>
          <w:vertAlign w:val="superscript"/>
          <w:lang w:val="en-IE"/>
        </w:rPr>
        <w:t>c</w:t>
      </w:r>
      <w:proofErr w:type="spellEnd"/>
      <w:r w:rsidRPr="00FD132C">
        <w:rPr>
          <w:lang w:val="en-IE"/>
        </w:rPr>
        <w:t xml:space="preserve">, originally designated </w:t>
      </w:r>
      <w:proofErr w:type="spellStart"/>
      <w:r w:rsidRPr="00FD132C">
        <w:rPr>
          <w:lang w:val="en-IE"/>
        </w:rPr>
        <w:t>PrP</w:t>
      </w:r>
      <w:r w:rsidRPr="004E3697">
        <w:rPr>
          <w:vertAlign w:val="superscript"/>
          <w:lang w:val="en-IE"/>
        </w:rPr>
        <w:t>Sc</w:t>
      </w:r>
      <w:proofErr w:type="spellEnd"/>
      <w:r w:rsidRPr="00FD132C">
        <w:rPr>
          <w:lang w:val="en-IE"/>
        </w:rPr>
        <w:t xml:space="preserve">, has a critical importance in </w:t>
      </w:r>
      <w:r w:rsidR="006B06E9" w:rsidRPr="00FD132C">
        <w:rPr>
          <w:lang w:val="en-IE"/>
        </w:rPr>
        <w:t>disease pathogenesis</w:t>
      </w:r>
      <w:r w:rsidR="005B3A4E" w:rsidRPr="00FD132C">
        <w:rPr>
          <w:lang w:val="en-IE"/>
        </w:rPr>
        <w:t>.</w:t>
      </w:r>
      <w:r w:rsidR="00D27BA7" w:rsidRPr="00FD132C">
        <w:rPr>
          <w:lang w:val="en-IE"/>
        </w:rPr>
        <w:t xml:space="preserve"> </w:t>
      </w:r>
      <w:r w:rsidR="00405ADC" w:rsidRPr="00FD132C">
        <w:rPr>
          <w:lang w:val="en-IE"/>
        </w:rPr>
        <w:t>A</w:t>
      </w:r>
      <w:r w:rsidRPr="00FD132C">
        <w:rPr>
          <w:lang w:val="en-IE"/>
        </w:rPr>
        <w:t>ccording to the prion hypothesis</w:t>
      </w:r>
      <w:r w:rsidR="00EB590F" w:rsidRPr="00FD132C">
        <w:rPr>
          <w:lang w:val="en-IE"/>
        </w:rPr>
        <w:t>,</w:t>
      </w:r>
      <w:r w:rsidRPr="00FD132C">
        <w:rPr>
          <w:lang w:val="en-IE"/>
        </w:rPr>
        <w:t xml:space="preserve"> </w:t>
      </w:r>
      <w:proofErr w:type="spellStart"/>
      <w:r w:rsidR="00D27BA7" w:rsidRPr="00FD132C">
        <w:rPr>
          <w:lang w:val="en-IE"/>
        </w:rPr>
        <w:t>PrP</w:t>
      </w:r>
      <w:r w:rsidR="00D27BA7" w:rsidRPr="004E3697">
        <w:rPr>
          <w:vertAlign w:val="superscript"/>
          <w:lang w:val="en-IE"/>
        </w:rPr>
        <w:t>Sc</w:t>
      </w:r>
      <w:proofErr w:type="spellEnd"/>
      <w:r w:rsidR="00405ADC" w:rsidRPr="00FD132C">
        <w:rPr>
          <w:lang w:val="en-IE"/>
        </w:rPr>
        <w:t xml:space="preserve"> </w:t>
      </w:r>
      <w:r w:rsidRPr="00FD132C">
        <w:rPr>
          <w:lang w:val="en-IE"/>
        </w:rPr>
        <w:t>is the principal or sole component of the infectious agent.</w:t>
      </w:r>
      <w:r w:rsidR="005B3A4E" w:rsidRPr="00FD132C">
        <w:rPr>
          <w:lang w:val="en-IE"/>
        </w:rPr>
        <w:t xml:space="preserve"> </w:t>
      </w:r>
      <w:r w:rsidRPr="00FD132C">
        <w:rPr>
          <w:lang w:val="en-IE"/>
        </w:rPr>
        <w:t>Confirmation of the diagnosis</w:t>
      </w:r>
      <w:r w:rsidR="005B3A4E" w:rsidRPr="00FD132C">
        <w:rPr>
          <w:lang w:val="en-IE"/>
        </w:rPr>
        <w:t xml:space="preserve"> is </w:t>
      </w:r>
      <w:r w:rsidR="00D27BA7" w:rsidRPr="00FD132C">
        <w:rPr>
          <w:lang w:val="en-IE"/>
        </w:rPr>
        <w:t xml:space="preserve">reached </w:t>
      </w:r>
      <w:r w:rsidR="008D4256" w:rsidRPr="00FD132C">
        <w:rPr>
          <w:lang w:val="en-IE"/>
        </w:rPr>
        <w:t xml:space="preserve">by </w:t>
      </w:r>
      <w:r w:rsidRPr="00FD132C">
        <w:rPr>
          <w:lang w:val="en-IE"/>
        </w:rPr>
        <w:t xml:space="preserve">immunohistochemical </w:t>
      </w:r>
      <w:r w:rsidRPr="00FD132C">
        <w:rPr>
          <w:i w:val="0"/>
          <w:iCs w:val="0"/>
          <w:lang w:val="en-IE"/>
        </w:rPr>
        <w:t>(</w:t>
      </w:r>
      <w:r w:rsidRPr="00FD132C">
        <w:rPr>
          <w:lang w:val="en-IE"/>
        </w:rPr>
        <w:t>IHC</w:t>
      </w:r>
      <w:r w:rsidRPr="00FD132C">
        <w:rPr>
          <w:i w:val="0"/>
          <w:iCs w:val="0"/>
          <w:lang w:val="en-IE"/>
        </w:rPr>
        <w:t xml:space="preserve">) </w:t>
      </w:r>
      <w:r w:rsidRPr="00FD132C">
        <w:rPr>
          <w:lang w:val="en-IE"/>
        </w:rPr>
        <w:t xml:space="preserve">and/or immunochemical </w:t>
      </w:r>
      <w:r w:rsidR="005B3A4E" w:rsidRPr="00FD132C">
        <w:rPr>
          <w:lang w:val="en-IE"/>
        </w:rPr>
        <w:t>detection</w:t>
      </w:r>
      <w:r w:rsidR="00233293" w:rsidRPr="00FD132C">
        <w:rPr>
          <w:lang w:val="en-IE"/>
        </w:rPr>
        <w:t xml:space="preserve"> of</w:t>
      </w:r>
      <w:r w:rsidR="005B3A4E" w:rsidRPr="00FD132C">
        <w:rPr>
          <w:lang w:val="en-IE"/>
        </w:rPr>
        <w:t xml:space="preserve"> </w:t>
      </w:r>
      <w:proofErr w:type="spellStart"/>
      <w:r w:rsidR="00D27BA7" w:rsidRPr="00FD132C">
        <w:rPr>
          <w:lang w:val="en-IE"/>
        </w:rPr>
        <w:t>PrP</w:t>
      </w:r>
      <w:r w:rsidR="00D27BA7" w:rsidRPr="004E3697">
        <w:rPr>
          <w:vertAlign w:val="superscript"/>
          <w:lang w:val="en-IE"/>
        </w:rPr>
        <w:t>Sc</w:t>
      </w:r>
      <w:proofErr w:type="spellEnd"/>
      <w:r w:rsidR="00233293" w:rsidRPr="00FD132C">
        <w:rPr>
          <w:lang w:val="en-IE"/>
        </w:rPr>
        <w:t xml:space="preserve"> </w:t>
      </w:r>
      <w:r w:rsidR="005B3A4E" w:rsidRPr="00FD132C">
        <w:rPr>
          <w:lang w:val="en-IE"/>
        </w:rPr>
        <w:t>in brain tissue</w:t>
      </w:r>
      <w:r w:rsidR="00D27BA7" w:rsidRPr="00FD132C">
        <w:rPr>
          <w:lang w:val="en-IE"/>
        </w:rPr>
        <w:t xml:space="preserve">. </w:t>
      </w:r>
      <w:r w:rsidR="001D6FA5" w:rsidRPr="001D6FA5">
        <w:rPr>
          <w:strike/>
          <w:highlight w:val="yellow"/>
          <w:lang w:val="en-IE"/>
        </w:rPr>
        <w:t>Atypical forms of BSE are believed to occur spontaneously in all cattle populations at a very low rate, and have only been identified in older cattle. They have been detected in many countries, but only as an incidental finding when conducting intensive surveillance for C-type BSE.</w:t>
      </w:r>
      <w:r w:rsidR="001D6FA5">
        <w:rPr>
          <w:lang w:val="en-IE"/>
        </w:rPr>
        <w:t xml:space="preserve"> </w:t>
      </w:r>
      <w:r w:rsidR="00405ADC" w:rsidRPr="00FD132C">
        <w:rPr>
          <w:lang w:val="en-IE"/>
        </w:rPr>
        <w:t xml:space="preserve">The </w:t>
      </w:r>
      <w:r w:rsidR="008D4256" w:rsidRPr="00FD132C">
        <w:rPr>
          <w:lang w:val="en-IE"/>
        </w:rPr>
        <w:t>discrimination of</w:t>
      </w:r>
      <w:r w:rsidR="005B3A4E" w:rsidRPr="00FD132C">
        <w:rPr>
          <w:lang w:val="en-IE"/>
        </w:rPr>
        <w:t xml:space="preserve"> </w:t>
      </w:r>
      <w:r w:rsidRPr="00FD132C">
        <w:rPr>
          <w:lang w:val="en-IE"/>
        </w:rPr>
        <w:t xml:space="preserve">atypical phenotypes </w:t>
      </w:r>
      <w:r w:rsidR="00EB590F" w:rsidRPr="00FD132C">
        <w:rPr>
          <w:lang w:val="en-IE"/>
        </w:rPr>
        <w:t xml:space="preserve">from the classical BSE type is </w:t>
      </w:r>
      <w:r w:rsidRPr="00FD132C">
        <w:rPr>
          <w:lang w:val="en-IE"/>
        </w:rPr>
        <w:t xml:space="preserve">based on </w:t>
      </w:r>
      <w:r w:rsidR="005E30F0" w:rsidRPr="00FD132C">
        <w:rPr>
          <w:lang w:val="en-IE"/>
        </w:rPr>
        <w:t>W</w:t>
      </w:r>
      <w:r w:rsidRPr="00FD132C">
        <w:rPr>
          <w:lang w:val="en-IE"/>
        </w:rPr>
        <w:t>estern immunoblot banding pattern</w:t>
      </w:r>
      <w:r w:rsidR="008D4256" w:rsidRPr="00FD132C">
        <w:rPr>
          <w:lang w:val="en-IE"/>
        </w:rPr>
        <w:t xml:space="preserve"> and </w:t>
      </w:r>
      <w:r w:rsidRPr="00FD132C">
        <w:rPr>
          <w:lang w:val="en-IE"/>
        </w:rPr>
        <w:t>bioassay characterisation</w:t>
      </w:r>
      <w:r w:rsidR="00F210F4" w:rsidRPr="00FD132C">
        <w:rPr>
          <w:lang w:val="en-IE"/>
        </w:rPr>
        <w:t>.</w:t>
      </w:r>
    </w:p>
    <w:p w14:paraId="7BF8DC6F" w14:textId="6B5065E3" w:rsidR="006A039F" w:rsidRPr="00FD132C" w:rsidRDefault="006A039F" w:rsidP="008E2040">
      <w:pPr>
        <w:pStyle w:val="sumtexte"/>
        <w:rPr>
          <w:lang w:val="en-IE"/>
        </w:rPr>
      </w:pPr>
      <w:r w:rsidRPr="00FD132C">
        <w:rPr>
          <w:lang w:val="en-IE"/>
        </w:rPr>
        <w:t xml:space="preserve">Commercial diagnostic kits for BSE are available and are used in many countries; </w:t>
      </w:r>
      <w:r w:rsidR="007E6DAB" w:rsidRPr="00FD132C">
        <w:rPr>
          <w:lang w:val="en-IE"/>
        </w:rPr>
        <w:t>similarly,</w:t>
      </w:r>
      <w:r w:rsidRPr="00FD132C">
        <w:rPr>
          <w:lang w:val="en-IE"/>
        </w:rPr>
        <w:t xml:space="preserve"> a number of anti-</w:t>
      </w:r>
      <w:proofErr w:type="spellStart"/>
      <w:r w:rsidRPr="00FD132C">
        <w:rPr>
          <w:lang w:val="en-IE"/>
        </w:rPr>
        <w:t>PrP</w:t>
      </w:r>
      <w:proofErr w:type="spellEnd"/>
      <w:r w:rsidRPr="00FD132C">
        <w:rPr>
          <w:lang w:val="en-IE"/>
        </w:rPr>
        <w:t xml:space="preserve"> antibodies form the basis of many diagnostic methods. Some are available commercially, </w:t>
      </w:r>
      <w:r w:rsidR="00AB58D1" w:rsidRPr="00FD132C">
        <w:rPr>
          <w:lang w:val="en-IE"/>
        </w:rPr>
        <w:t xml:space="preserve">or </w:t>
      </w:r>
      <w:r w:rsidRPr="00FD132C">
        <w:rPr>
          <w:lang w:val="en-IE"/>
        </w:rPr>
        <w:t xml:space="preserve">from OIE Reference Laboratories or other laboratories with active TSE </w:t>
      </w:r>
      <w:r w:rsidR="002B188D" w:rsidRPr="00FD132C">
        <w:rPr>
          <w:lang w:val="en-IE"/>
        </w:rPr>
        <w:t xml:space="preserve">surveillance </w:t>
      </w:r>
      <w:r w:rsidRPr="00FD132C">
        <w:rPr>
          <w:lang w:val="en-IE"/>
        </w:rPr>
        <w:t>programmes.</w:t>
      </w:r>
    </w:p>
    <w:p w14:paraId="7BF8DC70" w14:textId="77777777" w:rsidR="00C27990" w:rsidRPr="00FD132C" w:rsidRDefault="00C27990" w:rsidP="00B36D64">
      <w:pPr>
        <w:pStyle w:val="sumtexte"/>
        <w:rPr>
          <w:lang w:val="en-IE"/>
        </w:rPr>
      </w:pPr>
      <w:r w:rsidRPr="00FD132C">
        <w:rPr>
          <w:b/>
          <w:lang w:val="en-IE"/>
        </w:rPr>
        <w:t>Serological tests:</w:t>
      </w:r>
      <w:r w:rsidRPr="00FD132C">
        <w:rPr>
          <w:lang w:val="en-IE"/>
        </w:rPr>
        <w:t xml:space="preserve"> Specific immune responses have not been detected in TSEs.</w:t>
      </w:r>
    </w:p>
    <w:p w14:paraId="7BF8DC71" w14:textId="72065E82" w:rsidR="00C27990" w:rsidRPr="00FD132C" w:rsidRDefault="00FD47E1" w:rsidP="008E2040">
      <w:pPr>
        <w:pStyle w:val="sumtextelastpara"/>
        <w:rPr>
          <w:lang w:val="en-IE"/>
        </w:rPr>
      </w:pPr>
      <w:r w:rsidRPr="00FD132C">
        <w:rPr>
          <w:b/>
        </w:rPr>
        <w:t xml:space="preserve">Requirements for </w:t>
      </w:r>
      <w:r w:rsidR="00F210F4" w:rsidRPr="00FD132C">
        <w:rPr>
          <w:b/>
        </w:rPr>
        <w:t>vaccines:</w:t>
      </w:r>
      <w:r w:rsidRPr="00FD132C">
        <w:t xml:space="preserve"> </w:t>
      </w:r>
      <w:r w:rsidR="00C27990" w:rsidRPr="00FD132C">
        <w:rPr>
          <w:lang w:val="en-IE"/>
        </w:rPr>
        <w:t xml:space="preserve">There are no </w:t>
      </w:r>
      <w:r w:rsidR="00C92E1D" w:rsidRPr="00FD132C">
        <w:rPr>
          <w:lang w:val="en-IE"/>
        </w:rPr>
        <w:t>vaccines</w:t>
      </w:r>
      <w:r w:rsidR="00F210F4" w:rsidRPr="00FD132C">
        <w:rPr>
          <w:lang w:val="en-IE"/>
        </w:rPr>
        <w:t xml:space="preserve"> </w:t>
      </w:r>
      <w:r w:rsidR="00C27990" w:rsidRPr="00FD132C">
        <w:rPr>
          <w:lang w:val="en-IE"/>
        </w:rPr>
        <w:t xml:space="preserve">available. </w:t>
      </w:r>
    </w:p>
    <w:p w14:paraId="7BF8DC72" w14:textId="482FAC03" w:rsidR="00C27990" w:rsidRPr="00FD132C" w:rsidRDefault="00B12A00" w:rsidP="008E2040">
      <w:pPr>
        <w:pStyle w:val="A0"/>
      </w:pPr>
      <w:r w:rsidRPr="00FD132C">
        <w:lastRenderedPageBreak/>
        <w:t xml:space="preserve">A. </w:t>
      </w:r>
      <w:r w:rsidR="00F210F4" w:rsidRPr="00FD132C">
        <w:t xml:space="preserve"> </w:t>
      </w:r>
      <w:r w:rsidR="00C27990" w:rsidRPr="00FD132C">
        <w:t>introduction</w:t>
      </w:r>
    </w:p>
    <w:p w14:paraId="018460C7" w14:textId="3AE065B8" w:rsidR="00B407C5" w:rsidRPr="00FD132C" w:rsidRDefault="00B407C5" w:rsidP="00B407C5">
      <w:pPr>
        <w:pStyle w:val="1Para"/>
      </w:pPr>
      <w:r w:rsidRPr="00FD132C">
        <w:t>For up-to-date information on the distribution of the disease, please consult the OIE World Animal Health Information Database (</w:t>
      </w:r>
      <w:hyperlink r:id="rId8" w:history="1">
        <w:r w:rsidRPr="00FD132C">
          <w:rPr>
            <w:rStyle w:val="Lienhypertexte"/>
            <w:u w:val="none"/>
          </w:rPr>
          <w:t>http://www.oie.int/wahis_2/public/wahid.php/Wahidhome/Home</w:t>
        </w:r>
      </w:hyperlink>
      <w:r w:rsidRPr="00FD132C">
        <w:t>)</w:t>
      </w:r>
    </w:p>
    <w:p w14:paraId="7BF8DC73" w14:textId="6E1BEFDF" w:rsidR="002E789E" w:rsidRPr="00FD132C" w:rsidRDefault="002E789E" w:rsidP="00D27BA7">
      <w:pPr>
        <w:pStyle w:val="1"/>
      </w:pPr>
      <w:r w:rsidRPr="00FD132C">
        <w:t>1.</w:t>
      </w:r>
      <w:r w:rsidRPr="00FD132C">
        <w:tab/>
        <w:t>De</w:t>
      </w:r>
      <w:r w:rsidR="00757C40" w:rsidRPr="00FD132C">
        <w:t>scrip</w:t>
      </w:r>
      <w:r w:rsidRPr="00FD132C">
        <w:t>tion of the disease</w:t>
      </w:r>
    </w:p>
    <w:p w14:paraId="7BF8DC74" w14:textId="77777777" w:rsidR="00AF2EF3" w:rsidRPr="00FD132C" w:rsidRDefault="002E789E" w:rsidP="00E87E02">
      <w:pPr>
        <w:pStyle w:val="1"/>
        <w:ind w:left="0" w:firstLine="0"/>
        <w:rPr>
          <w:lang w:val="en-IE"/>
        </w:rPr>
      </w:pPr>
      <w:r w:rsidRPr="00FD132C">
        <w:rPr>
          <w:rFonts w:ascii="Arial" w:hAnsi="Arial"/>
          <w:b w:val="0"/>
          <w:bCs w:val="0"/>
          <w:sz w:val="18"/>
          <w:szCs w:val="18"/>
          <w:lang w:val="en-IE"/>
        </w:rPr>
        <w:t>Bovine s</w:t>
      </w:r>
      <w:r w:rsidR="00C679A4" w:rsidRPr="00FD132C">
        <w:rPr>
          <w:rFonts w:ascii="Arial" w:hAnsi="Arial"/>
          <w:b w:val="0"/>
          <w:bCs w:val="0"/>
          <w:sz w:val="18"/>
          <w:szCs w:val="18"/>
          <w:lang w:val="en-IE"/>
        </w:rPr>
        <w:t xml:space="preserve">pongiform encephalopathy (BSE) is </w:t>
      </w:r>
      <w:r w:rsidRPr="00FD132C">
        <w:rPr>
          <w:rFonts w:ascii="Arial" w:hAnsi="Arial"/>
          <w:b w:val="0"/>
          <w:bCs w:val="0"/>
          <w:sz w:val="18"/>
          <w:szCs w:val="18"/>
          <w:lang w:val="en-IE"/>
        </w:rPr>
        <w:t>a</w:t>
      </w:r>
      <w:r w:rsidR="00C679A4" w:rsidRPr="00FD132C">
        <w:rPr>
          <w:rFonts w:ascii="Arial" w:hAnsi="Arial"/>
          <w:b w:val="0"/>
          <w:bCs w:val="0"/>
          <w:sz w:val="18"/>
          <w:szCs w:val="18"/>
          <w:lang w:val="en-IE"/>
        </w:rPr>
        <w:t xml:space="preserve"> fatal prion disease of cattle and </w:t>
      </w:r>
      <w:r w:rsidRPr="00FD132C">
        <w:rPr>
          <w:rFonts w:ascii="Arial" w:hAnsi="Arial"/>
          <w:b w:val="0"/>
          <w:bCs w:val="0"/>
          <w:sz w:val="18"/>
          <w:szCs w:val="18"/>
          <w:lang w:val="en-IE"/>
        </w:rPr>
        <w:t xml:space="preserve">may present clinically with </w:t>
      </w:r>
      <w:r w:rsidR="00464A62" w:rsidRPr="00FD132C">
        <w:rPr>
          <w:rFonts w:ascii="Arial" w:hAnsi="Arial"/>
          <w:b w:val="0"/>
          <w:bCs w:val="0"/>
          <w:sz w:val="18"/>
          <w:szCs w:val="18"/>
          <w:lang w:val="en-IE"/>
        </w:rPr>
        <w:t xml:space="preserve">signs of central nervous disease, such as </w:t>
      </w:r>
      <w:r w:rsidRPr="00FD132C">
        <w:rPr>
          <w:rFonts w:ascii="Arial" w:hAnsi="Arial"/>
          <w:b w:val="0"/>
          <w:bCs w:val="0"/>
          <w:sz w:val="18"/>
          <w:szCs w:val="18"/>
          <w:lang w:val="en-IE"/>
        </w:rPr>
        <w:t>apprehension, hyper-reactivity and ataxia.</w:t>
      </w:r>
      <w:r w:rsidR="00143194" w:rsidRPr="00FD132C">
        <w:rPr>
          <w:rFonts w:ascii="Arial" w:hAnsi="Arial"/>
          <w:b w:val="0"/>
          <w:bCs w:val="0"/>
          <w:sz w:val="18"/>
          <w:szCs w:val="18"/>
          <w:lang w:val="en-IE"/>
        </w:rPr>
        <w:t xml:space="preserve"> </w:t>
      </w:r>
      <w:r w:rsidR="00D018E1" w:rsidRPr="00FD132C">
        <w:rPr>
          <w:rFonts w:ascii="Arial" w:hAnsi="Arial"/>
          <w:b w:val="0"/>
          <w:bCs w:val="0"/>
          <w:sz w:val="18"/>
          <w:szCs w:val="18"/>
          <w:lang w:val="en-IE"/>
        </w:rPr>
        <w:t>Confirmatory diagnosi</w:t>
      </w:r>
      <w:r w:rsidR="00A147CF" w:rsidRPr="00FD132C">
        <w:rPr>
          <w:rFonts w:ascii="Arial" w:hAnsi="Arial"/>
          <w:b w:val="0"/>
          <w:bCs w:val="0"/>
          <w:sz w:val="18"/>
          <w:szCs w:val="18"/>
          <w:lang w:val="en-IE"/>
        </w:rPr>
        <w:t>s relies</w:t>
      </w:r>
      <w:r w:rsidR="00C679A4" w:rsidRPr="00FD132C">
        <w:rPr>
          <w:rFonts w:ascii="Arial" w:hAnsi="Arial"/>
          <w:b w:val="0"/>
          <w:bCs w:val="0"/>
          <w:sz w:val="18"/>
          <w:szCs w:val="18"/>
          <w:lang w:val="en-IE"/>
        </w:rPr>
        <w:t xml:space="preserve"> on </w:t>
      </w:r>
      <w:r w:rsidR="002A2DB5" w:rsidRPr="00FD132C">
        <w:rPr>
          <w:rFonts w:ascii="Arial" w:hAnsi="Arial"/>
          <w:b w:val="0"/>
          <w:bCs w:val="0"/>
          <w:sz w:val="18"/>
          <w:szCs w:val="18"/>
          <w:lang w:val="en-IE"/>
        </w:rPr>
        <w:t xml:space="preserve">post mortem </w:t>
      </w:r>
      <w:r w:rsidR="005B3A4E" w:rsidRPr="00FD132C">
        <w:rPr>
          <w:rFonts w:ascii="Arial" w:hAnsi="Arial"/>
          <w:b w:val="0"/>
          <w:bCs w:val="0"/>
          <w:sz w:val="18"/>
          <w:szCs w:val="18"/>
          <w:lang w:val="en-IE"/>
        </w:rPr>
        <w:t>IHC</w:t>
      </w:r>
      <w:r w:rsidR="00A147CF" w:rsidRPr="00FD132C">
        <w:rPr>
          <w:rFonts w:ascii="Arial" w:hAnsi="Arial"/>
          <w:b w:val="0"/>
          <w:bCs w:val="0"/>
          <w:sz w:val="18"/>
          <w:szCs w:val="18"/>
          <w:lang w:val="en-IE"/>
        </w:rPr>
        <w:t xml:space="preserve"> and immunochemical </w:t>
      </w:r>
      <w:r w:rsidR="00C679A4" w:rsidRPr="00FD132C">
        <w:rPr>
          <w:rFonts w:ascii="Arial" w:hAnsi="Arial"/>
          <w:b w:val="0"/>
          <w:bCs w:val="0"/>
          <w:sz w:val="18"/>
          <w:szCs w:val="18"/>
          <w:lang w:val="en-IE"/>
        </w:rPr>
        <w:t xml:space="preserve">detection of misfolded prion proteins in the brain. </w:t>
      </w:r>
    </w:p>
    <w:p w14:paraId="7BF8DC79" w14:textId="21309190" w:rsidR="00D45CC4" w:rsidRPr="008834CE" w:rsidRDefault="0009291D" w:rsidP="008E2040">
      <w:pPr>
        <w:pStyle w:val="paraA0"/>
        <w:rPr>
          <w:szCs w:val="20"/>
          <w:lang w:val="en-IE"/>
        </w:rPr>
      </w:pPr>
      <w:r w:rsidRPr="00FD132C">
        <w:rPr>
          <w:szCs w:val="20"/>
          <w:lang w:val="en-IE"/>
        </w:rPr>
        <w:t xml:space="preserve">Transmission of </w:t>
      </w:r>
      <w:r w:rsidR="00757C40" w:rsidRPr="00FD132C">
        <w:rPr>
          <w:szCs w:val="20"/>
          <w:lang w:val="en-IE"/>
        </w:rPr>
        <w:t>classical BSE (</w:t>
      </w:r>
      <w:r w:rsidRPr="00FD132C">
        <w:rPr>
          <w:szCs w:val="20"/>
          <w:lang w:val="en-IE"/>
        </w:rPr>
        <w:t>C-type BSE</w:t>
      </w:r>
      <w:r w:rsidR="00757C40" w:rsidRPr="00FD132C">
        <w:rPr>
          <w:szCs w:val="20"/>
          <w:lang w:val="en-IE"/>
        </w:rPr>
        <w:t>)</w:t>
      </w:r>
      <w:r w:rsidRPr="00FD132C">
        <w:rPr>
          <w:szCs w:val="20"/>
          <w:lang w:val="en-IE"/>
        </w:rPr>
        <w:t xml:space="preserve"> occurs </w:t>
      </w:r>
      <w:r w:rsidR="002A2DB5" w:rsidRPr="00FD132C">
        <w:rPr>
          <w:szCs w:val="20"/>
          <w:lang w:val="en-IE"/>
        </w:rPr>
        <w:t>through the</w:t>
      </w:r>
      <w:r w:rsidRPr="00FD132C">
        <w:rPr>
          <w:szCs w:val="20"/>
          <w:lang w:val="en-IE"/>
        </w:rPr>
        <w:t xml:space="preserve"> feeding</w:t>
      </w:r>
      <w:r w:rsidR="006D56E2" w:rsidRPr="00FD132C">
        <w:rPr>
          <w:szCs w:val="20"/>
          <w:lang w:val="en-IE"/>
        </w:rPr>
        <w:t xml:space="preserve"> of BSE prion contaminated meat </w:t>
      </w:r>
      <w:r w:rsidRPr="00FD132C">
        <w:rPr>
          <w:szCs w:val="20"/>
          <w:lang w:val="en-IE"/>
        </w:rPr>
        <w:t>and</w:t>
      </w:r>
      <w:r w:rsidR="00050100" w:rsidRPr="00FD132C">
        <w:rPr>
          <w:szCs w:val="20"/>
          <w:lang w:val="en-IE"/>
        </w:rPr>
        <w:t xml:space="preserve"> bone meal</w:t>
      </w:r>
      <w:r w:rsidR="006D56E2" w:rsidRPr="00FD132C">
        <w:rPr>
          <w:szCs w:val="20"/>
          <w:lang w:val="en-IE"/>
        </w:rPr>
        <w:t xml:space="preserve"> </w:t>
      </w:r>
      <w:r w:rsidR="00AB4541" w:rsidRPr="00FD132C">
        <w:rPr>
          <w:szCs w:val="20"/>
          <w:lang w:val="en-IE"/>
        </w:rPr>
        <w:t xml:space="preserve">and animal feedstuffs containing meat and bone meal </w:t>
      </w:r>
      <w:r w:rsidR="006D56E2" w:rsidRPr="00FD132C">
        <w:rPr>
          <w:szCs w:val="20"/>
          <w:lang w:val="en-IE"/>
        </w:rPr>
        <w:t>(</w:t>
      </w:r>
      <w:r w:rsidR="006D56E2" w:rsidRPr="008834CE">
        <w:rPr>
          <w:szCs w:val="20"/>
          <w:lang w:val="en-IE"/>
        </w:rPr>
        <w:t>Wells</w:t>
      </w:r>
      <w:r w:rsidR="001B4DB6" w:rsidRPr="008834CE">
        <w:rPr>
          <w:szCs w:val="20"/>
          <w:lang w:val="en-IE"/>
        </w:rPr>
        <w:t xml:space="preserve"> &amp; </w:t>
      </w:r>
      <w:proofErr w:type="spellStart"/>
      <w:r w:rsidR="001B4DB6" w:rsidRPr="008834CE">
        <w:rPr>
          <w:szCs w:val="20"/>
          <w:lang w:val="en-IE"/>
        </w:rPr>
        <w:t>Wilesmith</w:t>
      </w:r>
      <w:proofErr w:type="spellEnd"/>
      <w:r w:rsidR="006D56E2" w:rsidRPr="008834CE">
        <w:rPr>
          <w:szCs w:val="20"/>
          <w:lang w:val="en-IE"/>
        </w:rPr>
        <w:t>, 1995)</w:t>
      </w:r>
      <w:r w:rsidR="00D27BA7" w:rsidRPr="008834CE">
        <w:rPr>
          <w:szCs w:val="20"/>
          <w:lang w:val="en-IE"/>
        </w:rPr>
        <w:t>.</w:t>
      </w:r>
      <w:r w:rsidR="00050100" w:rsidRPr="008834CE">
        <w:rPr>
          <w:szCs w:val="20"/>
          <w:lang w:val="en-IE"/>
        </w:rPr>
        <w:t xml:space="preserve"> </w:t>
      </w:r>
      <w:r w:rsidR="00D45CC4" w:rsidRPr="008834CE">
        <w:rPr>
          <w:szCs w:val="20"/>
          <w:lang w:val="en-IE"/>
        </w:rPr>
        <w:t>There is no evidence of horizontal transmission</w:t>
      </w:r>
      <w:r w:rsidR="00F210F4" w:rsidRPr="008834CE">
        <w:rPr>
          <w:szCs w:val="20"/>
          <w:lang w:val="en-IE"/>
        </w:rPr>
        <w:t xml:space="preserve"> </w:t>
      </w:r>
      <w:r w:rsidR="00D45CC4" w:rsidRPr="008834CE">
        <w:rPr>
          <w:szCs w:val="20"/>
          <w:lang w:val="en-IE"/>
        </w:rPr>
        <w:t>and little data to support</w:t>
      </w:r>
      <w:r w:rsidR="00F210F4" w:rsidRPr="008834CE">
        <w:rPr>
          <w:szCs w:val="20"/>
          <w:lang w:val="en-IE"/>
        </w:rPr>
        <w:t xml:space="preserve"> </w:t>
      </w:r>
      <w:r w:rsidR="002A2DB5" w:rsidRPr="008834CE">
        <w:rPr>
          <w:szCs w:val="20"/>
          <w:lang w:val="en-IE"/>
        </w:rPr>
        <w:t xml:space="preserve">vertical </w:t>
      </w:r>
      <w:r w:rsidR="00D45CC4" w:rsidRPr="008834CE">
        <w:rPr>
          <w:szCs w:val="20"/>
          <w:lang w:val="en-IE"/>
        </w:rPr>
        <w:t>transmission (</w:t>
      </w:r>
      <w:r w:rsidR="007A2CC4" w:rsidRPr="008834CE">
        <w:rPr>
          <w:szCs w:val="20"/>
          <w:lang w:val="en-IE"/>
        </w:rPr>
        <w:t xml:space="preserve">Prince </w:t>
      </w:r>
      <w:r w:rsidR="007A2CC4" w:rsidRPr="008834CE">
        <w:rPr>
          <w:i/>
          <w:szCs w:val="20"/>
          <w:lang w:val="en-IE"/>
        </w:rPr>
        <w:t>et al.,</w:t>
      </w:r>
      <w:r w:rsidR="007A2CC4" w:rsidRPr="008834CE">
        <w:rPr>
          <w:szCs w:val="20"/>
          <w:lang w:val="en-IE"/>
        </w:rPr>
        <w:t xml:space="preserve"> 2003</w:t>
      </w:r>
      <w:r w:rsidR="00D45CC4" w:rsidRPr="008834CE">
        <w:rPr>
          <w:szCs w:val="20"/>
          <w:lang w:val="en-IE"/>
        </w:rPr>
        <w:t>).</w:t>
      </w:r>
      <w:r w:rsidR="00F210F4" w:rsidRPr="008834CE">
        <w:rPr>
          <w:szCs w:val="20"/>
          <w:lang w:val="en-IE"/>
        </w:rPr>
        <w:t xml:space="preserve"> </w:t>
      </w:r>
      <w:r w:rsidR="006C310A" w:rsidRPr="008834CE">
        <w:rPr>
          <w:szCs w:val="20"/>
          <w:lang w:val="en-IE"/>
        </w:rPr>
        <w:t>Epidemiolo</w:t>
      </w:r>
      <w:r w:rsidR="00D018E1" w:rsidRPr="008834CE">
        <w:rPr>
          <w:szCs w:val="20"/>
          <w:lang w:val="en-IE"/>
        </w:rPr>
        <w:t>gi</w:t>
      </w:r>
      <w:r w:rsidR="006C310A" w:rsidRPr="008834CE">
        <w:rPr>
          <w:szCs w:val="20"/>
          <w:lang w:val="en-IE"/>
        </w:rPr>
        <w:t xml:space="preserve">cal data and experimental transmission studies </w:t>
      </w:r>
      <w:r w:rsidR="00D018E1" w:rsidRPr="008834CE">
        <w:rPr>
          <w:szCs w:val="20"/>
          <w:lang w:val="en-IE"/>
        </w:rPr>
        <w:t xml:space="preserve">indicate </w:t>
      </w:r>
      <w:r w:rsidR="006C310A" w:rsidRPr="008834CE">
        <w:rPr>
          <w:szCs w:val="20"/>
          <w:lang w:val="en-IE"/>
        </w:rPr>
        <w:t xml:space="preserve">that the incubation </w:t>
      </w:r>
      <w:r w:rsidR="00D018E1" w:rsidRPr="008834CE">
        <w:rPr>
          <w:szCs w:val="20"/>
          <w:lang w:val="en-IE"/>
        </w:rPr>
        <w:t xml:space="preserve">period is at least 2 years and may extend </w:t>
      </w:r>
      <w:r w:rsidR="002A2DB5" w:rsidRPr="008834CE">
        <w:rPr>
          <w:szCs w:val="20"/>
          <w:lang w:val="en-IE"/>
        </w:rPr>
        <w:t>beyond a</w:t>
      </w:r>
      <w:r w:rsidR="00D018E1" w:rsidRPr="008834CE">
        <w:rPr>
          <w:szCs w:val="20"/>
          <w:lang w:val="en-IE"/>
        </w:rPr>
        <w:t xml:space="preserve"> decade. </w:t>
      </w:r>
      <w:r w:rsidR="00AB06E2" w:rsidRPr="008834CE">
        <w:rPr>
          <w:szCs w:val="20"/>
          <w:lang w:val="en-IE"/>
        </w:rPr>
        <w:t xml:space="preserve">The course of disease is usually subacute to chronic, </w:t>
      </w:r>
      <w:r w:rsidR="006C310A" w:rsidRPr="008834CE">
        <w:rPr>
          <w:szCs w:val="20"/>
          <w:lang w:val="en-IE"/>
        </w:rPr>
        <w:t xml:space="preserve">and affected animals display </w:t>
      </w:r>
      <w:r w:rsidR="002A2DB5" w:rsidRPr="008834CE">
        <w:rPr>
          <w:szCs w:val="20"/>
          <w:lang w:val="en-IE"/>
        </w:rPr>
        <w:t xml:space="preserve">progressive </w:t>
      </w:r>
      <w:r w:rsidR="006C310A" w:rsidRPr="008834CE">
        <w:rPr>
          <w:szCs w:val="20"/>
          <w:lang w:val="en-IE"/>
        </w:rPr>
        <w:t xml:space="preserve">neurological signs. There is no effective treatment and </w:t>
      </w:r>
      <w:r w:rsidR="00BD3CCA" w:rsidRPr="008834CE">
        <w:rPr>
          <w:szCs w:val="20"/>
          <w:lang w:val="en-IE"/>
        </w:rPr>
        <w:t xml:space="preserve">affected </w:t>
      </w:r>
      <w:r w:rsidR="006C310A" w:rsidRPr="008834CE">
        <w:rPr>
          <w:szCs w:val="20"/>
          <w:lang w:val="en-IE"/>
        </w:rPr>
        <w:t xml:space="preserve">animals will </w:t>
      </w:r>
      <w:r w:rsidR="002A2DB5" w:rsidRPr="008834CE">
        <w:rPr>
          <w:szCs w:val="20"/>
          <w:lang w:val="en-IE"/>
        </w:rPr>
        <w:t xml:space="preserve">inevitably </w:t>
      </w:r>
      <w:r w:rsidR="006C310A" w:rsidRPr="008834CE">
        <w:rPr>
          <w:szCs w:val="20"/>
          <w:lang w:val="en-IE"/>
        </w:rPr>
        <w:t>die</w:t>
      </w:r>
      <w:r w:rsidR="00BD3CCA" w:rsidRPr="008834CE">
        <w:rPr>
          <w:szCs w:val="20"/>
          <w:lang w:val="en-IE"/>
        </w:rPr>
        <w:t xml:space="preserve"> if the disease is left to run its course</w:t>
      </w:r>
      <w:r w:rsidR="006C310A" w:rsidRPr="008834CE">
        <w:rPr>
          <w:szCs w:val="20"/>
          <w:lang w:val="en-IE"/>
        </w:rPr>
        <w:t>.</w:t>
      </w:r>
    </w:p>
    <w:p w14:paraId="1161A130" w14:textId="6D9CDB5F" w:rsidR="00011154" w:rsidRPr="00FD132C" w:rsidRDefault="00011154" w:rsidP="00011154">
      <w:pPr>
        <w:pStyle w:val="para1"/>
        <w:rPr>
          <w:lang w:val="en-IE"/>
        </w:rPr>
      </w:pPr>
      <w:r w:rsidRPr="008834CE">
        <w:rPr>
          <w:bCs/>
          <w:lang w:val="en-IE"/>
        </w:rPr>
        <w:t>Clinical C-type BSE</w:t>
      </w:r>
      <w:r w:rsidRPr="008834CE">
        <w:rPr>
          <w:lang w:val="en-IE"/>
        </w:rPr>
        <w:t xml:space="preserve"> occurs in adult cattle (ranging between 20 months and 22 years in the UK). </w:t>
      </w:r>
      <w:r w:rsidRPr="008834CE">
        <w:rPr>
          <w:bCs/>
          <w:lang w:val="en-IE"/>
        </w:rPr>
        <w:t xml:space="preserve">During the main </w:t>
      </w:r>
      <w:r w:rsidR="009F4802" w:rsidRPr="008834CE">
        <w:rPr>
          <w:bCs/>
          <w:lang w:val="en-IE"/>
        </w:rPr>
        <w:t>epizootic</w:t>
      </w:r>
      <w:r w:rsidRPr="008834CE">
        <w:rPr>
          <w:bCs/>
          <w:lang w:val="en-IE"/>
        </w:rPr>
        <w:t xml:space="preserve"> </w:t>
      </w:r>
      <w:r w:rsidRPr="008834CE">
        <w:rPr>
          <w:lang w:val="en-IE"/>
        </w:rPr>
        <w:t xml:space="preserve">most cases were observed in dairy cattle aged 4–6 years. Subsequently the impact of effective </w:t>
      </w:r>
      <w:r w:rsidRPr="008834CE">
        <w:rPr>
          <w:bCs/>
        </w:rPr>
        <w:t>controls has been reflected in an increasing age at onset of clinical disease. BSE has an insidious onset and usually a slowly progressive course (</w:t>
      </w:r>
      <w:proofErr w:type="spellStart"/>
      <w:r w:rsidRPr="008834CE">
        <w:rPr>
          <w:bCs/>
        </w:rPr>
        <w:t>Konold</w:t>
      </w:r>
      <w:proofErr w:type="spellEnd"/>
      <w:r w:rsidRPr="008834CE">
        <w:rPr>
          <w:bCs/>
        </w:rPr>
        <w:t xml:space="preserve"> </w:t>
      </w:r>
      <w:r w:rsidRPr="008834CE">
        <w:rPr>
          <w:bCs/>
          <w:i/>
        </w:rPr>
        <w:t>et al.,</w:t>
      </w:r>
      <w:r w:rsidRPr="008834CE">
        <w:rPr>
          <w:bCs/>
        </w:rPr>
        <w:t xml:space="preserve"> 2004; </w:t>
      </w:r>
      <w:proofErr w:type="spellStart"/>
      <w:r w:rsidRPr="008834CE">
        <w:rPr>
          <w:bCs/>
        </w:rPr>
        <w:t>Wilesmith</w:t>
      </w:r>
      <w:proofErr w:type="spellEnd"/>
      <w:r w:rsidRPr="008834CE">
        <w:rPr>
          <w:bCs/>
        </w:rPr>
        <w:t xml:space="preserve"> </w:t>
      </w:r>
      <w:r w:rsidRPr="008834CE">
        <w:rPr>
          <w:bCs/>
          <w:i/>
        </w:rPr>
        <w:t>et al.</w:t>
      </w:r>
      <w:r w:rsidRPr="008834CE">
        <w:rPr>
          <w:bCs/>
        </w:rPr>
        <w:t>, 1992). Occasionally, a case will present with acute signs and then deteriorate rapidly, although frequency of observation is a significant factor in determining early clinical signs. Presenting signs, though variable, usually include changes in behaviour and temperament, hyper-reactivity and incoordination. Affected cows may be reluctant to enter the milking parlour or may kick vigorously during milking, which is often the first observed sign. In dry cows especially, hind-limb incoordination and weakness can be the first clinical features to be noticed. The most commonly reported nervous signs have been apprehension, pelvic limb ataxia, and hyperaesthesia to touch and sound. Startle responses to external stimuli, which are repeatable, are frequent and thus used to support the clinical diagnosis in suspect BSE cases (</w:t>
      </w:r>
      <w:proofErr w:type="spellStart"/>
      <w:r w:rsidRPr="008834CE">
        <w:rPr>
          <w:bCs/>
        </w:rPr>
        <w:t>Konold</w:t>
      </w:r>
      <w:proofErr w:type="spellEnd"/>
      <w:r w:rsidRPr="008834CE">
        <w:rPr>
          <w:bCs/>
          <w:i/>
        </w:rPr>
        <w:t xml:space="preserve"> et al.</w:t>
      </w:r>
      <w:r w:rsidRPr="008834CE">
        <w:rPr>
          <w:bCs/>
        </w:rPr>
        <w:t>, 2004). Affected cows will sometimes stand with low head carriage and the neck extended, an arched back or wide-based</w:t>
      </w:r>
      <w:r w:rsidRPr="00FD132C">
        <w:rPr>
          <w:bCs/>
        </w:rPr>
        <w:t xml:space="preserve"> hind limbs. A tremor of the head may also be </w:t>
      </w:r>
      <w:r w:rsidR="006D0B65" w:rsidRPr="00FD132C">
        <w:rPr>
          <w:lang w:val="en-IE"/>
        </w:rPr>
        <w:t>visible</w:t>
      </w:r>
      <w:r w:rsidRPr="00FD132C">
        <w:rPr>
          <w:lang w:val="en-IE"/>
        </w:rPr>
        <w:t xml:space="preserve">. Abnormalities of gait, such as incoordination and hypermetria, are usually confined to the hind limbs and are most readily appreciated when cattle are observed at pasture. With advancing severity of locomotor signs, generalised weakness, resulting in falling and recumbency, can dominate the clinical picture. General clinical features of loss of bodily condition and reduction in milk yield often accompany nervous signs as the disease progresses. There has been no change in the clinical picture of </w:t>
      </w:r>
      <w:r w:rsidR="00BD3CCA" w:rsidRPr="00FD132C">
        <w:rPr>
          <w:lang w:val="en-IE"/>
        </w:rPr>
        <w:t xml:space="preserve">C-type </w:t>
      </w:r>
      <w:r w:rsidRPr="00FD132C">
        <w:rPr>
          <w:lang w:val="en-IE"/>
        </w:rPr>
        <w:t>BSE over the course of the epizootic in the UK (</w:t>
      </w:r>
      <w:proofErr w:type="spellStart"/>
      <w:r w:rsidRPr="008834CE">
        <w:rPr>
          <w:lang w:val="en-IE"/>
        </w:rPr>
        <w:t>Konold</w:t>
      </w:r>
      <w:proofErr w:type="spellEnd"/>
      <w:r w:rsidRPr="008834CE">
        <w:rPr>
          <w:lang w:val="en-IE"/>
        </w:rPr>
        <w:t xml:space="preserve"> </w:t>
      </w:r>
      <w:r w:rsidRPr="008834CE">
        <w:rPr>
          <w:i/>
          <w:lang w:val="en-IE"/>
        </w:rPr>
        <w:t>et al.,</w:t>
      </w:r>
      <w:r w:rsidRPr="008834CE">
        <w:rPr>
          <w:lang w:val="en-IE"/>
        </w:rPr>
        <w:t xml:space="preserve"> 2004; </w:t>
      </w:r>
      <w:proofErr w:type="spellStart"/>
      <w:r w:rsidRPr="008834CE">
        <w:rPr>
          <w:lang w:val="en-IE"/>
        </w:rPr>
        <w:t>Wilesmith</w:t>
      </w:r>
      <w:proofErr w:type="spellEnd"/>
      <w:r w:rsidRPr="008834CE">
        <w:rPr>
          <w:lang w:val="en-IE"/>
        </w:rPr>
        <w:t xml:space="preserve"> </w:t>
      </w:r>
      <w:r w:rsidRPr="008834CE">
        <w:rPr>
          <w:i/>
          <w:lang w:val="en-IE"/>
        </w:rPr>
        <w:t>et al.,</w:t>
      </w:r>
      <w:r w:rsidRPr="008834CE">
        <w:rPr>
          <w:lang w:val="en-IE"/>
        </w:rPr>
        <w:t xml:space="preserve"> 1992). Clinical signs are essentially similar in other countries where </w:t>
      </w:r>
      <w:r w:rsidR="00BD3CCA" w:rsidRPr="008834CE">
        <w:rPr>
          <w:lang w:val="en-IE"/>
        </w:rPr>
        <w:t xml:space="preserve">C-type </w:t>
      </w:r>
      <w:r w:rsidRPr="008834CE">
        <w:rPr>
          <w:lang w:val="en-IE"/>
        </w:rPr>
        <w:t>BSE has occurred. The protracted clinical course, extending</w:t>
      </w:r>
      <w:r w:rsidRPr="00FD132C">
        <w:rPr>
          <w:lang w:val="en-IE"/>
        </w:rPr>
        <w:t xml:space="preserve"> usually over a period of weeks or months, would eventually require </w:t>
      </w:r>
      <w:r w:rsidR="00AB4541" w:rsidRPr="00FD132C">
        <w:rPr>
          <w:lang w:val="en-IE"/>
        </w:rPr>
        <w:t xml:space="preserve">culling </w:t>
      </w:r>
      <w:r w:rsidRPr="00FD132C">
        <w:rPr>
          <w:lang w:val="en-IE"/>
        </w:rPr>
        <w:t xml:space="preserve">on welfare considerations. However, a statutory policy to determine the BSE status of a country requires compulsory notification and diagnostic investigation of clinically suspect cases, their </w:t>
      </w:r>
      <w:r w:rsidR="00615A91" w:rsidRPr="00FD132C">
        <w:rPr>
          <w:lang w:val="en-IE"/>
        </w:rPr>
        <w:t xml:space="preserve">culling </w:t>
      </w:r>
      <w:r w:rsidRPr="00FD132C">
        <w:rPr>
          <w:lang w:val="en-IE"/>
        </w:rPr>
        <w:t xml:space="preserve">and post-mortem examination of the brain. Early in the disease course, the signs may be subtle, variable and nonspecific, and thus may prevent clinical diagnosis on an initial examination. Continued observation of such equivocal cases, together with appropriate clinical pathology procedures to eliminate differential diagnoses, especially metabolic disorders, will establish the essential progression of signs. Subtle signs may sometimes be exacerbated following stress, such as that caused by transport. </w:t>
      </w:r>
    </w:p>
    <w:p w14:paraId="31979FBD" w14:textId="1665AA07" w:rsidR="00011154" w:rsidRPr="00FD132C" w:rsidRDefault="00011154" w:rsidP="00011154">
      <w:pPr>
        <w:pStyle w:val="para1"/>
        <w:rPr>
          <w:lang w:val="en-IE"/>
        </w:rPr>
      </w:pPr>
      <w:r w:rsidRPr="00FD132C">
        <w:rPr>
          <w:lang w:val="en-IE"/>
        </w:rPr>
        <w:t>Video clips of cattle affected by BSE may be downloaded from the web site of the OIE Reference Laboratory for BSE in the UK</w:t>
      </w:r>
      <w:r w:rsidRPr="004E3697">
        <w:rPr>
          <w:rStyle w:val="Appelnotedebasdep"/>
          <w:lang w:val="en-IE"/>
        </w:rPr>
        <w:footnoteReference w:id="1"/>
      </w:r>
      <w:r w:rsidRPr="00FD132C">
        <w:rPr>
          <w:lang w:val="en-IE"/>
        </w:rPr>
        <w:t xml:space="preserve">, which also provides </w:t>
      </w:r>
      <w:r w:rsidRPr="00BF68DA">
        <w:rPr>
          <w:strike/>
          <w:lang w:val="en-IE"/>
        </w:rPr>
        <w:t>DVD or videotape</w:t>
      </w:r>
      <w:r w:rsidR="00BF68DA">
        <w:rPr>
          <w:strike/>
          <w:lang w:val="en-IE"/>
        </w:rPr>
        <w:t xml:space="preserve"> </w:t>
      </w:r>
      <w:r w:rsidR="00380124" w:rsidRPr="00BF68DA">
        <w:rPr>
          <w:u w:val="double"/>
          <w:lang w:val="en-IE"/>
        </w:rPr>
        <w:t>electronic</w:t>
      </w:r>
      <w:r w:rsidRPr="00FD132C">
        <w:rPr>
          <w:lang w:val="en-IE"/>
        </w:rPr>
        <w:t xml:space="preserve"> footage upon request.</w:t>
      </w:r>
    </w:p>
    <w:p w14:paraId="7BF8DC7A" w14:textId="38FA4E7B" w:rsidR="00C27990" w:rsidRPr="00FD132C" w:rsidRDefault="00D018E1" w:rsidP="00011154">
      <w:pPr>
        <w:pStyle w:val="paraA0"/>
        <w:rPr>
          <w:lang w:val="en-IE"/>
        </w:rPr>
      </w:pPr>
      <w:r w:rsidRPr="00FD132C">
        <w:rPr>
          <w:lang w:val="en-IE"/>
        </w:rPr>
        <w:t>Little is known about the clinical presentation of</w:t>
      </w:r>
      <w:r w:rsidR="00516969" w:rsidRPr="00FD132C">
        <w:rPr>
          <w:lang w:val="en-IE"/>
        </w:rPr>
        <w:t xml:space="preserve"> naturally</w:t>
      </w:r>
      <w:r w:rsidR="0083158F" w:rsidRPr="00FD132C">
        <w:rPr>
          <w:lang w:val="en-IE"/>
        </w:rPr>
        <w:t xml:space="preserve"> </w:t>
      </w:r>
      <w:r w:rsidR="00516969" w:rsidRPr="00FD132C">
        <w:rPr>
          <w:lang w:val="en-IE"/>
        </w:rPr>
        <w:t xml:space="preserve">occurring </w:t>
      </w:r>
      <w:r w:rsidR="008E2040" w:rsidRPr="00FD132C">
        <w:rPr>
          <w:lang w:val="en-IE"/>
        </w:rPr>
        <w:t>atypical BSE</w:t>
      </w:r>
      <w:r w:rsidR="0083158F" w:rsidRPr="00FD132C">
        <w:rPr>
          <w:lang w:val="en-IE"/>
        </w:rPr>
        <w:t xml:space="preserve"> </w:t>
      </w:r>
      <w:r w:rsidR="0044442B" w:rsidRPr="00FD132C">
        <w:rPr>
          <w:lang w:val="en-IE"/>
        </w:rPr>
        <w:t>as m</w:t>
      </w:r>
      <w:r w:rsidR="001D325B" w:rsidRPr="00FD132C">
        <w:rPr>
          <w:lang w:val="en-IE"/>
        </w:rPr>
        <w:t xml:space="preserve">ost of these cases </w:t>
      </w:r>
      <w:r w:rsidRPr="00FD132C">
        <w:rPr>
          <w:lang w:val="en-IE"/>
        </w:rPr>
        <w:t xml:space="preserve">were detected by active surveillance </w:t>
      </w:r>
      <w:r w:rsidR="0044442B" w:rsidRPr="00FD132C">
        <w:rPr>
          <w:lang w:val="en-IE"/>
        </w:rPr>
        <w:t xml:space="preserve">of </w:t>
      </w:r>
      <w:r w:rsidR="005C26B5" w:rsidRPr="00FD132C">
        <w:rPr>
          <w:lang w:val="en-IE"/>
        </w:rPr>
        <w:t xml:space="preserve">fallen stock or </w:t>
      </w:r>
      <w:r w:rsidR="0044442B" w:rsidRPr="00FD132C">
        <w:rPr>
          <w:lang w:val="en-IE"/>
        </w:rPr>
        <w:t xml:space="preserve">apparently healthy cattle, </w:t>
      </w:r>
      <w:r w:rsidRPr="00FD132C">
        <w:rPr>
          <w:lang w:val="en-IE"/>
        </w:rPr>
        <w:t xml:space="preserve">and </w:t>
      </w:r>
      <w:r w:rsidR="001D325B" w:rsidRPr="00FD132C">
        <w:rPr>
          <w:lang w:val="en-IE"/>
        </w:rPr>
        <w:t>correlation of laboratory diagnostic data with</w:t>
      </w:r>
      <w:r w:rsidRPr="00FD132C">
        <w:rPr>
          <w:lang w:val="en-IE"/>
        </w:rPr>
        <w:t xml:space="preserve"> clinical histories is lacking. </w:t>
      </w:r>
      <w:r w:rsidR="001D325B" w:rsidRPr="00FD132C">
        <w:rPr>
          <w:lang w:val="en-IE"/>
        </w:rPr>
        <w:t xml:space="preserve">An interesting common feature is that </w:t>
      </w:r>
      <w:r w:rsidRPr="00FD132C">
        <w:rPr>
          <w:lang w:val="en-IE"/>
        </w:rPr>
        <w:t xml:space="preserve">cases of atypical BSE were </w:t>
      </w:r>
      <w:r w:rsidR="00BD3CCA" w:rsidRPr="00FD132C">
        <w:rPr>
          <w:lang w:val="en-IE"/>
        </w:rPr>
        <w:t xml:space="preserve">almost exclusively </w:t>
      </w:r>
      <w:r w:rsidRPr="00FD132C">
        <w:rPr>
          <w:lang w:val="en-IE"/>
        </w:rPr>
        <w:t xml:space="preserve">detected in </w:t>
      </w:r>
      <w:r w:rsidR="001D325B" w:rsidRPr="00FD132C">
        <w:rPr>
          <w:lang w:val="en-IE"/>
        </w:rPr>
        <w:t>cattle</w:t>
      </w:r>
      <w:r w:rsidRPr="00FD132C">
        <w:rPr>
          <w:lang w:val="en-IE"/>
        </w:rPr>
        <w:t xml:space="preserve"> older than 8 years.</w:t>
      </w:r>
      <w:r w:rsidR="0044442B" w:rsidRPr="00FD132C">
        <w:rPr>
          <w:lang w:val="en-IE"/>
        </w:rPr>
        <w:t xml:space="preserve"> Data from experimental intracerebral inoculation of cattle suggest that the clinical signs in H- and L-type BSE may include those observed in C-type BSE, but dullness and difficulty in rising are also prominent features of the clinical presentation in these animals </w:t>
      </w:r>
      <w:r w:rsidR="0044442B" w:rsidRPr="008834CE">
        <w:rPr>
          <w:lang w:val="en-IE"/>
        </w:rPr>
        <w:t>(</w:t>
      </w:r>
      <w:proofErr w:type="spellStart"/>
      <w:r w:rsidR="0044442B" w:rsidRPr="008834CE">
        <w:rPr>
          <w:lang w:val="en-IE"/>
        </w:rPr>
        <w:t>Konold</w:t>
      </w:r>
      <w:proofErr w:type="spellEnd"/>
      <w:r w:rsidR="0044442B" w:rsidRPr="008834CE">
        <w:rPr>
          <w:lang w:val="en-IE"/>
        </w:rPr>
        <w:t xml:space="preserve"> </w:t>
      </w:r>
      <w:r w:rsidR="0044442B" w:rsidRPr="008834CE">
        <w:rPr>
          <w:i/>
          <w:lang w:val="en-IE"/>
        </w:rPr>
        <w:t>et al.,</w:t>
      </w:r>
      <w:r w:rsidR="0044442B" w:rsidRPr="008834CE">
        <w:rPr>
          <w:lang w:val="en-IE"/>
        </w:rPr>
        <w:t xml:space="preserve"> 2012).</w:t>
      </w:r>
    </w:p>
    <w:p w14:paraId="6DAA7269" w14:textId="77777777" w:rsidR="00757C40" w:rsidRPr="00FD132C" w:rsidRDefault="00757C40" w:rsidP="00757C40">
      <w:pPr>
        <w:pStyle w:val="1"/>
        <w:rPr>
          <w:lang w:val="en-IE"/>
        </w:rPr>
      </w:pPr>
      <w:r w:rsidRPr="00FD132C">
        <w:rPr>
          <w:lang w:val="en-IE"/>
        </w:rPr>
        <w:t>2.</w:t>
      </w:r>
      <w:r w:rsidRPr="00FD132C">
        <w:rPr>
          <w:lang w:val="en-IE"/>
        </w:rPr>
        <w:tab/>
        <w:t>Causal pathogen</w:t>
      </w:r>
    </w:p>
    <w:p w14:paraId="6E72C7B5" w14:textId="3EBE623A" w:rsidR="00F24D81" w:rsidRPr="008834CE" w:rsidRDefault="00757C40" w:rsidP="00757C40">
      <w:pPr>
        <w:pStyle w:val="paraA0"/>
        <w:rPr>
          <w:lang w:val="en-IE"/>
        </w:rPr>
      </w:pPr>
      <w:r w:rsidRPr="00FD132C">
        <w:rPr>
          <w:lang w:val="en-IE"/>
        </w:rPr>
        <w:t xml:space="preserve">Without an isolatable causal agent, cases can only be conclusively confirmed post-mortem by the accumulation in the central nervous system (CNS) of </w:t>
      </w:r>
      <w:r w:rsidR="00BD3CCA" w:rsidRPr="00FD132C">
        <w:rPr>
          <w:lang w:val="en-IE"/>
        </w:rPr>
        <w:t xml:space="preserve">abnormal </w:t>
      </w:r>
      <w:r w:rsidRPr="00FD132C">
        <w:rPr>
          <w:lang w:val="en-IE"/>
        </w:rPr>
        <w:t>prion protein (</w:t>
      </w:r>
      <w:proofErr w:type="spellStart"/>
      <w:r w:rsidRPr="00FD132C">
        <w:rPr>
          <w:lang w:val="en-IE"/>
        </w:rPr>
        <w:t>PrP</w:t>
      </w:r>
      <w:r w:rsidRPr="004E3697">
        <w:rPr>
          <w:szCs w:val="14"/>
          <w:vertAlign w:val="superscript"/>
          <w:lang w:val="en-IE"/>
        </w:rPr>
        <w:t>Sc</w:t>
      </w:r>
      <w:proofErr w:type="spellEnd"/>
      <w:r w:rsidRPr="00FD132C">
        <w:rPr>
          <w:lang w:val="en-IE"/>
        </w:rPr>
        <w:t xml:space="preserve">, </w:t>
      </w:r>
      <w:proofErr w:type="spellStart"/>
      <w:r w:rsidRPr="00FD132C">
        <w:rPr>
          <w:lang w:val="en-IE"/>
        </w:rPr>
        <w:t>PrP</w:t>
      </w:r>
      <w:r w:rsidRPr="004E3697">
        <w:rPr>
          <w:szCs w:val="14"/>
          <w:vertAlign w:val="superscript"/>
          <w:lang w:val="en-IE"/>
        </w:rPr>
        <w:t>d</w:t>
      </w:r>
      <w:proofErr w:type="spellEnd"/>
      <w:r w:rsidRPr="00FD132C">
        <w:rPr>
          <w:lang w:val="en-IE"/>
        </w:rPr>
        <w:t xml:space="preserve"> or </w:t>
      </w:r>
      <w:proofErr w:type="spellStart"/>
      <w:r w:rsidRPr="00FD132C">
        <w:rPr>
          <w:lang w:val="en-IE"/>
        </w:rPr>
        <w:t>PrP</w:t>
      </w:r>
      <w:r w:rsidRPr="004E3697">
        <w:rPr>
          <w:szCs w:val="14"/>
          <w:vertAlign w:val="superscript"/>
          <w:lang w:val="en-IE"/>
        </w:rPr>
        <w:t>res</w:t>
      </w:r>
      <w:proofErr w:type="spellEnd"/>
      <w:r w:rsidRPr="00FD132C">
        <w:rPr>
          <w:lang w:val="en-IE"/>
        </w:rPr>
        <w:t xml:space="preserve">), a partially protease-resistant </w:t>
      </w:r>
      <w:r w:rsidRPr="00FD132C">
        <w:rPr>
          <w:lang w:val="en-IE"/>
        </w:rPr>
        <w:lastRenderedPageBreak/>
        <w:t>isoform of a host-encoded protein (</w:t>
      </w:r>
      <w:proofErr w:type="spellStart"/>
      <w:r w:rsidRPr="00FD132C">
        <w:rPr>
          <w:lang w:val="en-IE"/>
        </w:rPr>
        <w:t>PrP</w:t>
      </w:r>
      <w:r w:rsidRPr="004E3697">
        <w:rPr>
          <w:vertAlign w:val="superscript"/>
          <w:lang w:val="en-IE"/>
        </w:rPr>
        <w:t>C</w:t>
      </w:r>
      <w:proofErr w:type="spellEnd"/>
      <w:r w:rsidRPr="00FD132C">
        <w:rPr>
          <w:color w:val="000000"/>
          <w:lang w:val="en-IE"/>
        </w:rPr>
        <w:t xml:space="preserve">). The prion hypothesis proposes that the agent is composed entirely of </w:t>
      </w:r>
      <w:proofErr w:type="spellStart"/>
      <w:r w:rsidRPr="00FD132C">
        <w:rPr>
          <w:color w:val="000000"/>
          <w:lang w:val="en-IE"/>
        </w:rPr>
        <w:t>PrP</w:t>
      </w:r>
      <w:r w:rsidRPr="004E3697">
        <w:rPr>
          <w:szCs w:val="14"/>
          <w:vertAlign w:val="superscript"/>
          <w:lang w:val="en-IE"/>
        </w:rPr>
        <w:t>Sc</w:t>
      </w:r>
      <w:proofErr w:type="spellEnd"/>
      <w:r w:rsidRPr="00FD132C">
        <w:rPr>
          <w:color w:val="000000"/>
          <w:lang w:val="en-IE"/>
        </w:rPr>
        <w:t xml:space="preserve">, which is capable of inducing conversion of </w:t>
      </w:r>
      <w:proofErr w:type="spellStart"/>
      <w:r w:rsidRPr="00FD132C">
        <w:rPr>
          <w:color w:val="000000"/>
          <w:lang w:val="en-IE"/>
        </w:rPr>
        <w:t>PrP</w:t>
      </w:r>
      <w:r w:rsidRPr="004E3697">
        <w:rPr>
          <w:vertAlign w:val="superscript"/>
          <w:lang w:val="en-IE"/>
        </w:rPr>
        <w:t>C</w:t>
      </w:r>
      <w:proofErr w:type="spellEnd"/>
      <w:r w:rsidRPr="00FD132C">
        <w:rPr>
          <w:color w:val="000000"/>
          <w:lang w:val="en-IE"/>
        </w:rPr>
        <w:t xml:space="preserve">. </w:t>
      </w:r>
      <w:r w:rsidRPr="00FD132C">
        <w:rPr>
          <w:lang w:val="en-IE"/>
        </w:rPr>
        <w:t xml:space="preserve">Pathological and bioassay characterisation showed that the BSE </w:t>
      </w:r>
      <w:r w:rsidR="009F4802" w:rsidRPr="00FD132C">
        <w:rPr>
          <w:lang w:val="en-IE"/>
        </w:rPr>
        <w:t>epizootic</w:t>
      </w:r>
      <w:r w:rsidRPr="00FD132C">
        <w:rPr>
          <w:lang w:val="en-IE"/>
        </w:rPr>
        <w:t xml:space="preserve"> was sustained by a single strain, and consistently distinctive neuropathology and </w:t>
      </w:r>
      <w:proofErr w:type="spellStart"/>
      <w:r w:rsidRPr="00FD132C">
        <w:rPr>
          <w:lang w:val="en-IE"/>
        </w:rPr>
        <w:t>PrP</w:t>
      </w:r>
      <w:r w:rsidRPr="004E3697">
        <w:rPr>
          <w:szCs w:val="14"/>
          <w:vertAlign w:val="superscript"/>
          <w:lang w:val="en-IE"/>
        </w:rPr>
        <w:t>Sc</w:t>
      </w:r>
      <w:proofErr w:type="spellEnd"/>
      <w:r w:rsidRPr="00FD132C">
        <w:rPr>
          <w:lang w:val="en-IE"/>
        </w:rPr>
        <w:t xml:space="preserve"> molecular profiles in clinically affected animals were the basis for the case definition of C-type BSE. Since 2003, reports of variant pathology or molecular characteristics in aged cattle from </w:t>
      </w:r>
      <w:r w:rsidR="00BD3CCA" w:rsidRPr="00FD132C">
        <w:rPr>
          <w:lang w:val="en-IE"/>
        </w:rPr>
        <w:t xml:space="preserve">many </w:t>
      </w:r>
      <w:r w:rsidRPr="00FD132C">
        <w:rPr>
          <w:lang w:val="en-IE"/>
        </w:rPr>
        <w:t xml:space="preserve">countries have indicated agent strain variation </w:t>
      </w:r>
      <w:r w:rsidRPr="008834CE">
        <w:rPr>
          <w:lang w:val="en-IE"/>
        </w:rPr>
        <w:t>(</w:t>
      </w:r>
      <w:proofErr w:type="spellStart"/>
      <w:r w:rsidRPr="008834CE">
        <w:rPr>
          <w:lang w:val="en-IE"/>
        </w:rPr>
        <w:t>Biacabe</w:t>
      </w:r>
      <w:proofErr w:type="spellEnd"/>
      <w:r w:rsidRPr="008834CE">
        <w:rPr>
          <w:lang w:val="en-IE"/>
        </w:rPr>
        <w:t xml:space="preserve"> </w:t>
      </w:r>
      <w:r w:rsidRPr="008834CE">
        <w:rPr>
          <w:i/>
          <w:lang w:val="en-IE"/>
        </w:rPr>
        <w:t>et al.,</w:t>
      </w:r>
      <w:r w:rsidRPr="008834CE">
        <w:rPr>
          <w:lang w:val="en-IE"/>
        </w:rPr>
        <w:t xml:space="preserve"> 2004; </w:t>
      </w:r>
      <w:proofErr w:type="spellStart"/>
      <w:r w:rsidRPr="008834CE">
        <w:rPr>
          <w:lang w:val="en-IE"/>
        </w:rPr>
        <w:t>Casalone</w:t>
      </w:r>
      <w:proofErr w:type="spellEnd"/>
      <w:r w:rsidRPr="008834CE">
        <w:rPr>
          <w:lang w:val="en-IE"/>
        </w:rPr>
        <w:t xml:space="preserve"> </w:t>
      </w:r>
      <w:r w:rsidRPr="008834CE">
        <w:rPr>
          <w:i/>
          <w:lang w:val="en-IE"/>
        </w:rPr>
        <w:t>et al.,</w:t>
      </w:r>
      <w:r w:rsidRPr="008834CE">
        <w:rPr>
          <w:lang w:val="en-IE"/>
        </w:rPr>
        <w:t xml:space="preserve"> 2004). </w:t>
      </w:r>
    </w:p>
    <w:p w14:paraId="3EF41C02" w14:textId="73FEB3ED" w:rsidR="00757C40" w:rsidRPr="008834CE" w:rsidRDefault="00757C40" w:rsidP="0044442B">
      <w:pPr>
        <w:pStyle w:val="para1"/>
        <w:rPr>
          <w:lang w:val="en-IE"/>
        </w:rPr>
      </w:pPr>
      <w:r w:rsidRPr="008834CE">
        <w:t xml:space="preserve">So far, </w:t>
      </w:r>
      <w:r w:rsidR="00380124" w:rsidRPr="008834CE">
        <w:rPr>
          <w:u w:val="double"/>
        </w:rPr>
        <w:t>more than</w:t>
      </w:r>
      <w:r w:rsidR="00380124" w:rsidRPr="008834CE">
        <w:t xml:space="preserve"> </w:t>
      </w:r>
      <w:r w:rsidRPr="008834CE">
        <w:rPr>
          <w:strike/>
        </w:rPr>
        <w:t xml:space="preserve">approximately </w:t>
      </w:r>
      <w:r w:rsidRPr="008834CE">
        <w:t xml:space="preserve">100 atypical BSE cases have been recognised that differ in their molecular profiles by Western immunoblotting from </w:t>
      </w:r>
      <w:r w:rsidR="00F24D81" w:rsidRPr="008834CE">
        <w:t xml:space="preserve">C-type </w:t>
      </w:r>
      <w:r w:rsidRPr="008834CE">
        <w:t xml:space="preserve">BSE. </w:t>
      </w:r>
      <w:r w:rsidRPr="008834CE">
        <w:rPr>
          <w:lang w:val="en-IE"/>
        </w:rPr>
        <w:t xml:space="preserve">Bioassay data support the hypothesis that these </w:t>
      </w:r>
      <w:r w:rsidR="00B16ED5" w:rsidRPr="008834CE">
        <w:rPr>
          <w:lang w:val="en-IE"/>
        </w:rPr>
        <w:t>strains</w:t>
      </w:r>
      <w:r w:rsidRPr="008834CE">
        <w:rPr>
          <w:lang w:val="en-IE"/>
        </w:rPr>
        <w:t xml:space="preserve"> are biologically distinct from </w:t>
      </w:r>
      <w:r w:rsidR="00F24D81" w:rsidRPr="008834CE">
        <w:t xml:space="preserve">C-type </w:t>
      </w:r>
      <w:r w:rsidRPr="008834CE">
        <w:rPr>
          <w:lang w:val="en-IE"/>
        </w:rPr>
        <w:t>BSE (</w:t>
      </w:r>
      <w:proofErr w:type="spellStart"/>
      <w:r w:rsidRPr="008834CE">
        <w:t>Beringue</w:t>
      </w:r>
      <w:proofErr w:type="spellEnd"/>
      <w:r w:rsidRPr="008834CE">
        <w:rPr>
          <w:lang w:val="en-IE"/>
        </w:rPr>
        <w:t xml:space="preserve"> </w:t>
      </w:r>
      <w:r w:rsidRPr="008834CE">
        <w:rPr>
          <w:i/>
          <w:lang w:val="en-IE"/>
        </w:rPr>
        <w:t>et al.,</w:t>
      </w:r>
      <w:r w:rsidRPr="008834CE">
        <w:rPr>
          <w:lang w:val="en-IE"/>
        </w:rPr>
        <w:t xml:space="preserve"> 2006; </w:t>
      </w:r>
      <w:r w:rsidRPr="008834CE">
        <w:rPr>
          <w:lang w:eastAsia="en-GB"/>
        </w:rPr>
        <w:t xml:space="preserve">Lombardi </w:t>
      </w:r>
      <w:r w:rsidRPr="008834CE">
        <w:rPr>
          <w:i/>
          <w:lang w:eastAsia="en-GB"/>
        </w:rPr>
        <w:t>et al.,</w:t>
      </w:r>
      <w:r w:rsidRPr="008834CE">
        <w:rPr>
          <w:lang w:eastAsia="en-GB"/>
        </w:rPr>
        <w:t xml:space="preserve"> 2008; Okada </w:t>
      </w:r>
      <w:r w:rsidRPr="008834CE">
        <w:rPr>
          <w:i/>
          <w:lang w:eastAsia="en-GB"/>
        </w:rPr>
        <w:t>et al.,</w:t>
      </w:r>
      <w:r w:rsidRPr="008834CE">
        <w:rPr>
          <w:lang w:eastAsia="en-GB"/>
        </w:rPr>
        <w:t xml:space="preserve"> 2011</w:t>
      </w:r>
      <w:r w:rsidRPr="008834CE">
        <w:rPr>
          <w:lang w:val="en-IE"/>
        </w:rPr>
        <w:t xml:space="preserve">). </w:t>
      </w:r>
      <w:r w:rsidR="00B16ED5" w:rsidRPr="008834CE">
        <w:rPr>
          <w:lang w:val="en-IE"/>
        </w:rPr>
        <w:t xml:space="preserve">The </w:t>
      </w:r>
      <w:r w:rsidR="00BD3CCA" w:rsidRPr="008834CE">
        <w:rPr>
          <w:lang w:val="en-IE"/>
        </w:rPr>
        <w:t xml:space="preserve">two </w:t>
      </w:r>
      <w:r w:rsidR="00B16ED5" w:rsidRPr="008834CE">
        <w:rPr>
          <w:lang w:val="en-IE"/>
        </w:rPr>
        <w:t>atypical forms are operationally defined as BASE (bovine amyloidotic spongiform encephalopathy) or L-type</w:t>
      </w:r>
      <w:r w:rsidR="00457A79" w:rsidRPr="008834CE">
        <w:rPr>
          <w:lang w:val="en-IE"/>
        </w:rPr>
        <w:t>,</w:t>
      </w:r>
      <w:r w:rsidR="00B16ED5" w:rsidRPr="008834CE">
        <w:rPr>
          <w:lang w:val="en-IE"/>
        </w:rPr>
        <w:t xml:space="preserve"> and H-type BSE based on the </w:t>
      </w:r>
      <w:r w:rsidR="00C51F47" w:rsidRPr="008834CE">
        <w:rPr>
          <w:lang w:val="en-IE"/>
        </w:rPr>
        <w:t xml:space="preserve">lower or higher </w:t>
      </w:r>
      <w:r w:rsidR="00B16ED5" w:rsidRPr="008834CE">
        <w:rPr>
          <w:lang w:val="en-IE"/>
        </w:rPr>
        <w:t xml:space="preserve">mass </w:t>
      </w:r>
      <w:r w:rsidR="00C51F47" w:rsidRPr="008834CE">
        <w:rPr>
          <w:lang w:val="en-IE"/>
        </w:rPr>
        <w:t xml:space="preserve">respectively </w:t>
      </w:r>
      <w:r w:rsidR="00B16ED5" w:rsidRPr="008834CE">
        <w:rPr>
          <w:lang w:val="en-IE"/>
        </w:rPr>
        <w:t xml:space="preserve">of the </w:t>
      </w:r>
      <w:proofErr w:type="spellStart"/>
      <w:r w:rsidR="00B16ED5" w:rsidRPr="008834CE">
        <w:rPr>
          <w:lang w:val="en-IE"/>
        </w:rPr>
        <w:t>unglycosylated</w:t>
      </w:r>
      <w:proofErr w:type="spellEnd"/>
      <w:r w:rsidR="00B16ED5" w:rsidRPr="008834CE">
        <w:rPr>
          <w:lang w:val="en-IE"/>
        </w:rPr>
        <w:t xml:space="preserve"> </w:t>
      </w:r>
      <w:proofErr w:type="spellStart"/>
      <w:r w:rsidR="00B16ED5" w:rsidRPr="008834CE">
        <w:rPr>
          <w:lang w:val="en-IE"/>
        </w:rPr>
        <w:t>PrP</w:t>
      </w:r>
      <w:r w:rsidR="00615A91" w:rsidRPr="008834CE">
        <w:rPr>
          <w:szCs w:val="14"/>
          <w:vertAlign w:val="superscript"/>
          <w:lang w:val="en-IE"/>
        </w:rPr>
        <w:t>Sc</w:t>
      </w:r>
      <w:proofErr w:type="spellEnd"/>
      <w:r w:rsidR="00B16ED5" w:rsidRPr="008834CE">
        <w:rPr>
          <w:lang w:val="en-IE"/>
        </w:rPr>
        <w:t xml:space="preserve"> fragment in Western </w:t>
      </w:r>
      <w:r w:rsidR="00242EA8" w:rsidRPr="008834CE">
        <w:rPr>
          <w:lang w:val="en-IE"/>
        </w:rPr>
        <w:t>immuno</w:t>
      </w:r>
      <w:r w:rsidR="00B16ED5" w:rsidRPr="008834CE">
        <w:rPr>
          <w:lang w:val="en-IE"/>
        </w:rPr>
        <w:t xml:space="preserve">blots </w:t>
      </w:r>
      <w:r w:rsidR="00C51F47" w:rsidRPr="008834CE">
        <w:rPr>
          <w:lang w:val="en-IE"/>
        </w:rPr>
        <w:t xml:space="preserve">compared to C-type BSE </w:t>
      </w:r>
      <w:r w:rsidR="00B16ED5" w:rsidRPr="008834CE">
        <w:rPr>
          <w:lang w:val="en-IE"/>
        </w:rPr>
        <w:t>(</w:t>
      </w:r>
      <w:proofErr w:type="spellStart"/>
      <w:r w:rsidR="00B16ED5" w:rsidRPr="008834CE">
        <w:t>Casalone</w:t>
      </w:r>
      <w:proofErr w:type="spellEnd"/>
      <w:r w:rsidR="00B16ED5" w:rsidRPr="008834CE">
        <w:rPr>
          <w:lang w:val="en-IE"/>
        </w:rPr>
        <w:t xml:space="preserve"> </w:t>
      </w:r>
      <w:r w:rsidR="00B16ED5" w:rsidRPr="008834CE">
        <w:rPr>
          <w:i/>
          <w:lang w:val="en-IE"/>
        </w:rPr>
        <w:t>et al.,</w:t>
      </w:r>
      <w:r w:rsidR="00B16ED5" w:rsidRPr="008834CE">
        <w:rPr>
          <w:lang w:val="en-IE"/>
        </w:rPr>
        <w:t xml:space="preserve"> 2004; Jacob </w:t>
      </w:r>
      <w:r w:rsidR="00B16ED5" w:rsidRPr="008834CE">
        <w:rPr>
          <w:i/>
          <w:lang w:val="en-IE"/>
        </w:rPr>
        <w:t>et al.,</w:t>
      </w:r>
      <w:r w:rsidR="00B16ED5" w:rsidRPr="008834CE">
        <w:rPr>
          <w:lang w:val="en-IE"/>
        </w:rPr>
        <w:t xml:space="preserve"> 2007). </w:t>
      </w:r>
    </w:p>
    <w:p w14:paraId="7BF8DC7B" w14:textId="7C9644DC" w:rsidR="00A147CF" w:rsidRPr="008834CE" w:rsidRDefault="00F24D81" w:rsidP="001B4DB6">
      <w:pPr>
        <w:pStyle w:val="1"/>
        <w:rPr>
          <w:lang w:val="en-IE"/>
        </w:rPr>
      </w:pPr>
      <w:r w:rsidRPr="008834CE">
        <w:t>3</w:t>
      </w:r>
      <w:r w:rsidR="00A147CF" w:rsidRPr="008834CE">
        <w:t>.</w:t>
      </w:r>
      <w:r w:rsidR="00A147CF" w:rsidRPr="008834CE">
        <w:tab/>
      </w:r>
      <w:r w:rsidR="00A147CF" w:rsidRPr="008834CE">
        <w:rPr>
          <w:lang w:val="en-IE"/>
        </w:rPr>
        <w:t>Zoonotic risk and biosafety requirements</w:t>
      </w:r>
    </w:p>
    <w:p w14:paraId="684C28A9" w14:textId="78EC9CCE" w:rsidR="004D526C" w:rsidRPr="00FD132C" w:rsidRDefault="00C27990" w:rsidP="008E2040">
      <w:pPr>
        <w:pStyle w:val="paraA0"/>
        <w:rPr>
          <w:lang w:val="en-IE"/>
        </w:rPr>
      </w:pPr>
      <w:r w:rsidRPr="008834CE">
        <w:rPr>
          <w:lang w:val="en-IE"/>
        </w:rPr>
        <w:t>The emergence of</w:t>
      </w:r>
      <w:r w:rsidR="00F210F4" w:rsidRPr="008834CE">
        <w:rPr>
          <w:lang w:val="en-IE"/>
        </w:rPr>
        <w:t xml:space="preserve"> </w:t>
      </w:r>
      <w:r w:rsidR="00F24D81" w:rsidRPr="008834CE">
        <w:rPr>
          <w:lang w:val="en-IE"/>
        </w:rPr>
        <w:t>variant Creutzfeldt-Jakob disease (</w:t>
      </w:r>
      <w:proofErr w:type="spellStart"/>
      <w:r w:rsidRPr="008834CE">
        <w:rPr>
          <w:lang w:val="en-IE"/>
        </w:rPr>
        <w:t>vCJD</w:t>
      </w:r>
      <w:proofErr w:type="spellEnd"/>
      <w:r w:rsidR="00F24D81" w:rsidRPr="008834CE">
        <w:rPr>
          <w:lang w:val="en-IE"/>
        </w:rPr>
        <w:t>)</w:t>
      </w:r>
      <w:r w:rsidR="009259ED" w:rsidRPr="008834CE">
        <w:rPr>
          <w:lang w:val="en-IE"/>
        </w:rPr>
        <w:t xml:space="preserve"> in </w:t>
      </w:r>
      <w:r w:rsidR="009E7118" w:rsidRPr="008834CE">
        <w:rPr>
          <w:lang w:val="en-IE"/>
        </w:rPr>
        <w:t>hu</w:t>
      </w:r>
      <w:r w:rsidR="009259ED" w:rsidRPr="008834CE">
        <w:rPr>
          <w:lang w:val="en-IE"/>
        </w:rPr>
        <w:t>man</w:t>
      </w:r>
      <w:r w:rsidR="009E7118" w:rsidRPr="008834CE">
        <w:rPr>
          <w:lang w:val="en-IE"/>
        </w:rPr>
        <w:t>s</w:t>
      </w:r>
      <w:r w:rsidR="00052858" w:rsidRPr="008834CE">
        <w:rPr>
          <w:lang w:val="en-IE"/>
        </w:rPr>
        <w:t xml:space="preserve"> </w:t>
      </w:r>
      <w:r w:rsidRPr="008834CE">
        <w:rPr>
          <w:lang w:val="en-IE"/>
        </w:rPr>
        <w:t>has been</w:t>
      </w:r>
      <w:r w:rsidR="00F210F4" w:rsidRPr="008834CE">
        <w:rPr>
          <w:lang w:val="en-IE"/>
        </w:rPr>
        <w:t xml:space="preserve"> </w:t>
      </w:r>
      <w:r w:rsidRPr="008834CE">
        <w:rPr>
          <w:lang w:val="en-IE"/>
        </w:rPr>
        <w:t>causally linked</w:t>
      </w:r>
      <w:r w:rsidR="009259ED" w:rsidRPr="008834CE">
        <w:rPr>
          <w:lang w:val="en-IE"/>
        </w:rPr>
        <w:t xml:space="preserve"> to ingestion of</w:t>
      </w:r>
      <w:r w:rsidRPr="008834CE">
        <w:rPr>
          <w:lang w:val="en-IE"/>
        </w:rPr>
        <w:t xml:space="preserve"> </w:t>
      </w:r>
      <w:r w:rsidR="00A147CF" w:rsidRPr="008834CE">
        <w:rPr>
          <w:lang w:val="en-IE"/>
        </w:rPr>
        <w:t>C-</w:t>
      </w:r>
      <w:r w:rsidR="00BB1EA8" w:rsidRPr="008834CE">
        <w:rPr>
          <w:lang w:val="en-IE"/>
        </w:rPr>
        <w:t xml:space="preserve">type </w:t>
      </w:r>
      <w:r w:rsidRPr="008834CE">
        <w:rPr>
          <w:lang w:val="en-IE"/>
        </w:rPr>
        <w:t>BSE</w:t>
      </w:r>
      <w:r w:rsidR="000A79E9" w:rsidRPr="008834CE">
        <w:rPr>
          <w:lang w:val="en-IE"/>
        </w:rPr>
        <w:t xml:space="preserve"> (</w:t>
      </w:r>
      <w:r w:rsidR="00AF6FBF" w:rsidRPr="008834CE">
        <w:t>Bruce</w:t>
      </w:r>
      <w:r w:rsidR="00AF6FBF" w:rsidRPr="008834CE">
        <w:rPr>
          <w:lang w:val="en-IE"/>
        </w:rPr>
        <w:t xml:space="preserve"> </w:t>
      </w:r>
      <w:r w:rsidR="00AF6FBF" w:rsidRPr="008834CE">
        <w:rPr>
          <w:i/>
          <w:lang w:val="en-IE"/>
        </w:rPr>
        <w:t>et al.,</w:t>
      </w:r>
      <w:r w:rsidR="00AF6FBF" w:rsidRPr="008834CE">
        <w:rPr>
          <w:lang w:val="en-IE"/>
        </w:rPr>
        <w:t xml:space="preserve"> 1997</w:t>
      </w:r>
      <w:r w:rsidR="00052858" w:rsidRPr="008834CE">
        <w:rPr>
          <w:lang w:val="en-IE"/>
        </w:rPr>
        <w:t>)</w:t>
      </w:r>
      <w:r w:rsidR="008D746C" w:rsidRPr="008834CE">
        <w:rPr>
          <w:lang w:val="en-IE"/>
        </w:rPr>
        <w:t>.</w:t>
      </w:r>
      <w:r w:rsidR="00F210F4" w:rsidRPr="008834CE">
        <w:rPr>
          <w:lang w:val="en-IE"/>
        </w:rPr>
        <w:t xml:space="preserve"> </w:t>
      </w:r>
      <w:r w:rsidR="00A147CF" w:rsidRPr="008834CE">
        <w:t xml:space="preserve">It is not known whether atypical cases </w:t>
      </w:r>
      <w:r w:rsidR="00C51F47" w:rsidRPr="008834CE">
        <w:t>are causally linked</w:t>
      </w:r>
      <w:r w:rsidR="00A147CF" w:rsidRPr="008834CE">
        <w:t xml:space="preserve"> to forms of human prion diseases. </w:t>
      </w:r>
      <w:r w:rsidR="009259ED" w:rsidRPr="008834CE">
        <w:rPr>
          <w:lang w:val="en-IE"/>
        </w:rPr>
        <w:t>R</w:t>
      </w:r>
      <w:r w:rsidRPr="008834CE">
        <w:rPr>
          <w:lang w:val="en-IE"/>
        </w:rPr>
        <w:t>ecommended safety precautions for handling the</w:t>
      </w:r>
      <w:r w:rsidR="00F210F4" w:rsidRPr="008834CE">
        <w:rPr>
          <w:lang w:val="en-IE"/>
        </w:rPr>
        <w:t xml:space="preserve"> </w:t>
      </w:r>
      <w:r w:rsidRPr="008834CE">
        <w:rPr>
          <w:lang w:val="en-IE"/>
        </w:rPr>
        <w:t xml:space="preserve">agent </w:t>
      </w:r>
      <w:r w:rsidR="009259ED" w:rsidRPr="008834CE">
        <w:rPr>
          <w:lang w:val="en-IE"/>
        </w:rPr>
        <w:t>are b</w:t>
      </w:r>
      <w:r w:rsidRPr="008834CE">
        <w:rPr>
          <w:lang w:val="en-IE"/>
        </w:rPr>
        <w:t xml:space="preserve">ased on the assumption that </w:t>
      </w:r>
      <w:r w:rsidR="00C51F47" w:rsidRPr="008834CE">
        <w:rPr>
          <w:lang w:val="en-IE"/>
        </w:rPr>
        <w:t xml:space="preserve">all forms of </w:t>
      </w:r>
      <w:r w:rsidRPr="008834CE">
        <w:rPr>
          <w:lang w:val="en-IE"/>
        </w:rPr>
        <w:t xml:space="preserve">BSE </w:t>
      </w:r>
      <w:r w:rsidR="00C51F47" w:rsidRPr="008834CE">
        <w:rPr>
          <w:lang w:val="en-IE"/>
        </w:rPr>
        <w:t>are</w:t>
      </w:r>
      <w:r w:rsidR="009259ED" w:rsidRPr="008834CE">
        <w:rPr>
          <w:lang w:val="en-IE"/>
        </w:rPr>
        <w:t xml:space="preserve"> zoonotic</w:t>
      </w:r>
      <w:r w:rsidR="002179B9" w:rsidRPr="008834CE">
        <w:rPr>
          <w:i/>
          <w:iCs/>
          <w:lang w:val="en-IE"/>
        </w:rPr>
        <w:t>.</w:t>
      </w:r>
      <w:r w:rsidR="00F210F4" w:rsidRPr="008834CE">
        <w:rPr>
          <w:lang w:val="en-IE"/>
        </w:rPr>
        <w:t xml:space="preserve"> </w:t>
      </w:r>
      <w:r w:rsidR="009259ED" w:rsidRPr="008834CE">
        <w:rPr>
          <w:lang w:val="en-IE"/>
        </w:rPr>
        <w:t>B</w:t>
      </w:r>
      <w:r w:rsidRPr="008834CE">
        <w:rPr>
          <w:lang w:val="en-IE"/>
        </w:rPr>
        <w:t xml:space="preserve">iocontainment for necropsies </w:t>
      </w:r>
      <w:r w:rsidR="001E7B00" w:rsidRPr="008834CE">
        <w:rPr>
          <w:lang w:val="en-IE"/>
        </w:rPr>
        <w:t>and tissue handling</w:t>
      </w:r>
      <w:r w:rsidR="001E7B00" w:rsidRPr="00FD132C">
        <w:rPr>
          <w:lang w:val="en-IE"/>
        </w:rPr>
        <w:t xml:space="preserve"> should be</w:t>
      </w:r>
      <w:r w:rsidR="00F210F4" w:rsidRPr="00FD132C">
        <w:rPr>
          <w:lang w:val="en-IE"/>
        </w:rPr>
        <w:t xml:space="preserve"> </w:t>
      </w:r>
      <w:r w:rsidR="001E7B00" w:rsidRPr="00FD132C">
        <w:rPr>
          <w:lang w:val="en-IE"/>
        </w:rPr>
        <w:t>risk-based and compliant with relevant national regulations;</w:t>
      </w:r>
      <w:r w:rsidR="00F210F4" w:rsidRPr="00FD132C">
        <w:rPr>
          <w:lang w:val="en-IE"/>
        </w:rPr>
        <w:t xml:space="preserve"> </w:t>
      </w:r>
      <w:r w:rsidR="001E7B00" w:rsidRPr="00FD132C">
        <w:rPr>
          <w:lang w:val="en-IE"/>
        </w:rPr>
        <w:t>any</w:t>
      </w:r>
      <w:r w:rsidRPr="00FD132C">
        <w:rPr>
          <w:lang w:val="en-IE"/>
        </w:rPr>
        <w:t xml:space="preserve"> procedure </w:t>
      </w:r>
      <w:r w:rsidR="002179B9" w:rsidRPr="00FD132C">
        <w:rPr>
          <w:lang w:val="en-IE"/>
        </w:rPr>
        <w:t xml:space="preserve">creating </w:t>
      </w:r>
      <w:r w:rsidRPr="00FD132C">
        <w:rPr>
          <w:lang w:val="en-IE"/>
        </w:rPr>
        <w:t xml:space="preserve">aerosols must </w:t>
      </w:r>
      <w:r w:rsidR="004D526C" w:rsidRPr="00FD132C">
        <w:t xml:space="preserve">be performed </w:t>
      </w:r>
      <w:r w:rsidR="004D526C" w:rsidRPr="00FD132C">
        <w:rPr>
          <w:lang w:val="en-IE"/>
        </w:rPr>
        <w:t xml:space="preserve">at an appropriate biosafety and containment level determined by </w:t>
      </w:r>
      <w:proofErr w:type="spellStart"/>
      <w:r w:rsidR="004D526C" w:rsidRPr="00FD132C">
        <w:rPr>
          <w:lang w:val="en-IE"/>
        </w:rPr>
        <w:t>biorisk</w:t>
      </w:r>
      <w:proofErr w:type="spellEnd"/>
      <w:r w:rsidR="004D526C" w:rsidRPr="00FD132C">
        <w:rPr>
          <w:lang w:val="en-IE"/>
        </w:rPr>
        <w:t xml:space="preserve"> analysis</w:t>
      </w:r>
      <w:r w:rsidR="004D526C" w:rsidRPr="00FD132C" w:rsidDel="004D526C">
        <w:rPr>
          <w:lang w:val="en-IE"/>
        </w:rPr>
        <w:t xml:space="preserve"> </w:t>
      </w:r>
      <w:r w:rsidRPr="00FD132C">
        <w:rPr>
          <w:lang w:val="en-IE"/>
        </w:rPr>
        <w:t>(see Chapter 1.1.</w:t>
      </w:r>
      <w:r w:rsidR="000D0B05">
        <w:rPr>
          <w:lang w:val="en-IE"/>
        </w:rPr>
        <w:t>4</w:t>
      </w:r>
      <w:r w:rsidR="00293E5A" w:rsidRPr="00FD132C">
        <w:t xml:space="preserve"> </w:t>
      </w:r>
      <w:r w:rsidR="008E2040" w:rsidRPr="00FD132C">
        <w:rPr>
          <w:i/>
        </w:rPr>
        <w:t xml:space="preserve">Biosafety and biosecurity: </w:t>
      </w:r>
      <w:r w:rsidR="000D0B05" w:rsidRPr="00FD132C">
        <w:rPr>
          <w:i/>
        </w:rPr>
        <w:t xml:space="preserve">Standard </w:t>
      </w:r>
      <w:r w:rsidR="008E2040" w:rsidRPr="00FD132C">
        <w:rPr>
          <w:i/>
        </w:rPr>
        <w:t>for managing biological risk in the veterinary laboratory and animal facilities</w:t>
      </w:r>
      <w:r w:rsidR="00293E5A" w:rsidRPr="00FD132C">
        <w:rPr>
          <w:lang w:val="en-IE"/>
        </w:rPr>
        <w:t xml:space="preserve">), and the laboratory must comply with national biocontainment and biosafety regulations to protect staff from exposure to the pathogen. </w:t>
      </w:r>
      <w:r w:rsidR="00050100" w:rsidRPr="00FD132C">
        <w:rPr>
          <w:lang w:val="en-IE"/>
        </w:rPr>
        <w:t>Recommended physical inactivation is by porous load autoclaving at 134°C–138°C for 18</w:t>
      </w:r>
      <w:r w:rsidR="00100261">
        <w:rPr>
          <w:lang w:val="en-IE"/>
        </w:rPr>
        <w:t> </w:t>
      </w:r>
      <w:r w:rsidR="00050100" w:rsidRPr="00FD132C">
        <w:rPr>
          <w:lang w:val="en-IE"/>
        </w:rPr>
        <w:t>minutes at 30 lb/in</w:t>
      </w:r>
      <w:r w:rsidR="00050100" w:rsidRPr="004E3697">
        <w:rPr>
          <w:vertAlign w:val="superscript"/>
          <w:lang w:val="en-IE"/>
        </w:rPr>
        <w:t>2</w:t>
      </w:r>
      <w:r w:rsidR="00050100" w:rsidRPr="00FD132C">
        <w:rPr>
          <w:lang w:val="en-IE"/>
        </w:rPr>
        <w:t xml:space="preserve"> (208 kPa or 2.2 bar)</w:t>
      </w:r>
      <w:r w:rsidR="00293E5A" w:rsidRPr="00FD132C">
        <w:rPr>
          <w:lang w:val="en-IE"/>
        </w:rPr>
        <w:t>. However, total inactivation may not be achieved under certain conditions, such as when the test material is in the form of a macerate</w:t>
      </w:r>
      <w:r w:rsidR="00050100" w:rsidRPr="00FD132C">
        <w:rPr>
          <w:lang w:val="en-IE"/>
        </w:rPr>
        <w:t>, of high titre or when the agent is protected within dried organic matter</w:t>
      </w:r>
      <w:r w:rsidR="00293E5A" w:rsidRPr="00FD132C">
        <w:rPr>
          <w:lang w:val="en-IE"/>
        </w:rPr>
        <w:t>.</w:t>
      </w:r>
      <w:r w:rsidR="00060B64" w:rsidRPr="00FD132C">
        <w:rPr>
          <w:lang w:val="en-IE"/>
        </w:rPr>
        <w:t xml:space="preserve"> </w:t>
      </w:r>
      <w:r w:rsidR="008D746C" w:rsidRPr="00FD132C">
        <w:rPr>
          <w:lang w:val="en-IE"/>
        </w:rPr>
        <w:t>Disinfection</w:t>
      </w:r>
      <w:r w:rsidR="00D20979" w:rsidRPr="00FD132C">
        <w:rPr>
          <w:lang w:val="en-IE"/>
        </w:rPr>
        <w:t xml:space="preserve"> of potential fomites</w:t>
      </w:r>
      <w:r w:rsidR="008D746C" w:rsidRPr="00FD132C">
        <w:rPr>
          <w:lang w:val="en-IE"/>
        </w:rPr>
        <w:t xml:space="preserve"> is carried out using sodium hypochlorite containing 2% available chlorine, or 2 N sodium hydroxide, applied for more than 1 hour at 20°C for surfaces, or overnight for </w:t>
      </w:r>
      <w:r w:rsidR="008D746C" w:rsidRPr="00FD132C">
        <w:rPr>
          <w:color w:val="000000"/>
          <w:lang w:val="en-IE"/>
        </w:rPr>
        <w:t>equipment</w:t>
      </w:r>
      <w:r w:rsidR="008D746C" w:rsidRPr="00FD132C">
        <w:rPr>
          <w:lang w:val="en-IE"/>
        </w:rPr>
        <w:t>.</w:t>
      </w:r>
    </w:p>
    <w:p w14:paraId="7BF8DC7D" w14:textId="4EC46819" w:rsidR="00050100" w:rsidRPr="00FD132C" w:rsidRDefault="00F24D81" w:rsidP="001B4DB6">
      <w:pPr>
        <w:pStyle w:val="1"/>
        <w:rPr>
          <w:lang w:val="en-IE"/>
        </w:rPr>
      </w:pPr>
      <w:r w:rsidRPr="00FD132C">
        <w:rPr>
          <w:lang w:val="en-IE"/>
        </w:rPr>
        <w:t>4</w:t>
      </w:r>
      <w:r w:rsidR="00A147CF" w:rsidRPr="00FD132C">
        <w:rPr>
          <w:lang w:val="en-IE"/>
        </w:rPr>
        <w:t>.</w:t>
      </w:r>
      <w:r w:rsidR="00A147CF" w:rsidRPr="00FD132C">
        <w:rPr>
          <w:lang w:val="en-IE"/>
        </w:rPr>
        <w:tab/>
      </w:r>
      <w:r w:rsidR="00AF2EF3" w:rsidRPr="00FD132C">
        <w:rPr>
          <w:lang w:val="en-IE"/>
        </w:rPr>
        <w:t>Differential diagnosis</w:t>
      </w:r>
    </w:p>
    <w:p w14:paraId="7BF8DC7E" w14:textId="0AE03A11" w:rsidR="00E87E02" w:rsidRPr="00FD132C" w:rsidRDefault="00050100" w:rsidP="00CD14A5">
      <w:pPr>
        <w:pStyle w:val="paraA0"/>
        <w:spacing w:after="480"/>
        <w:rPr>
          <w:color w:val="000000"/>
          <w:lang w:val="en-IE"/>
        </w:rPr>
      </w:pPr>
      <w:r w:rsidRPr="00FD132C">
        <w:rPr>
          <w:color w:val="000000"/>
          <w:lang w:val="en-IE"/>
        </w:rPr>
        <w:t xml:space="preserve">For differential diagnosis all types of neurological diseases in cattle should be taken into account, </w:t>
      </w:r>
      <w:r w:rsidR="007972A5" w:rsidRPr="00FD132C">
        <w:rPr>
          <w:color w:val="000000"/>
          <w:lang w:val="en-IE"/>
        </w:rPr>
        <w:t xml:space="preserve">including </w:t>
      </w:r>
      <w:r w:rsidRPr="00FD132C">
        <w:rPr>
          <w:color w:val="000000"/>
          <w:lang w:val="en-IE"/>
        </w:rPr>
        <w:t xml:space="preserve">infectious </w:t>
      </w:r>
      <w:r w:rsidR="007972A5" w:rsidRPr="00FD132C">
        <w:rPr>
          <w:color w:val="000000"/>
          <w:lang w:val="en-IE"/>
        </w:rPr>
        <w:t>encephalitis</w:t>
      </w:r>
      <w:r w:rsidRPr="00FD132C">
        <w:rPr>
          <w:color w:val="000000"/>
          <w:lang w:val="en-IE"/>
        </w:rPr>
        <w:t>, metabolic</w:t>
      </w:r>
      <w:r w:rsidR="007972A5" w:rsidRPr="00FD132C">
        <w:rPr>
          <w:color w:val="000000"/>
          <w:lang w:val="en-IE"/>
        </w:rPr>
        <w:t xml:space="preserve"> disorders (ketosis, hypomagnesaemia),</w:t>
      </w:r>
      <w:r w:rsidRPr="00FD132C">
        <w:rPr>
          <w:color w:val="000000"/>
          <w:lang w:val="en-IE"/>
        </w:rPr>
        <w:t xml:space="preserve"> </w:t>
      </w:r>
      <w:proofErr w:type="spellStart"/>
      <w:r w:rsidR="00C51F47" w:rsidRPr="00FD132C">
        <w:rPr>
          <w:color w:val="000000"/>
          <w:lang w:val="en-IE"/>
        </w:rPr>
        <w:t>toxicoses</w:t>
      </w:r>
      <w:proofErr w:type="spellEnd"/>
      <w:r w:rsidR="00C51F47" w:rsidRPr="00FD132C">
        <w:rPr>
          <w:color w:val="000000"/>
          <w:lang w:val="en-IE"/>
        </w:rPr>
        <w:t xml:space="preserve">, </w:t>
      </w:r>
      <w:r w:rsidRPr="00FD132C">
        <w:rPr>
          <w:color w:val="000000"/>
          <w:lang w:val="en-IE"/>
        </w:rPr>
        <w:t>neoplasi</w:t>
      </w:r>
      <w:r w:rsidR="007972A5" w:rsidRPr="00FD132C">
        <w:rPr>
          <w:color w:val="000000"/>
          <w:lang w:val="en-IE"/>
        </w:rPr>
        <w:t>a</w:t>
      </w:r>
      <w:r w:rsidR="00CD14A5" w:rsidRPr="00FD132C">
        <w:rPr>
          <w:color w:val="000000"/>
          <w:lang w:val="en-IE"/>
        </w:rPr>
        <w:t xml:space="preserve"> </w:t>
      </w:r>
      <w:r w:rsidRPr="00FD132C">
        <w:rPr>
          <w:color w:val="000000"/>
          <w:lang w:val="en-IE"/>
        </w:rPr>
        <w:t>and trauma.</w:t>
      </w:r>
      <w:r w:rsidR="007972A5" w:rsidRPr="00FD132C">
        <w:rPr>
          <w:color w:val="000000"/>
          <w:lang w:val="en-IE"/>
        </w:rPr>
        <w:t xml:space="preserve"> </w:t>
      </w:r>
    </w:p>
    <w:p w14:paraId="7BF8DC7F" w14:textId="77777777" w:rsidR="00C27990" w:rsidRPr="00FD132C" w:rsidRDefault="00C27990" w:rsidP="008E2040">
      <w:pPr>
        <w:pStyle w:val="A0"/>
        <w:outlineLvl w:val="0"/>
      </w:pPr>
      <w:r w:rsidRPr="00FD132C">
        <w:t>b.</w:t>
      </w:r>
      <w:r w:rsidR="00F210F4" w:rsidRPr="00FD132C">
        <w:t xml:space="preserve">  </w:t>
      </w:r>
      <w:r w:rsidRPr="00FD132C">
        <w:t>DIAGNOSTIC TECHNIQUES</w:t>
      </w:r>
    </w:p>
    <w:p w14:paraId="7BF8DC80" w14:textId="28666378" w:rsidR="002943E5" w:rsidRPr="00FD132C" w:rsidRDefault="002943E5" w:rsidP="002943E5">
      <w:pPr>
        <w:pStyle w:val="Tabletitle"/>
      </w:pPr>
      <w:r w:rsidRPr="00FD132C">
        <w:t xml:space="preserve">Table </w:t>
      </w:r>
      <w:r w:rsidR="000A31B1" w:rsidRPr="00FD132C">
        <w:rPr>
          <w:noProof/>
        </w:rPr>
        <w:t>1</w:t>
      </w:r>
      <w:r w:rsidRPr="00FD132C">
        <w:t xml:space="preserve">. </w:t>
      </w:r>
      <w:r w:rsidRPr="00FD132C">
        <w:rPr>
          <w:b w:val="0"/>
        </w:rPr>
        <w:t>Test methods available for the diagnosis of bovine spongiform encephalopathy 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2943E5" w:rsidRPr="00FD132C" w14:paraId="7BF8DC83" w14:textId="77777777" w:rsidTr="009C60AE">
        <w:trPr>
          <w:trHeight w:val="402"/>
          <w:tblHeader/>
          <w:jc w:val="center"/>
        </w:trPr>
        <w:tc>
          <w:tcPr>
            <w:tcW w:w="1264" w:type="dxa"/>
            <w:vMerge w:val="restart"/>
            <w:tcBorders>
              <w:top w:val="single" w:sz="6" w:space="0" w:color="auto"/>
              <w:left w:val="single" w:sz="6" w:space="0" w:color="auto"/>
            </w:tcBorders>
            <w:vAlign w:val="center"/>
          </w:tcPr>
          <w:p w14:paraId="7BF8DC81" w14:textId="77777777" w:rsidR="002943E5" w:rsidRPr="00FD132C" w:rsidRDefault="002943E5" w:rsidP="00EA70AB">
            <w:pPr>
              <w:pStyle w:val="TableHead"/>
              <w:rPr>
                <w:rFonts w:ascii="Arial" w:hAnsi="Arial" w:cs="Arial"/>
                <w:sz w:val="16"/>
                <w:szCs w:val="16"/>
                <w:lang w:val="en-GB"/>
              </w:rPr>
            </w:pPr>
            <w:r w:rsidRPr="00FD132C">
              <w:rPr>
                <w:rFonts w:ascii="Arial" w:hAnsi="Arial" w:cs="Arial"/>
                <w:lang w:val="en-GB"/>
              </w:rPr>
              <w:t>Method</w:t>
            </w:r>
          </w:p>
        </w:tc>
        <w:tc>
          <w:tcPr>
            <w:tcW w:w="7783" w:type="dxa"/>
            <w:gridSpan w:val="6"/>
            <w:tcBorders>
              <w:top w:val="single" w:sz="6" w:space="0" w:color="auto"/>
              <w:left w:val="single" w:sz="6" w:space="0" w:color="auto"/>
              <w:right w:val="single" w:sz="6" w:space="0" w:color="auto"/>
            </w:tcBorders>
            <w:vAlign w:val="center"/>
          </w:tcPr>
          <w:p w14:paraId="7BF8DC82" w14:textId="6C75D9A6" w:rsidR="002943E5" w:rsidRPr="00FD132C" w:rsidRDefault="002943E5" w:rsidP="00EA70AB">
            <w:pPr>
              <w:pStyle w:val="Tabletext"/>
              <w:rPr>
                <w:b/>
                <w:sz w:val="16"/>
                <w:szCs w:val="16"/>
                <w:lang w:val="en-GB"/>
              </w:rPr>
            </w:pPr>
            <w:r w:rsidRPr="00FD132C">
              <w:rPr>
                <w:b/>
                <w:lang w:val="en-GB"/>
              </w:rPr>
              <w:t>Purpose</w:t>
            </w:r>
            <w:r w:rsidR="00AD385E" w:rsidRPr="00732AC8">
              <w:rPr>
                <w:rStyle w:val="Appelnotedebasdep"/>
                <w:sz w:val="16"/>
                <w:highlight w:val="yellow"/>
              </w:rPr>
              <w:footnoteReference w:id="2"/>
            </w:r>
          </w:p>
        </w:tc>
      </w:tr>
      <w:tr w:rsidR="002943E5" w:rsidRPr="00FD132C" w14:paraId="7BF8DC8B" w14:textId="77777777" w:rsidTr="009C60AE">
        <w:trPr>
          <w:trHeight w:val="402"/>
          <w:tblHeader/>
          <w:jc w:val="center"/>
        </w:trPr>
        <w:tc>
          <w:tcPr>
            <w:tcW w:w="1264" w:type="dxa"/>
            <w:vMerge/>
            <w:tcBorders>
              <w:left w:val="single" w:sz="6" w:space="0" w:color="auto"/>
            </w:tcBorders>
            <w:vAlign w:val="center"/>
          </w:tcPr>
          <w:p w14:paraId="7BF8DC84" w14:textId="77777777" w:rsidR="002943E5" w:rsidRPr="00FD132C" w:rsidRDefault="002943E5" w:rsidP="00EA70AB">
            <w:pPr>
              <w:pStyle w:val="TableHead"/>
              <w:jc w:val="both"/>
              <w:rPr>
                <w:rFonts w:ascii="Arial" w:hAnsi="Arial" w:cs="Arial"/>
                <w:sz w:val="16"/>
                <w:szCs w:val="16"/>
                <w:lang w:val="en-GB"/>
              </w:rPr>
            </w:pPr>
          </w:p>
        </w:tc>
        <w:tc>
          <w:tcPr>
            <w:tcW w:w="1134" w:type="dxa"/>
            <w:tcBorders>
              <w:top w:val="single" w:sz="6" w:space="0" w:color="auto"/>
              <w:left w:val="single" w:sz="6" w:space="0" w:color="auto"/>
            </w:tcBorders>
            <w:vAlign w:val="center"/>
          </w:tcPr>
          <w:p w14:paraId="7BF8DC85" w14:textId="77777777" w:rsidR="002943E5" w:rsidRPr="00FD132C" w:rsidRDefault="002943E5" w:rsidP="00EA70AB">
            <w:pPr>
              <w:pStyle w:val="Tabletext"/>
              <w:rPr>
                <w:sz w:val="16"/>
                <w:szCs w:val="16"/>
                <w:lang w:val="en-GB"/>
              </w:rPr>
            </w:pPr>
            <w:r w:rsidRPr="00FD132C">
              <w:rPr>
                <w:sz w:val="16"/>
                <w:szCs w:val="16"/>
                <w:lang w:val="en-GB"/>
              </w:rPr>
              <w:t>Population freedom from infection</w:t>
            </w:r>
          </w:p>
        </w:tc>
        <w:tc>
          <w:tcPr>
            <w:tcW w:w="1418" w:type="dxa"/>
            <w:tcBorders>
              <w:top w:val="single" w:sz="6" w:space="0" w:color="auto"/>
              <w:left w:val="single" w:sz="6" w:space="0" w:color="auto"/>
            </w:tcBorders>
            <w:vAlign w:val="center"/>
          </w:tcPr>
          <w:p w14:paraId="7BF8DC86" w14:textId="77777777" w:rsidR="002943E5" w:rsidRPr="00FD132C" w:rsidRDefault="002943E5" w:rsidP="00EA70AB">
            <w:pPr>
              <w:pStyle w:val="Tabletext"/>
              <w:rPr>
                <w:sz w:val="16"/>
                <w:szCs w:val="16"/>
                <w:lang w:val="en-GB"/>
              </w:rPr>
            </w:pPr>
            <w:r w:rsidRPr="00FD132C">
              <w:rPr>
                <w:sz w:val="16"/>
                <w:szCs w:val="16"/>
                <w:lang w:val="en-GB"/>
              </w:rPr>
              <w:t>Individual animal freedom from infection prior to movement</w:t>
            </w:r>
          </w:p>
        </w:tc>
        <w:tc>
          <w:tcPr>
            <w:tcW w:w="1275" w:type="dxa"/>
            <w:tcBorders>
              <w:top w:val="single" w:sz="6" w:space="0" w:color="auto"/>
              <w:left w:val="single" w:sz="6" w:space="0" w:color="auto"/>
            </w:tcBorders>
            <w:vAlign w:val="center"/>
          </w:tcPr>
          <w:p w14:paraId="7BF8DC87" w14:textId="77777777" w:rsidR="002943E5" w:rsidRPr="00FD132C" w:rsidRDefault="002943E5" w:rsidP="00EA70AB">
            <w:pPr>
              <w:pStyle w:val="Tabletext"/>
              <w:rPr>
                <w:sz w:val="16"/>
                <w:szCs w:val="16"/>
                <w:lang w:val="en-GB"/>
              </w:rPr>
            </w:pPr>
            <w:r w:rsidRPr="00FD132C">
              <w:rPr>
                <w:sz w:val="16"/>
                <w:szCs w:val="16"/>
                <w:lang w:val="en-GB"/>
              </w:rPr>
              <w:t>Contribute to eradication policies</w:t>
            </w:r>
          </w:p>
        </w:tc>
        <w:tc>
          <w:tcPr>
            <w:tcW w:w="1134" w:type="dxa"/>
            <w:tcBorders>
              <w:top w:val="single" w:sz="6" w:space="0" w:color="auto"/>
              <w:left w:val="single" w:sz="6" w:space="0" w:color="auto"/>
            </w:tcBorders>
            <w:vAlign w:val="center"/>
          </w:tcPr>
          <w:p w14:paraId="7BF8DC88" w14:textId="77777777" w:rsidR="002943E5" w:rsidRPr="00FD132C" w:rsidRDefault="002943E5" w:rsidP="00EA70AB">
            <w:pPr>
              <w:pStyle w:val="Tabletext"/>
              <w:rPr>
                <w:sz w:val="16"/>
                <w:szCs w:val="16"/>
                <w:lang w:val="en-GB"/>
              </w:rPr>
            </w:pPr>
            <w:r w:rsidRPr="00FD132C">
              <w:rPr>
                <w:sz w:val="16"/>
                <w:szCs w:val="16"/>
                <w:lang w:val="en-GB"/>
              </w:rPr>
              <w:t>Confirmation of clinical cases</w:t>
            </w:r>
          </w:p>
        </w:tc>
        <w:tc>
          <w:tcPr>
            <w:tcW w:w="1134" w:type="dxa"/>
            <w:tcBorders>
              <w:top w:val="single" w:sz="6" w:space="0" w:color="auto"/>
              <w:left w:val="single" w:sz="6" w:space="0" w:color="auto"/>
            </w:tcBorders>
            <w:vAlign w:val="center"/>
          </w:tcPr>
          <w:p w14:paraId="7BF8DC89" w14:textId="77777777" w:rsidR="002943E5" w:rsidRPr="00FD132C" w:rsidRDefault="002943E5" w:rsidP="00EA70AB">
            <w:pPr>
              <w:pStyle w:val="Tabletext"/>
              <w:rPr>
                <w:sz w:val="16"/>
                <w:szCs w:val="16"/>
                <w:lang w:val="en-GB"/>
              </w:rPr>
            </w:pPr>
            <w:r w:rsidRPr="00FD132C">
              <w:rPr>
                <w:sz w:val="16"/>
                <w:szCs w:val="16"/>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7BF8DC8A" w14:textId="77777777" w:rsidR="002943E5" w:rsidRPr="00FD132C" w:rsidRDefault="002943E5" w:rsidP="00EA70AB">
            <w:pPr>
              <w:pStyle w:val="Tabletext"/>
              <w:rPr>
                <w:sz w:val="16"/>
                <w:szCs w:val="16"/>
                <w:lang w:val="en-GB"/>
              </w:rPr>
            </w:pPr>
            <w:r w:rsidRPr="00FD132C">
              <w:rPr>
                <w:sz w:val="16"/>
                <w:szCs w:val="16"/>
                <w:lang w:val="en-GB"/>
              </w:rPr>
              <w:t>Immune status in individual animals or populations post-vaccination</w:t>
            </w:r>
          </w:p>
        </w:tc>
      </w:tr>
      <w:tr w:rsidR="002943E5" w:rsidRPr="00FD132C" w14:paraId="7BF8DC8D" w14:textId="77777777" w:rsidTr="009C60AE">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7BF8DC8C" w14:textId="77777777" w:rsidR="002943E5" w:rsidRPr="006D0B65" w:rsidRDefault="002943E5" w:rsidP="00EA70AB">
            <w:pPr>
              <w:pStyle w:val="Tabletext"/>
              <w:rPr>
                <w:sz w:val="16"/>
                <w:szCs w:val="16"/>
                <w:lang w:val="en-GB"/>
              </w:rPr>
            </w:pPr>
            <w:r w:rsidRPr="006D0B65">
              <w:rPr>
                <w:b/>
                <w:sz w:val="16"/>
                <w:szCs w:val="16"/>
              </w:rPr>
              <w:t>Agent identification</w:t>
            </w:r>
            <w:r w:rsidRPr="006D0B65">
              <w:rPr>
                <w:rStyle w:val="Appelnotedebasdep"/>
                <w:b/>
                <w:sz w:val="16"/>
                <w:szCs w:val="16"/>
              </w:rPr>
              <w:footnoteReference w:id="3"/>
            </w:r>
            <w:r w:rsidRPr="006D0B65">
              <w:rPr>
                <w:b/>
                <w:sz w:val="16"/>
                <w:szCs w:val="16"/>
              </w:rPr>
              <w:t xml:space="preserve"> </w:t>
            </w:r>
          </w:p>
        </w:tc>
      </w:tr>
      <w:tr w:rsidR="00D131D8" w:rsidRPr="00FD132C" w14:paraId="7BF8DC95" w14:textId="77777777" w:rsidTr="005F3421">
        <w:trPr>
          <w:trHeight w:val="402"/>
          <w:jc w:val="center"/>
        </w:trPr>
        <w:tc>
          <w:tcPr>
            <w:tcW w:w="1264" w:type="dxa"/>
            <w:tcBorders>
              <w:top w:val="single" w:sz="6" w:space="0" w:color="auto"/>
              <w:left w:val="single" w:sz="6" w:space="0" w:color="auto"/>
              <w:bottom w:val="single" w:sz="6" w:space="0" w:color="auto"/>
            </w:tcBorders>
            <w:vAlign w:val="center"/>
          </w:tcPr>
          <w:p w14:paraId="7BF8DC8E" w14:textId="77777777" w:rsidR="00D131D8" w:rsidRPr="00FD132C" w:rsidRDefault="00D131D8" w:rsidP="00EA70AB">
            <w:pPr>
              <w:spacing w:before="120" w:after="120" w:line="240" w:lineRule="auto"/>
              <w:jc w:val="center"/>
              <w:rPr>
                <w:rFonts w:ascii="Arial" w:hAnsi="Arial" w:cs="Arial"/>
                <w:b/>
                <w:sz w:val="16"/>
              </w:rPr>
            </w:pPr>
            <w:proofErr w:type="spellStart"/>
            <w:r w:rsidRPr="00FD132C">
              <w:rPr>
                <w:rFonts w:ascii="Arial" w:hAnsi="Arial" w:cs="Arial"/>
                <w:b/>
                <w:sz w:val="16"/>
              </w:rPr>
              <w:t>Immunohisto</w:t>
            </w:r>
            <w:proofErr w:type="spellEnd"/>
            <w:r w:rsidR="001B4DB6" w:rsidRPr="00FD132C">
              <w:rPr>
                <w:rFonts w:ascii="Arial" w:hAnsi="Arial" w:cs="Arial"/>
                <w:b/>
                <w:sz w:val="16"/>
              </w:rPr>
              <w:t>-</w:t>
            </w:r>
            <w:r w:rsidRPr="00FD132C">
              <w:rPr>
                <w:rFonts w:ascii="Arial" w:hAnsi="Arial" w:cs="Arial"/>
                <w:b/>
                <w:sz w:val="16"/>
              </w:rPr>
              <w:t>chemistry</w:t>
            </w:r>
          </w:p>
        </w:tc>
        <w:tc>
          <w:tcPr>
            <w:tcW w:w="1134" w:type="dxa"/>
            <w:tcBorders>
              <w:top w:val="single" w:sz="6" w:space="0" w:color="auto"/>
              <w:left w:val="single" w:sz="6" w:space="0" w:color="auto"/>
              <w:bottom w:val="single" w:sz="6" w:space="0" w:color="auto"/>
            </w:tcBorders>
            <w:vAlign w:val="center"/>
          </w:tcPr>
          <w:p w14:paraId="7BF8DC8F" w14:textId="3E4869B7" w:rsidR="00D131D8" w:rsidRPr="005F3421" w:rsidRDefault="00A910E3" w:rsidP="00EA70AB">
            <w:pPr>
              <w:pStyle w:val="Tabletext"/>
              <w:rPr>
                <w:sz w:val="16"/>
                <w:szCs w:val="16"/>
                <w:lang w:val="en-GB"/>
              </w:rPr>
            </w:pPr>
            <w:r w:rsidRPr="00A910E3">
              <w:rPr>
                <w:sz w:val="16"/>
                <w:szCs w:val="16"/>
                <w:u w:val="double"/>
                <w:lang w:val="en-GB"/>
              </w:rPr>
              <w:t>–</w:t>
            </w:r>
            <w:r w:rsidRPr="00A910E3">
              <w:rPr>
                <w:strike/>
                <w:sz w:val="16"/>
                <w:szCs w:val="16"/>
                <w:lang w:val="en-GB"/>
              </w:rPr>
              <w:t xml:space="preserve"> n/a</w:t>
            </w:r>
          </w:p>
        </w:tc>
        <w:tc>
          <w:tcPr>
            <w:tcW w:w="1418" w:type="dxa"/>
            <w:tcBorders>
              <w:top w:val="single" w:sz="6" w:space="0" w:color="auto"/>
              <w:left w:val="single" w:sz="6" w:space="0" w:color="auto"/>
              <w:bottom w:val="single" w:sz="6" w:space="0" w:color="auto"/>
            </w:tcBorders>
            <w:vAlign w:val="center"/>
          </w:tcPr>
          <w:p w14:paraId="7BF8DC90" w14:textId="26333DD3" w:rsidR="00D131D8" w:rsidRPr="005F3421" w:rsidRDefault="00A910E3" w:rsidP="00EA70AB">
            <w:pPr>
              <w:pStyle w:val="Tabletext"/>
              <w:rPr>
                <w:sz w:val="16"/>
                <w:szCs w:val="16"/>
                <w:lang w:val="en-GB"/>
              </w:rPr>
            </w:pPr>
            <w:r w:rsidRPr="00A910E3">
              <w:rPr>
                <w:sz w:val="16"/>
                <w:szCs w:val="16"/>
                <w:u w:val="double"/>
                <w:lang w:val="en-GB"/>
              </w:rPr>
              <w:t>–</w:t>
            </w:r>
            <w:r w:rsidRPr="00A910E3">
              <w:rPr>
                <w:strike/>
                <w:sz w:val="16"/>
                <w:szCs w:val="16"/>
                <w:lang w:val="en-GB"/>
              </w:rPr>
              <w:t xml:space="preserve"> n/a</w:t>
            </w:r>
          </w:p>
        </w:tc>
        <w:tc>
          <w:tcPr>
            <w:tcW w:w="1275" w:type="dxa"/>
            <w:tcBorders>
              <w:top w:val="single" w:sz="6" w:space="0" w:color="auto"/>
              <w:left w:val="single" w:sz="6" w:space="0" w:color="auto"/>
              <w:bottom w:val="single" w:sz="6" w:space="0" w:color="auto"/>
            </w:tcBorders>
            <w:vAlign w:val="center"/>
          </w:tcPr>
          <w:p w14:paraId="7BF8DC91" w14:textId="77777777" w:rsidR="00D131D8" w:rsidRPr="005F3421" w:rsidRDefault="00B26BE5" w:rsidP="00EA70AB">
            <w:pPr>
              <w:pStyle w:val="Tabletext"/>
              <w:rPr>
                <w:sz w:val="16"/>
                <w:szCs w:val="16"/>
                <w:lang w:val="en-GB"/>
              </w:rPr>
            </w:pPr>
            <w:r w:rsidRPr="005F3421">
              <w:rPr>
                <w:sz w:val="16"/>
                <w:szCs w:val="16"/>
                <w:lang w:val="en-GB"/>
              </w:rPr>
              <w:t>+</w:t>
            </w:r>
            <w:r w:rsidR="002174A0" w:rsidRPr="005F3421">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BF8DC92" w14:textId="77777777" w:rsidR="00D131D8" w:rsidRPr="005F3421" w:rsidRDefault="00D131D8" w:rsidP="00EA70AB">
            <w:pPr>
              <w:pStyle w:val="Tabletext"/>
              <w:rPr>
                <w:sz w:val="16"/>
                <w:szCs w:val="16"/>
                <w:lang w:val="en-GB"/>
              </w:rPr>
            </w:pPr>
            <w:r w:rsidRPr="005F3421">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BF8DC93" w14:textId="77777777" w:rsidR="00D131D8" w:rsidRPr="005F3421" w:rsidRDefault="00D131D8" w:rsidP="00EA70AB">
            <w:pPr>
              <w:pStyle w:val="Tabletext"/>
              <w:rPr>
                <w:sz w:val="16"/>
                <w:szCs w:val="16"/>
                <w:lang w:val="en-GB"/>
              </w:rPr>
            </w:pPr>
            <w:r w:rsidRPr="005F3421">
              <w:rPr>
                <w:sz w:val="16"/>
                <w:szCs w:val="16"/>
                <w:lang w:val="en-GB"/>
              </w:rPr>
              <w:t>+</w:t>
            </w:r>
            <w:r w:rsidR="002174A0" w:rsidRPr="005F3421">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BF8DC94" w14:textId="68193EED" w:rsidR="00D131D8" w:rsidRPr="005F3421" w:rsidRDefault="00A910E3" w:rsidP="00EA70AB">
            <w:pPr>
              <w:pStyle w:val="Tabletext"/>
              <w:rPr>
                <w:sz w:val="16"/>
                <w:szCs w:val="16"/>
                <w:lang w:val="en-GB"/>
              </w:rPr>
            </w:pPr>
            <w:r w:rsidRPr="00A910E3">
              <w:rPr>
                <w:sz w:val="16"/>
                <w:szCs w:val="16"/>
                <w:u w:val="double"/>
                <w:lang w:val="en-GB"/>
              </w:rPr>
              <w:t>–</w:t>
            </w:r>
            <w:r w:rsidRPr="00A910E3">
              <w:rPr>
                <w:strike/>
                <w:sz w:val="16"/>
                <w:szCs w:val="16"/>
                <w:lang w:val="en-GB"/>
              </w:rPr>
              <w:t xml:space="preserve"> n/a</w:t>
            </w:r>
          </w:p>
        </w:tc>
      </w:tr>
      <w:tr w:rsidR="00D131D8" w:rsidRPr="00FD132C" w14:paraId="7BF8DC9D" w14:textId="77777777" w:rsidTr="005F3421">
        <w:trPr>
          <w:trHeight w:val="402"/>
          <w:jc w:val="center"/>
        </w:trPr>
        <w:tc>
          <w:tcPr>
            <w:tcW w:w="1264" w:type="dxa"/>
            <w:tcBorders>
              <w:top w:val="single" w:sz="6" w:space="0" w:color="auto"/>
              <w:left w:val="single" w:sz="6" w:space="0" w:color="auto"/>
              <w:bottom w:val="single" w:sz="6" w:space="0" w:color="auto"/>
            </w:tcBorders>
            <w:vAlign w:val="center"/>
          </w:tcPr>
          <w:p w14:paraId="7BF8DC96" w14:textId="77777777" w:rsidR="00D131D8" w:rsidRPr="00FD132C" w:rsidRDefault="00D131D8" w:rsidP="00EA70AB">
            <w:pPr>
              <w:spacing w:before="120" w:after="120" w:line="240" w:lineRule="auto"/>
              <w:jc w:val="center"/>
              <w:rPr>
                <w:rFonts w:ascii="Arial" w:hAnsi="Arial" w:cs="Arial"/>
                <w:b/>
                <w:sz w:val="16"/>
              </w:rPr>
            </w:pPr>
            <w:r w:rsidRPr="00FD132C">
              <w:rPr>
                <w:rFonts w:ascii="Arial" w:hAnsi="Arial" w:cs="Arial"/>
                <w:b/>
                <w:sz w:val="16"/>
              </w:rPr>
              <w:t>Western immunoblot</w:t>
            </w:r>
          </w:p>
        </w:tc>
        <w:tc>
          <w:tcPr>
            <w:tcW w:w="1134" w:type="dxa"/>
            <w:tcBorders>
              <w:top w:val="single" w:sz="6" w:space="0" w:color="auto"/>
              <w:left w:val="single" w:sz="6" w:space="0" w:color="auto"/>
              <w:bottom w:val="single" w:sz="6" w:space="0" w:color="auto"/>
            </w:tcBorders>
            <w:vAlign w:val="center"/>
          </w:tcPr>
          <w:p w14:paraId="7BF8DC97" w14:textId="727BB921" w:rsidR="00D131D8" w:rsidRPr="005F3421" w:rsidRDefault="00A910E3" w:rsidP="00EA70AB">
            <w:pPr>
              <w:pStyle w:val="Tabletext"/>
              <w:rPr>
                <w:sz w:val="16"/>
                <w:szCs w:val="16"/>
                <w:lang w:val="en-GB"/>
              </w:rPr>
            </w:pPr>
            <w:r w:rsidRPr="00A910E3">
              <w:rPr>
                <w:sz w:val="16"/>
                <w:szCs w:val="16"/>
                <w:u w:val="double"/>
                <w:lang w:val="en-GB"/>
              </w:rPr>
              <w:t>–</w:t>
            </w:r>
            <w:r w:rsidRPr="00A910E3">
              <w:rPr>
                <w:strike/>
                <w:sz w:val="16"/>
                <w:szCs w:val="16"/>
                <w:lang w:val="en-GB"/>
              </w:rPr>
              <w:t xml:space="preserve"> n/a</w:t>
            </w:r>
          </w:p>
        </w:tc>
        <w:tc>
          <w:tcPr>
            <w:tcW w:w="1418" w:type="dxa"/>
            <w:tcBorders>
              <w:top w:val="single" w:sz="6" w:space="0" w:color="auto"/>
              <w:left w:val="single" w:sz="6" w:space="0" w:color="auto"/>
              <w:bottom w:val="single" w:sz="6" w:space="0" w:color="auto"/>
            </w:tcBorders>
            <w:vAlign w:val="center"/>
          </w:tcPr>
          <w:p w14:paraId="7BF8DC98" w14:textId="5A9AA76E" w:rsidR="00D131D8" w:rsidRPr="005F3421" w:rsidRDefault="00A910E3" w:rsidP="00EA70AB">
            <w:pPr>
              <w:pStyle w:val="Tabletext"/>
              <w:rPr>
                <w:sz w:val="16"/>
                <w:szCs w:val="16"/>
                <w:lang w:val="en-GB"/>
              </w:rPr>
            </w:pPr>
            <w:r w:rsidRPr="00A910E3">
              <w:rPr>
                <w:sz w:val="16"/>
                <w:szCs w:val="16"/>
                <w:u w:val="double"/>
                <w:lang w:val="en-GB"/>
              </w:rPr>
              <w:t>–</w:t>
            </w:r>
            <w:r w:rsidRPr="00A910E3">
              <w:rPr>
                <w:strike/>
                <w:sz w:val="16"/>
                <w:szCs w:val="16"/>
                <w:lang w:val="en-GB"/>
              </w:rPr>
              <w:t xml:space="preserve"> n/a</w:t>
            </w:r>
          </w:p>
        </w:tc>
        <w:tc>
          <w:tcPr>
            <w:tcW w:w="1275" w:type="dxa"/>
            <w:tcBorders>
              <w:top w:val="single" w:sz="6" w:space="0" w:color="auto"/>
              <w:left w:val="single" w:sz="6" w:space="0" w:color="auto"/>
              <w:bottom w:val="single" w:sz="6" w:space="0" w:color="auto"/>
            </w:tcBorders>
            <w:vAlign w:val="center"/>
          </w:tcPr>
          <w:p w14:paraId="7BF8DC99" w14:textId="77777777" w:rsidR="00D131D8" w:rsidRPr="005F3421" w:rsidRDefault="00B26BE5" w:rsidP="00EA70AB">
            <w:pPr>
              <w:pStyle w:val="Tabletext"/>
              <w:rPr>
                <w:sz w:val="16"/>
                <w:szCs w:val="16"/>
                <w:lang w:val="en-GB"/>
              </w:rPr>
            </w:pPr>
            <w:r w:rsidRPr="005F3421">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BF8DC9A" w14:textId="77777777" w:rsidR="00D131D8" w:rsidRPr="005F3421" w:rsidRDefault="00D131D8" w:rsidP="00EA70AB">
            <w:pPr>
              <w:pStyle w:val="Tabletext"/>
              <w:rPr>
                <w:sz w:val="16"/>
                <w:szCs w:val="16"/>
                <w:lang w:val="en-GB"/>
              </w:rPr>
            </w:pPr>
            <w:r w:rsidRPr="005F3421">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BF8DC9B" w14:textId="77777777" w:rsidR="00D131D8" w:rsidRPr="005F3421" w:rsidRDefault="00D131D8" w:rsidP="00EA70AB">
            <w:pPr>
              <w:pStyle w:val="Tabletext"/>
              <w:rPr>
                <w:sz w:val="16"/>
                <w:szCs w:val="16"/>
                <w:lang w:val="en-GB"/>
              </w:rPr>
            </w:pPr>
            <w:r w:rsidRPr="005F3421">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BF8DC9C" w14:textId="5004BC5A" w:rsidR="00D131D8" w:rsidRPr="005F3421" w:rsidRDefault="00A910E3" w:rsidP="00EA70AB">
            <w:pPr>
              <w:pStyle w:val="Tabletext"/>
              <w:rPr>
                <w:sz w:val="16"/>
                <w:szCs w:val="16"/>
                <w:lang w:val="en-GB"/>
              </w:rPr>
            </w:pPr>
            <w:r w:rsidRPr="00A910E3">
              <w:rPr>
                <w:sz w:val="16"/>
                <w:szCs w:val="16"/>
                <w:u w:val="double"/>
                <w:lang w:val="en-GB"/>
              </w:rPr>
              <w:t>–</w:t>
            </w:r>
            <w:r w:rsidRPr="00A910E3">
              <w:rPr>
                <w:strike/>
                <w:sz w:val="16"/>
                <w:szCs w:val="16"/>
                <w:lang w:val="en-GB"/>
              </w:rPr>
              <w:t xml:space="preserve"> n/a</w:t>
            </w:r>
          </w:p>
        </w:tc>
      </w:tr>
      <w:tr w:rsidR="00D131D8" w:rsidRPr="00FD132C" w14:paraId="7BF8DCA5" w14:textId="77777777" w:rsidTr="005F3421">
        <w:trPr>
          <w:trHeight w:val="402"/>
          <w:jc w:val="center"/>
        </w:trPr>
        <w:tc>
          <w:tcPr>
            <w:tcW w:w="1264" w:type="dxa"/>
            <w:tcBorders>
              <w:top w:val="single" w:sz="6" w:space="0" w:color="auto"/>
              <w:left w:val="single" w:sz="6" w:space="0" w:color="auto"/>
              <w:bottom w:val="single" w:sz="6" w:space="0" w:color="auto"/>
            </w:tcBorders>
            <w:vAlign w:val="center"/>
          </w:tcPr>
          <w:p w14:paraId="7BF8DC9E" w14:textId="17E79E4E" w:rsidR="00D131D8" w:rsidRPr="00FD132C" w:rsidRDefault="00D131D8" w:rsidP="00EA70AB">
            <w:pPr>
              <w:keepNext/>
              <w:spacing w:before="120" w:after="120" w:line="240" w:lineRule="auto"/>
              <w:jc w:val="center"/>
              <w:rPr>
                <w:rFonts w:ascii="Arial" w:hAnsi="Arial" w:cs="Arial"/>
                <w:b/>
                <w:sz w:val="16"/>
              </w:rPr>
            </w:pPr>
            <w:r w:rsidRPr="00FD132C">
              <w:rPr>
                <w:rFonts w:ascii="Arial" w:hAnsi="Arial" w:cs="Arial"/>
                <w:b/>
                <w:sz w:val="16"/>
              </w:rPr>
              <w:lastRenderedPageBreak/>
              <w:t>Rapid s</w:t>
            </w:r>
            <w:r w:rsidR="002B188D" w:rsidRPr="00FD132C">
              <w:rPr>
                <w:rFonts w:ascii="Arial" w:hAnsi="Arial" w:cs="Arial"/>
                <w:b/>
                <w:sz w:val="16"/>
              </w:rPr>
              <w:t>c</w:t>
            </w:r>
            <w:r w:rsidRPr="00FD132C">
              <w:rPr>
                <w:rFonts w:ascii="Arial" w:hAnsi="Arial" w:cs="Arial"/>
                <w:b/>
                <w:sz w:val="16"/>
              </w:rPr>
              <w:t>reening tests</w:t>
            </w:r>
          </w:p>
        </w:tc>
        <w:tc>
          <w:tcPr>
            <w:tcW w:w="1134" w:type="dxa"/>
            <w:tcBorders>
              <w:top w:val="single" w:sz="6" w:space="0" w:color="auto"/>
              <w:left w:val="single" w:sz="6" w:space="0" w:color="auto"/>
              <w:bottom w:val="single" w:sz="6" w:space="0" w:color="auto"/>
            </w:tcBorders>
            <w:vAlign w:val="center"/>
          </w:tcPr>
          <w:p w14:paraId="7BF8DC9F" w14:textId="011BC2D1" w:rsidR="00D131D8" w:rsidRPr="005F3421" w:rsidRDefault="00A910E3" w:rsidP="00EA70AB">
            <w:pPr>
              <w:pStyle w:val="Tabletext"/>
              <w:keepNext/>
              <w:rPr>
                <w:sz w:val="16"/>
                <w:szCs w:val="16"/>
                <w:lang w:val="en-GB"/>
              </w:rPr>
            </w:pPr>
            <w:r w:rsidRPr="00A910E3">
              <w:rPr>
                <w:sz w:val="16"/>
                <w:szCs w:val="16"/>
                <w:u w:val="double"/>
                <w:lang w:val="en-GB"/>
              </w:rPr>
              <w:t>–</w:t>
            </w:r>
            <w:r w:rsidRPr="00A910E3">
              <w:rPr>
                <w:strike/>
                <w:sz w:val="16"/>
                <w:szCs w:val="16"/>
                <w:lang w:val="en-GB"/>
              </w:rPr>
              <w:t xml:space="preserve"> n/a</w:t>
            </w:r>
          </w:p>
        </w:tc>
        <w:tc>
          <w:tcPr>
            <w:tcW w:w="1418" w:type="dxa"/>
            <w:tcBorders>
              <w:top w:val="single" w:sz="6" w:space="0" w:color="auto"/>
              <w:left w:val="single" w:sz="6" w:space="0" w:color="auto"/>
              <w:bottom w:val="single" w:sz="6" w:space="0" w:color="auto"/>
            </w:tcBorders>
            <w:vAlign w:val="center"/>
          </w:tcPr>
          <w:p w14:paraId="7BF8DCA0" w14:textId="7F1FF07D" w:rsidR="00D131D8" w:rsidRPr="005F3421" w:rsidRDefault="00A910E3" w:rsidP="00EA70AB">
            <w:pPr>
              <w:pStyle w:val="Tabletext"/>
              <w:keepNext/>
              <w:rPr>
                <w:sz w:val="16"/>
                <w:szCs w:val="16"/>
                <w:lang w:val="en-GB"/>
              </w:rPr>
            </w:pPr>
            <w:r w:rsidRPr="00A910E3">
              <w:rPr>
                <w:sz w:val="16"/>
                <w:szCs w:val="16"/>
                <w:u w:val="double"/>
                <w:lang w:val="en-GB"/>
              </w:rPr>
              <w:t>–</w:t>
            </w:r>
            <w:r w:rsidRPr="00A910E3">
              <w:rPr>
                <w:strike/>
                <w:sz w:val="16"/>
                <w:szCs w:val="16"/>
                <w:lang w:val="en-GB"/>
              </w:rPr>
              <w:t xml:space="preserve"> n/a</w:t>
            </w:r>
          </w:p>
        </w:tc>
        <w:tc>
          <w:tcPr>
            <w:tcW w:w="1275" w:type="dxa"/>
            <w:tcBorders>
              <w:top w:val="single" w:sz="6" w:space="0" w:color="auto"/>
              <w:left w:val="single" w:sz="6" w:space="0" w:color="auto"/>
              <w:bottom w:val="single" w:sz="6" w:space="0" w:color="auto"/>
            </w:tcBorders>
            <w:vAlign w:val="center"/>
          </w:tcPr>
          <w:p w14:paraId="7BF8DCA1" w14:textId="77777777" w:rsidR="00D131D8" w:rsidRPr="005F3421" w:rsidRDefault="00D131D8" w:rsidP="00EA70AB">
            <w:pPr>
              <w:pStyle w:val="Tabletext"/>
              <w:keepNext/>
              <w:rPr>
                <w:sz w:val="16"/>
                <w:szCs w:val="16"/>
                <w:lang w:val="en-GB"/>
              </w:rPr>
            </w:pPr>
            <w:r w:rsidRPr="005F3421">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BF8DCA2" w14:textId="77777777" w:rsidR="00D131D8" w:rsidRPr="005F3421" w:rsidRDefault="00D131D8" w:rsidP="00EA70AB">
            <w:pPr>
              <w:pStyle w:val="Tabletext"/>
              <w:keepNext/>
              <w:rPr>
                <w:sz w:val="16"/>
                <w:szCs w:val="16"/>
                <w:lang w:val="en-GB"/>
              </w:rPr>
            </w:pPr>
            <w:r w:rsidRPr="005F3421">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BF8DCA3" w14:textId="77777777" w:rsidR="00D131D8" w:rsidRPr="005F3421" w:rsidRDefault="00D131D8" w:rsidP="00EA70AB">
            <w:pPr>
              <w:pStyle w:val="Tabletext"/>
              <w:keepNext/>
              <w:rPr>
                <w:sz w:val="16"/>
                <w:szCs w:val="16"/>
                <w:lang w:val="en-GB"/>
              </w:rPr>
            </w:pPr>
            <w:r w:rsidRPr="005F3421">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7BF8DCA4" w14:textId="19D23C74" w:rsidR="00D131D8" w:rsidRPr="005F3421" w:rsidRDefault="00A910E3" w:rsidP="00EA70AB">
            <w:pPr>
              <w:pStyle w:val="Tabletext"/>
              <w:keepNext/>
              <w:rPr>
                <w:sz w:val="16"/>
                <w:szCs w:val="16"/>
                <w:lang w:val="en-GB"/>
              </w:rPr>
            </w:pPr>
            <w:r w:rsidRPr="00A910E3">
              <w:rPr>
                <w:sz w:val="16"/>
                <w:szCs w:val="16"/>
                <w:u w:val="double"/>
                <w:lang w:val="en-GB"/>
              </w:rPr>
              <w:t>–</w:t>
            </w:r>
            <w:r w:rsidRPr="00A910E3">
              <w:rPr>
                <w:strike/>
                <w:sz w:val="16"/>
                <w:szCs w:val="16"/>
                <w:lang w:val="en-GB"/>
              </w:rPr>
              <w:t xml:space="preserve"> </w:t>
            </w:r>
            <w:r w:rsidR="00D131D8" w:rsidRPr="00A910E3">
              <w:rPr>
                <w:strike/>
                <w:sz w:val="16"/>
                <w:szCs w:val="16"/>
                <w:lang w:val="en-GB"/>
              </w:rPr>
              <w:t>n/a</w:t>
            </w:r>
          </w:p>
        </w:tc>
      </w:tr>
      <w:tr w:rsidR="00C51F47" w:rsidRPr="00EA70AB" w14:paraId="64C0C834" w14:textId="7292D37F" w:rsidTr="005F3421">
        <w:trPr>
          <w:trHeight w:val="402"/>
          <w:jc w:val="center"/>
        </w:trPr>
        <w:tc>
          <w:tcPr>
            <w:tcW w:w="1264" w:type="dxa"/>
            <w:tcBorders>
              <w:top w:val="single" w:sz="6" w:space="0" w:color="auto"/>
              <w:left w:val="single" w:sz="6" w:space="0" w:color="auto"/>
              <w:bottom w:val="single" w:sz="6" w:space="0" w:color="auto"/>
            </w:tcBorders>
            <w:vAlign w:val="center"/>
          </w:tcPr>
          <w:p w14:paraId="03047914" w14:textId="13CE37B2" w:rsidR="00C51F47" w:rsidRPr="00FC5798" w:rsidRDefault="00C51F47" w:rsidP="00EA70AB">
            <w:pPr>
              <w:spacing w:before="120" w:after="120" w:line="240" w:lineRule="auto"/>
              <w:jc w:val="center"/>
              <w:rPr>
                <w:rFonts w:ascii="Arial" w:hAnsi="Arial" w:cs="Arial"/>
                <w:b/>
                <w:strike/>
                <w:sz w:val="16"/>
                <w:highlight w:val="yellow"/>
              </w:rPr>
            </w:pPr>
            <w:proofErr w:type="spellStart"/>
            <w:r w:rsidRPr="00FC5798">
              <w:rPr>
                <w:rFonts w:ascii="Arial" w:hAnsi="Arial" w:cs="Arial"/>
                <w:b/>
                <w:strike/>
                <w:sz w:val="16"/>
                <w:highlight w:val="yellow"/>
              </w:rPr>
              <w:t>Histo</w:t>
            </w:r>
            <w:proofErr w:type="spellEnd"/>
            <w:r w:rsidRPr="00FC5798">
              <w:rPr>
                <w:rFonts w:ascii="Arial" w:hAnsi="Arial" w:cs="Arial"/>
                <w:b/>
                <w:strike/>
                <w:sz w:val="16"/>
                <w:highlight w:val="yellow"/>
              </w:rPr>
              <w:t>-pathology</w:t>
            </w:r>
          </w:p>
        </w:tc>
        <w:tc>
          <w:tcPr>
            <w:tcW w:w="1134" w:type="dxa"/>
            <w:tcBorders>
              <w:top w:val="single" w:sz="6" w:space="0" w:color="auto"/>
              <w:left w:val="single" w:sz="6" w:space="0" w:color="auto"/>
              <w:bottom w:val="single" w:sz="6" w:space="0" w:color="auto"/>
            </w:tcBorders>
            <w:vAlign w:val="center"/>
          </w:tcPr>
          <w:p w14:paraId="5DA5A3EB" w14:textId="04FFD722" w:rsidR="00C51F47" w:rsidRPr="00FC5798" w:rsidRDefault="00A910E3" w:rsidP="00EA70AB">
            <w:pPr>
              <w:pStyle w:val="Tabletext"/>
              <w:rPr>
                <w:strike/>
                <w:sz w:val="16"/>
                <w:szCs w:val="16"/>
                <w:highlight w:val="yellow"/>
                <w:lang w:val="en-GB"/>
              </w:rPr>
            </w:pPr>
            <w:r w:rsidRPr="00FC5798">
              <w:rPr>
                <w:strike/>
                <w:sz w:val="16"/>
                <w:szCs w:val="16"/>
                <w:highlight w:val="yellow"/>
                <w:lang w:val="en-GB"/>
              </w:rPr>
              <w:t>n/a</w:t>
            </w:r>
          </w:p>
        </w:tc>
        <w:tc>
          <w:tcPr>
            <w:tcW w:w="1418" w:type="dxa"/>
            <w:tcBorders>
              <w:top w:val="single" w:sz="6" w:space="0" w:color="auto"/>
              <w:left w:val="single" w:sz="6" w:space="0" w:color="auto"/>
              <w:bottom w:val="single" w:sz="6" w:space="0" w:color="auto"/>
            </w:tcBorders>
            <w:vAlign w:val="center"/>
          </w:tcPr>
          <w:p w14:paraId="368E5C4B" w14:textId="6DB10E05" w:rsidR="00C51F47" w:rsidRPr="00FC5798" w:rsidRDefault="00A910E3" w:rsidP="00EA70AB">
            <w:pPr>
              <w:pStyle w:val="Tabletext"/>
              <w:rPr>
                <w:strike/>
                <w:sz w:val="16"/>
                <w:szCs w:val="16"/>
                <w:highlight w:val="yellow"/>
                <w:lang w:val="en-GB"/>
              </w:rPr>
            </w:pPr>
            <w:r w:rsidRPr="00FC5798">
              <w:rPr>
                <w:strike/>
                <w:sz w:val="16"/>
                <w:szCs w:val="16"/>
                <w:highlight w:val="yellow"/>
                <w:lang w:val="en-GB"/>
              </w:rPr>
              <w:t>n/a</w:t>
            </w:r>
          </w:p>
        </w:tc>
        <w:tc>
          <w:tcPr>
            <w:tcW w:w="1275" w:type="dxa"/>
            <w:tcBorders>
              <w:top w:val="single" w:sz="6" w:space="0" w:color="auto"/>
              <w:left w:val="single" w:sz="6" w:space="0" w:color="auto"/>
              <w:bottom w:val="single" w:sz="6" w:space="0" w:color="auto"/>
            </w:tcBorders>
            <w:vAlign w:val="center"/>
          </w:tcPr>
          <w:p w14:paraId="0E7785A3" w14:textId="3B4D4F0F" w:rsidR="00C51F47" w:rsidRPr="00FC5798" w:rsidRDefault="00C51F47" w:rsidP="00EA70AB">
            <w:pPr>
              <w:pStyle w:val="Tabletext"/>
              <w:rPr>
                <w:strike/>
                <w:sz w:val="16"/>
                <w:szCs w:val="16"/>
                <w:highlight w:val="yellow"/>
                <w:lang w:val="en-GB"/>
              </w:rPr>
            </w:pPr>
            <w:r w:rsidRPr="00FC5798">
              <w:rPr>
                <w:strike/>
                <w:sz w:val="16"/>
                <w:szCs w:val="16"/>
                <w:highlight w:val="yellow"/>
                <w:lang w:val="en-GB"/>
              </w:rPr>
              <w:t>+</w:t>
            </w:r>
          </w:p>
        </w:tc>
        <w:tc>
          <w:tcPr>
            <w:tcW w:w="1134" w:type="dxa"/>
            <w:tcBorders>
              <w:top w:val="single" w:sz="6" w:space="0" w:color="auto"/>
              <w:left w:val="single" w:sz="6" w:space="0" w:color="auto"/>
              <w:bottom w:val="single" w:sz="6" w:space="0" w:color="auto"/>
            </w:tcBorders>
            <w:vAlign w:val="center"/>
          </w:tcPr>
          <w:p w14:paraId="1A4E7045" w14:textId="4044B095" w:rsidR="00C51F47" w:rsidRPr="00FC5798" w:rsidRDefault="00C51F47" w:rsidP="00EA70AB">
            <w:pPr>
              <w:pStyle w:val="Tabletext"/>
              <w:rPr>
                <w:strike/>
                <w:sz w:val="16"/>
                <w:szCs w:val="16"/>
                <w:highlight w:val="yellow"/>
                <w:lang w:val="en-GB"/>
              </w:rPr>
            </w:pPr>
            <w:r w:rsidRPr="00FC5798">
              <w:rPr>
                <w:strike/>
                <w:sz w:val="16"/>
                <w:szCs w:val="16"/>
                <w:highlight w:val="yellow"/>
                <w:lang w:val="en-GB"/>
              </w:rPr>
              <w:t>+</w:t>
            </w:r>
          </w:p>
        </w:tc>
        <w:tc>
          <w:tcPr>
            <w:tcW w:w="1134" w:type="dxa"/>
            <w:tcBorders>
              <w:top w:val="single" w:sz="6" w:space="0" w:color="auto"/>
              <w:left w:val="single" w:sz="6" w:space="0" w:color="auto"/>
              <w:bottom w:val="single" w:sz="6" w:space="0" w:color="auto"/>
            </w:tcBorders>
            <w:vAlign w:val="center"/>
          </w:tcPr>
          <w:p w14:paraId="4E35C76E" w14:textId="2B65E631" w:rsidR="00C51F47" w:rsidRPr="00FC5798" w:rsidRDefault="00C51F47" w:rsidP="00EA70AB">
            <w:pPr>
              <w:pStyle w:val="Tabletext"/>
              <w:rPr>
                <w:strike/>
                <w:sz w:val="16"/>
                <w:szCs w:val="16"/>
                <w:highlight w:val="yellow"/>
                <w:lang w:val="en-GB"/>
              </w:rPr>
            </w:pPr>
            <w:r w:rsidRPr="00FC5798">
              <w:rPr>
                <w:strike/>
                <w:sz w:val="16"/>
                <w:szCs w:val="16"/>
                <w:highlight w:val="yellow"/>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0030A1EE" w14:textId="43A1C6E8" w:rsidR="00C51F47" w:rsidRPr="00EA70AB" w:rsidRDefault="00A910E3" w:rsidP="00EA70AB">
            <w:pPr>
              <w:pStyle w:val="Tabletext"/>
              <w:rPr>
                <w:strike/>
                <w:sz w:val="16"/>
                <w:szCs w:val="16"/>
                <w:lang w:val="en-GB"/>
              </w:rPr>
            </w:pPr>
            <w:r w:rsidRPr="00FC5798">
              <w:rPr>
                <w:strike/>
                <w:sz w:val="16"/>
                <w:szCs w:val="16"/>
                <w:highlight w:val="yellow"/>
                <w:lang w:val="en-GB"/>
              </w:rPr>
              <w:t>n/a</w:t>
            </w:r>
          </w:p>
        </w:tc>
      </w:tr>
    </w:tbl>
    <w:p w14:paraId="7BF8DCA7" w14:textId="066FF4AE" w:rsidR="002943E5" w:rsidRPr="00FD132C" w:rsidRDefault="00A910E3" w:rsidP="00EA70AB">
      <w:pPr>
        <w:pStyle w:val="paraA0"/>
        <w:spacing w:before="120"/>
        <w:jc w:val="center"/>
        <w:rPr>
          <w:b/>
          <w:sz w:val="16"/>
          <w:szCs w:val="16"/>
        </w:rPr>
      </w:pPr>
      <w:r w:rsidRPr="00340631">
        <w:rPr>
          <w:color w:val="000000"/>
          <w:sz w:val="16"/>
          <w:szCs w:val="16"/>
        </w:rPr>
        <w:t xml:space="preserve">Key: +++ = recommended </w:t>
      </w:r>
      <w:r w:rsidRPr="00340631">
        <w:rPr>
          <w:color w:val="000000"/>
          <w:sz w:val="16"/>
          <w:szCs w:val="16"/>
          <w:u w:val="double"/>
        </w:rPr>
        <w:t>for this purpose</w:t>
      </w:r>
      <w:r w:rsidRPr="00340631">
        <w:rPr>
          <w:strike/>
          <w:color w:val="000000"/>
          <w:sz w:val="16"/>
          <w:szCs w:val="16"/>
        </w:rPr>
        <w:t xml:space="preserve"> method</w:t>
      </w:r>
      <w:r w:rsidRPr="00340631">
        <w:rPr>
          <w:color w:val="000000"/>
          <w:sz w:val="16"/>
          <w:szCs w:val="16"/>
        </w:rPr>
        <w:t xml:space="preserve">; ++ </w:t>
      </w:r>
      <w:r w:rsidRPr="00340631">
        <w:rPr>
          <w:color w:val="000000"/>
          <w:sz w:val="16"/>
          <w:szCs w:val="16"/>
          <w:u w:val="double"/>
        </w:rPr>
        <w:t>recommended but has limitations</w:t>
      </w:r>
      <w:r w:rsidRPr="00340631">
        <w:rPr>
          <w:strike/>
          <w:color w:val="000000"/>
          <w:sz w:val="16"/>
          <w:szCs w:val="16"/>
        </w:rPr>
        <w:t xml:space="preserve"> suitable method</w:t>
      </w:r>
      <w:r w:rsidRPr="00340631">
        <w:rPr>
          <w:color w:val="000000"/>
          <w:sz w:val="16"/>
          <w:szCs w:val="16"/>
        </w:rPr>
        <w:t xml:space="preserve">; </w:t>
      </w:r>
      <w:r w:rsidRPr="00340631">
        <w:rPr>
          <w:color w:val="000000"/>
          <w:sz w:val="16"/>
          <w:szCs w:val="16"/>
        </w:rPr>
        <w:br/>
        <w:t xml:space="preserve">+ = </w:t>
      </w:r>
      <w:r w:rsidRPr="00340631">
        <w:rPr>
          <w:color w:val="000000"/>
          <w:sz w:val="16"/>
          <w:szCs w:val="16"/>
          <w:u w:val="double"/>
        </w:rPr>
        <w:t>suitable in very limited circumstances</w:t>
      </w:r>
      <w:r w:rsidRPr="00340631">
        <w:rPr>
          <w:strike/>
          <w:color w:val="000000"/>
          <w:sz w:val="16"/>
          <w:szCs w:val="16"/>
        </w:rPr>
        <w:t xml:space="preserve"> may be used </w:t>
      </w:r>
      <w:r w:rsidRPr="00340631">
        <w:rPr>
          <w:strike/>
          <w:sz w:val="16"/>
          <w:szCs w:val="16"/>
        </w:rPr>
        <w:t>in some situations, but cost, reliability, or other factors severely limits its application</w:t>
      </w:r>
      <w:r w:rsidRPr="00340631">
        <w:rPr>
          <w:sz w:val="16"/>
          <w:szCs w:val="16"/>
        </w:rPr>
        <w:t xml:space="preserve">; </w:t>
      </w:r>
      <w:r w:rsidRPr="00340631">
        <w:rPr>
          <w:color w:val="000000"/>
          <w:sz w:val="16"/>
          <w:szCs w:val="16"/>
        </w:rPr>
        <w:t>– = not appropriate for this purpose</w:t>
      </w:r>
      <w:r w:rsidRPr="00340631">
        <w:rPr>
          <w:strike/>
          <w:color w:val="000000"/>
          <w:sz w:val="16"/>
          <w:szCs w:val="16"/>
        </w:rPr>
        <w:t>; n/a = not applicable</w:t>
      </w:r>
      <w:r w:rsidRPr="00340631">
        <w:rPr>
          <w:color w:val="000000"/>
          <w:sz w:val="16"/>
          <w:szCs w:val="16"/>
        </w:rPr>
        <w:t>.</w:t>
      </w:r>
      <w:r w:rsidRPr="00340631">
        <w:rPr>
          <w:color w:val="000000"/>
          <w:sz w:val="16"/>
          <w:szCs w:val="16"/>
        </w:rPr>
        <w:br/>
      </w:r>
      <w:r w:rsidRPr="00340631">
        <w:rPr>
          <w:strike/>
          <w:sz w:val="16"/>
          <w:szCs w:val="16"/>
          <w:lang w:val="en-IE"/>
        </w:rPr>
        <w:t>Although not all of the tests listed as category +++ or ++ have undergone formal validation, their routine nature and the fact that they have been used widely without dubious results, makes them acceptable</w:t>
      </w:r>
      <w:r w:rsidR="002943E5" w:rsidRPr="00FD132C">
        <w:rPr>
          <w:sz w:val="16"/>
          <w:szCs w:val="16"/>
        </w:rPr>
        <w:t>.</w:t>
      </w:r>
    </w:p>
    <w:p w14:paraId="7BF8DCA8" w14:textId="77777777" w:rsidR="00C27990" w:rsidRPr="00FD132C" w:rsidRDefault="00C27990" w:rsidP="00372F50">
      <w:pPr>
        <w:pStyle w:val="1"/>
        <w:spacing w:after="200"/>
        <w:outlineLvl w:val="0"/>
      </w:pPr>
      <w:r w:rsidRPr="00FD132C">
        <w:t>1.</w:t>
      </w:r>
      <w:r w:rsidRPr="00FD132C">
        <w:tab/>
        <w:t>Identification of the agent</w:t>
      </w:r>
    </w:p>
    <w:p w14:paraId="7BF8DCA9" w14:textId="4CC8FF28" w:rsidR="00815668" w:rsidRPr="00FD132C" w:rsidRDefault="00815668">
      <w:pPr>
        <w:pStyle w:val="para1"/>
        <w:rPr>
          <w:bCs/>
        </w:rPr>
      </w:pPr>
      <w:r w:rsidRPr="00FD132C">
        <w:rPr>
          <w:bCs/>
        </w:rPr>
        <w:t xml:space="preserve">There is no </w:t>
      </w:r>
      <w:r w:rsidR="00E443BE" w:rsidRPr="00FD132C">
        <w:rPr>
          <w:bCs/>
        </w:rPr>
        <w:t xml:space="preserve">method capable of confirming </w:t>
      </w:r>
      <w:r w:rsidRPr="00FD132C">
        <w:rPr>
          <w:bCs/>
        </w:rPr>
        <w:t>the presence of BSE in the live animal</w:t>
      </w:r>
      <w:r w:rsidR="00C92E1D" w:rsidRPr="00FD132C">
        <w:rPr>
          <w:bCs/>
        </w:rPr>
        <w:t>.</w:t>
      </w:r>
      <w:r w:rsidR="0084774D" w:rsidRPr="00FD132C">
        <w:rPr>
          <w:bCs/>
        </w:rPr>
        <w:t xml:space="preserve"> </w:t>
      </w:r>
      <w:r w:rsidR="00C92E1D" w:rsidRPr="00FD132C">
        <w:rPr>
          <w:bCs/>
        </w:rPr>
        <w:t>I</w:t>
      </w:r>
      <w:r w:rsidRPr="00FD132C">
        <w:rPr>
          <w:bCs/>
        </w:rPr>
        <w:t xml:space="preserve">dentification of the ‘agent’ begins with clinical suspicion of disease, the post-mortem demonstration of </w:t>
      </w:r>
      <w:r w:rsidR="00AB4541" w:rsidRPr="00FD132C">
        <w:rPr>
          <w:bCs/>
        </w:rPr>
        <w:t xml:space="preserve">histopathological changes or </w:t>
      </w:r>
      <w:proofErr w:type="spellStart"/>
      <w:r w:rsidRPr="00FD132C">
        <w:rPr>
          <w:bCs/>
        </w:rPr>
        <w:t>PrP</w:t>
      </w:r>
      <w:r w:rsidRPr="004E3697">
        <w:rPr>
          <w:szCs w:val="14"/>
          <w:vertAlign w:val="superscript"/>
        </w:rPr>
        <w:t>Sc</w:t>
      </w:r>
      <w:proofErr w:type="spellEnd"/>
      <w:r w:rsidRPr="00FD132C">
        <w:rPr>
          <w:bCs/>
        </w:rPr>
        <w:t xml:space="preserve"> accumulation </w:t>
      </w:r>
      <w:r w:rsidR="00457A79" w:rsidRPr="00FD132C">
        <w:rPr>
          <w:bCs/>
        </w:rPr>
        <w:t>in a suspect animal,</w:t>
      </w:r>
      <w:r w:rsidR="002A7B3B" w:rsidRPr="00FD132C">
        <w:rPr>
          <w:bCs/>
        </w:rPr>
        <w:t xml:space="preserve"> </w:t>
      </w:r>
      <w:r w:rsidR="00457A79" w:rsidRPr="00FD132C">
        <w:rPr>
          <w:bCs/>
        </w:rPr>
        <w:t xml:space="preserve">or </w:t>
      </w:r>
      <w:r w:rsidRPr="00FD132C">
        <w:rPr>
          <w:bCs/>
        </w:rPr>
        <w:t xml:space="preserve">in a non-suspect animal </w:t>
      </w:r>
      <w:r w:rsidR="00E443BE" w:rsidRPr="00FD132C">
        <w:rPr>
          <w:bCs/>
        </w:rPr>
        <w:t xml:space="preserve">through </w:t>
      </w:r>
      <w:r w:rsidRPr="00FD132C">
        <w:rPr>
          <w:bCs/>
        </w:rPr>
        <w:t>active surveillance.</w:t>
      </w:r>
      <w:r w:rsidR="001A2E55" w:rsidRPr="00FD132C">
        <w:rPr>
          <w:bCs/>
        </w:rPr>
        <w:t xml:space="preserve"> The nature of the ‘agent’ itself remains hypothetical, and it cannot therefore be isolated for diagnostic purposes. However, </w:t>
      </w:r>
      <w:proofErr w:type="spellStart"/>
      <w:r w:rsidR="001A2E55" w:rsidRPr="00FD132C">
        <w:rPr>
          <w:bCs/>
        </w:rPr>
        <w:t>PrP</w:t>
      </w:r>
      <w:r w:rsidR="001A2E55" w:rsidRPr="004E3697">
        <w:rPr>
          <w:szCs w:val="14"/>
          <w:vertAlign w:val="superscript"/>
        </w:rPr>
        <w:t>Sc</w:t>
      </w:r>
      <w:proofErr w:type="spellEnd"/>
      <w:r w:rsidR="001A2E55" w:rsidRPr="00FD132C">
        <w:rPr>
          <w:bCs/>
        </w:rPr>
        <w:t xml:space="preserve"> is widely accepted as a consistent disease marker, and, with the exception of clinical examination and histopathology, all current diagnostic methods are based on the demonstration of this protein. </w:t>
      </w:r>
    </w:p>
    <w:p w14:paraId="7BF8DCAC" w14:textId="1F07245C" w:rsidR="00C27990" w:rsidRPr="00FD132C" w:rsidRDefault="00C27990" w:rsidP="00B36D64">
      <w:pPr>
        <w:pStyle w:val="para1"/>
        <w:spacing w:after="280"/>
        <w:rPr>
          <w:lang w:val="en-IE"/>
        </w:rPr>
      </w:pPr>
      <w:r w:rsidRPr="00FD132C">
        <w:rPr>
          <w:lang w:val="en-IE"/>
        </w:rPr>
        <w:t xml:space="preserve">In the absence of </w:t>
      </w:r>
      <w:r w:rsidRPr="00FD132C">
        <w:rPr>
          <w:i/>
          <w:lang w:val="en-IE"/>
        </w:rPr>
        <w:t>in-vitro</w:t>
      </w:r>
      <w:r w:rsidRPr="00FD132C">
        <w:rPr>
          <w:lang w:val="en-IE"/>
        </w:rPr>
        <w:t xml:space="preserve"> methods for isolation of the causative agent, </w:t>
      </w:r>
      <w:r w:rsidR="002023C6" w:rsidRPr="00FD132C">
        <w:rPr>
          <w:lang w:val="en-IE"/>
        </w:rPr>
        <w:t xml:space="preserve">disease </w:t>
      </w:r>
      <w:r w:rsidR="00AD7550" w:rsidRPr="00FD132C">
        <w:rPr>
          <w:lang w:val="en-IE"/>
        </w:rPr>
        <w:t xml:space="preserve">can be </w:t>
      </w:r>
      <w:r w:rsidRPr="00FD132C">
        <w:rPr>
          <w:lang w:val="en-IE"/>
        </w:rPr>
        <w:t>confirm</w:t>
      </w:r>
      <w:r w:rsidR="00AD7550" w:rsidRPr="00FD132C">
        <w:rPr>
          <w:lang w:val="en-IE"/>
        </w:rPr>
        <w:t>ed</w:t>
      </w:r>
      <w:r w:rsidR="00F210F4" w:rsidRPr="00FD132C">
        <w:rPr>
          <w:lang w:val="en-IE"/>
        </w:rPr>
        <w:t xml:space="preserve"> </w:t>
      </w:r>
      <w:r w:rsidR="00AD7550" w:rsidRPr="00FD132C">
        <w:rPr>
          <w:lang w:val="en-IE"/>
        </w:rPr>
        <w:t xml:space="preserve">by demonstrating characteristic TSE-specific vacuolation </w:t>
      </w:r>
      <w:r w:rsidRPr="00FD132C">
        <w:rPr>
          <w:lang w:val="en-IE"/>
        </w:rPr>
        <w:t xml:space="preserve">by </w:t>
      </w:r>
      <w:r w:rsidR="008E2040" w:rsidRPr="00FD132C">
        <w:rPr>
          <w:lang w:val="en-IE"/>
        </w:rPr>
        <w:t>histopathology at</w:t>
      </w:r>
      <w:r w:rsidR="00C71A60" w:rsidRPr="00FD132C">
        <w:rPr>
          <w:lang w:val="en-IE"/>
        </w:rPr>
        <w:t xml:space="preserve"> several different levels of the brain</w:t>
      </w:r>
      <w:r w:rsidRPr="00FD132C">
        <w:rPr>
          <w:lang w:val="en-IE"/>
        </w:rPr>
        <w:t xml:space="preserve">. </w:t>
      </w:r>
      <w:r w:rsidR="0019371E" w:rsidRPr="001D6FA5">
        <w:rPr>
          <w:highlight w:val="yellow"/>
          <w:u w:val="double"/>
          <w:lang w:val="en-IE"/>
        </w:rPr>
        <w:t xml:space="preserve">An absence of </w:t>
      </w:r>
      <w:r w:rsidR="00243C6B" w:rsidRPr="001D6FA5">
        <w:rPr>
          <w:highlight w:val="yellow"/>
          <w:u w:val="double"/>
          <w:lang w:val="en-IE"/>
        </w:rPr>
        <w:t>histopathological lesions</w:t>
      </w:r>
      <w:r w:rsidR="003F3580" w:rsidRPr="001D6FA5">
        <w:rPr>
          <w:highlight w:val="yellow"/>
          <w:u w:val="double"/>
          <w:lang w:val="en-IE"/>
        </w:rPr>
        <w:t xml:space="preserve"> does not exclude a </w:t>
      </w:r>
      <w:proofErr w:type="spellStart"/>
      <w:r w:rsidR="003F3580" w:rsidRPr="001D6FA5">
        <w:rPr>
          <w:highlight w:val="yellow"/>
          <w:u w:val="double"/>
          <w:lang w:val="en-IE"/>
        </w:rPr>
        <w:t>PrP</w:t>
      </w:r>
      <w:r w:rsidR="003F3580" w:rsidRPr="001D6FA5">
        <w:rPr>
          <w:highlight w:val="yellow"/>
          <w:u w:val="double"/>
          <w:vertAlign w:val="superscript"/>
          <w:lang w:val="en-IE"/>
        </w:rPr>
        <w:t>Sc</w:t>
      </w:r>
      <w:proofErr w:type="spellEnd"/>
      <w:r w:rsidR="00E1127D" w:rsidRPr="001D6FA5">
        <w:rPr>
          <w:highlight w:val="yellow"/>
          <w:u w:val="double"/>
          <w:lang w:val="en-IE"/>
        </w:rPr>
        <w:t xml:space="preserve"> accumulation.</w:t>
      </w:r>
      <w:r w:rsidR="00E1127D">
        <w:rPr>
          <w:lang w:val="en-IE"/>
        </w:rPr>
        <w:t xml:space="preserve"> </w:t>
      </w:r>
      <w:r w:rsidR="00C71A60" w:rsidRPr="00FD132C">
        <w:rPr>
          <w:lang w:val="en-IE"/>
        </w:rPr>
        <w:t>Histopatholo</w:t>
      </w:r>
      <w:r w:rsidR="001B4DB6" w:rsidRPr="00FD132C">
        <w:rPr>
          <w:lang w:val="en-IE"/>
        </w:rPr>
        <w:t>gical</w:t>
      </w:r>
      <w:r w:rsidR="00F210F4" w:rsidRPr="00FD132C">
        <w:rPr>
          <w:lang w:val="en-IE"/>
        </w:rPr>
        <w:t xml:space="preserve"> </w:t>
      </w:r>
      <w:r w:rsidRPr="00FD132C">
        <w:rPr>
          <w:lang w:val="en-IE"/>
        </w:rPr>
        <w:t>diagnosis based on examination of a single section of medulla oblongata</w:t>
      </w:r>
      <w:r w:rsidR="00F210F4" w:rsidRPr="00FD132C">
        <w:rPr>
          <w:lang w:val="en-IE"/>
        </w:rPr>
        <w:t xml:space="preserve"> </w:t>
      </w:r>
      <w:r w:rsidR="00C71A60" w:rsidRPr="00FD132C">
        <w:rPr>
          <w:lang w:val="en-IE"/>
        </w:rPr>
        <w:t>(</w:t>
      </w:r>
      <w:r w:rsidRPr="00FD132C">
        <w:rPr>
          <w:lang w:val="en-IE"/>
        </w:rPr>
        <w:t xml:space="preserve">at the level of the </w:t>
      </w:r>
      <w:proofErr w:type="spellStart"/>
      <w:r w:rsidRPr="00FD132C">
        <w:rPr>
          <w:lang w:val="en-IE"/>
        </w:rPr>
        <w:t>obex</w:t>
      </w:r>
      <w:proofErr w:type="spellEnd"/>
      <w:r w:rsidR="00C71A60" w:rsidRPr="00FD132C">
        <w:rPr>
          <w:lang w:val="en-IE"/>
        </w:rPr>
        <w:t>)</w:t>
      </w:r>
      <w:r w:rsidRPr="00FD132C">
        <w:rPr>
          <w:lang w:val="en-IE"/>
        </w:rPr>
        <w:t xml:space="preserve"> </w:t>
      </w:r>
      <w:r w:rsidR="00AD7550" w:rsidRPr="00FD132C">
        <w:rPr>
          <w:lang w:val="en-IE"/>
        </w:rPr>
        <w:t xml:space="preserve">has been </w:t>
      </w:r>
      <w:r w:rsidRPr="00FD132C">
        <w:rPr>
          <w:lang w:val="en-IE"/>
        </w:rPr>
        <w:t>validated against more extensive examination of the brainstem</w:t>
      </w:r>
      <w:r w:rsidR="007D6382" w:rsidRPr="00FD132C">
        <w:rPr>
          <w:lang w:val="en-IE"/>
        </w:rPr>
        <w:t>.</w:t>
      </w:r>
      <w:r w:rsidRPr="00FD132C">
        <w:rPr>
          <w:lang w:val="en-IE"/>
        </w:rPr>
        <w:t xml:space="preserve"> This simplified approach enable</w:t>
      </w:r>
      <w:r w:rsidR="00AD7550" w:rsidRPr="00FD132C">
        <w:rPr>
          <w:lang w:val="en-IE"/>
        </w:rPr>
        <w:t>s</w:t>
      </w:r>
      <w:r w:rsidRPr="00FD132C">
        <w:rPr>
          <w:lang w:val="en-IE"/>
        </w:rPr>
        <w:t xml:space="preserve"> </w:t>
      </w:r>
      <w:r w:rsidR="00AD7550" w:rsidRPr="00FD132C">
        <w:rPr>
          <w:lang w:val="en-IE"/>
        </w:rPr>
        <w:t>the</w:t>
      </w:r>
      <w:r w:rsidRPr="00FD132C">
        <w:rPr>
          <w:lang w:val="en-IE"/>
        </w:rPr>
        <w:t xml:space="preserve"> sampling of brainstem removed via the </w:t>
      </w:r>
      <w:r w:rsidRPr="00FD132C">
        <w:rPr>
          <w:i/>
          <w:iCs/>
          <w:lang w:val="en-IE"/>
        </w:rPr>
        <w:t>foramen magnum</w:t>
      </w:r>
      <w:r w:rsidRPr="00FD132C">
        <w:rPr>
          <w:lang w:val="en-IE"/>
        </w:rPr>
        <w:t>, using customised instrumentation</w:t>
      </w:r>
      <w:r w:rsidR="00AD7550" w:rsidRPr="00FD132C">
        <w:rPr>
          <w:lang w:val="en-IE"/>
        </w:rPr>
        <w:t>, instead of whole brain removal</w:t>
      </w:r>
      <w:r w:rsidRPr="00FD132C">
        <w:rPr>
          <w:lang w:val="en-IE"/>
        </w:rPr>
        <w:t xml:space="preserve">. </w:t>
      </w:r>
      <w:r w:rsidR="00AD7550" w:rsidRPr="00FD132C">
        <w:t>However,</w:t>
      </w:r>
      <w:r w:rsidR="008A4B43" w:rsidRPr="00FD132C">
        <w:rPr>
          <w:lang w:val="en-IE"/>
        </w:rPr>
        <w:t xml:space="preserve"> i</w:t>
      </w:r>
      <w:r w:rsidRPr="00FD132C">
        <w:rPr>
          <w:lang w:val="en-IE"/>
        </w:rPr>
        <w:t xml:space="preserve">mmunochemical methods of disease-specific </w:t>
      </w:r>
      <w:proofErr w:type="spellStart"/>
      <w:r w:rsidRPr="00FD132C">
        <w:rPr>
          <w:lang w:val="en-IE"/>
        </w:rPr>
        <w:t>PrP</w:t>
      </w:r>
      <w:proofErr w:type="spellEnd"/>
      <w:r w:rsidRPr="00FD132C">
        <w:rPr>
          <w:lang w:val="en-IE"/>
        </w:rPr>
        <w:t xml:space="preserve"> detection, including IHC techniques and Western </w:t>
      </w:r>
      <w:r w:rsidR="00242EA8" w:rsidRPr="00FD132C">
        <w:rPr>
          <w:lang w:val="en-IE"/>
        </w:rPr>
        <w:t>immuno</w:t>
      </w:r>
      <w:r w:rsidRPr="00FD132C">
        <w:rPr>
          <w:lang w:val="en-IE"/>
        </w:rPr>
        <w:t xml:space="preserve">blot, </w:t>
      </w:r>
      <w:r w:rsidR="008A4B43" w:rsidRPr="00FD132C">
        <w:rPr>
          <w:lang w:val="en-IE"/>
        </w:rPr>
        <w:t xml:space="preserve">are recommended </w:t>
      </w:r>
      <w:r w:rsidRPr="00FD132C">
        <w:rPr>
          <w:lang w:val="en-IE"/>
        </w:rPr>
        <w:t>to confirm the diagnosis</w:t>
      </w:r>
      <w:r w:rsidR="00C71A60" w:rsidRPr="00FD132C">
        <w:rPr>
          <w:lang w:val="en-IE"/>
        </w:rPr>
        <w:t xml:space="preserve"> and improve diagnostic sensitivity in early or autolysed cases</w:t>
      </w:r>
      <w:r w:rsidR="008E2040" w:rsidRPr="00FD132C">
        <w:rPr>
          <w:lang w:val="en-IE"/>
        </w:rPr>
        <w:t>.</w:t>
      </w:r>
      <w:r w:rsidR="00AD7550" w:rsidRPr="00FD132C">
        <w:rPr>
          <w:lang w:val="en-IE"/>
        </w:rPr>
        <w:t xml:space="preserve"> </w:t>
      </w:r>
      <w:r w:rsidRPr="00FD132C">
        <w:rPr>
          <w:lang w:val="en-IE"/>
        </w:rPr>
        <w:t xml:space="preserve">The more rapidly performed </w:t>
      </w:r>
      <w:r w:rsidRPr="00FD132C">
        <w:rPr>
          <w:i/>
          <w:iCs/>
          <w:lang w:val="en-IE"/>
        </w:rPr>
        <w:t>in-vitro</w:t>
      </w:r>
      <w:r w:rsidRPr="00FD132C">
        <w:rPr>
          <w:lang w:val="en-IE"/>
        </w:rPr>
        <w:t xml:space="preserve"> methods</w:t>
      </w:r>
      <w:r w:rsidR="00E83A62" w:rsidRPr="00FD132C">
        <w:rPr>
          <w:lang w:val="en-IE"/>
        </w:rPr>
        <w:t>,</w:t>
      </w:r>
      <w:r w:rsidR="00F210F4" w:rsidRPr="00FD132C">
        <w:rPr>
          <w:lang w:val="en-IE"/>
        </w:rPr>
        <w:t xml:space="preserve"> </w:t>
      </w:r>
      <w:r w:rsidR="00AD7550" w:rsidRPr="00FD132C">
        <w:rPr>
          <w:lang w:val="en-IE"/>
        </w:rPr>
        <w:t xml:space="preserve">such as </w:t>
      </w:r>
      <w:r w:rsidR="006727E9" w:rsidRPr="00FD132C">
        <w:rPr>
          <w:lang w:val="en-IE"/>
        </w:rPr>
        <w:t xml:space="preserve">enzyme-linked immunosorbent assay (ELISA), </w:t>
      </w:r>
      <w:r w:rsidRPr="00FD132C">
        <w:rPr>
          <w:lang w:val="en-IE"/>
        </w:rPr>
        <w:t xml:space="preserve">for the detection of </w:t>
      </w:r>
      <w:proofErr w:type="spellStart"/>
      <w:r w:rsidRPr="00FD132C">
        <w:rPr>
          <w:lang w:val="en-IE"/>
        </w:rPr>
        <w:t>PrP</w:t>
      </w:r>
      <w:r w:rsidRPr="004E3697">
        <w:rPr>
          <w:vertAlign w:val="superscript"/>
          <w:lang w:val="en-IE"/>
        </w:rPr>
        <w:t>Sc</w:t>
      </w:r>
      <w:proofErr w:type="spellEnd"/>
      <w:r w:rsidRPr="00FD132C">
        <w:rPr>
          <w:lang w:val="en-IE"/>
        </w:rPr>
        <w:t xml:space="preserve"> </w:t>
      </w:r>
      <w:r w:rsidR="00C71A60" w:rsidRPr="00FD132C">
        <w:rPr>
          <w:lang w:val="en-IE"/>
        </w:rPr>
        <w:t xml:space="preserve">has </w:t>
      </w:r>
      <w:r w:rsidRPr="00FD132C">
        <w:rPr>
          <w:lang w:val="en-IE"/>
        </w:rPr>
        <w:t xml:space="preserve">led to a variety of ‘rapid’ tests, </w:t>
      </w:r>
      <w:r w:rsidR="00C71A60" w:rsidRPr="00FD132C">
        <w:rPr>
          <w:lang w:val="en-IE"/>
        </w:rPr>
        <w:t>which are now</w:t>
      </w:r>
      <w:r w:rsidR="00F210F4" w:rsidRPr="00FD132C">
        <w:rPr>
          <w:lang w:val="en-IE"/>
        </w:rPr>
        <w:t xml:space="preserve"> </w:t>
      </w:r>
      <w:r w:rsidRPr="00FD132C">
        <w:rPr>
          <w:lang w:val="en-IE"/>
        </w:rPr>
        <w:t xml:space="preserve">the principal </w:t>
      </w:r>
      <w:r w:rsidR="006E1CE8" w:rsidRPr="00FD132C">
        <w:rPr>
          <w:lang w:val="en-IE"/>
        </w:rPr>
        <w:t>screening tool</w:t>
      </w:r>
      <w:r w:rsidR="00C86437" w:rsidRPr="00FD132C">
        <w:rPr>
          <w:lang w:val="en-IE"/>
        </w:rPr>
        <w:t>s</w:t>
      </w:r>
      <w:r w:rsidR="006E1CE8" w:rsidRPr="00FD132C">
        <w:rPr>
          <w:lang w:val="en-IE"/>
        </w:rPr>
        <w:t xml:space="preserve"> </w:t>
      </w:r>
      <w:r w:rsidRPr="00FD132C">
        <w:rPr>
          <w:lang w:val="en-IE"/>
        </w:rPr>
        <w:t xml:space="preserve">for active surveillance. Such tests provide a preliminary </w:t>
      </w:r>
      <w:r w:rsidR="00C71A60" w:rsidRPr="00FD132C">
        <w:rPr>
          <w:lang w:val="en-IE"/>
        </w:rPr>
        <w:t>diagnosis</w:t>
      </w:r>
      <w:r w:rsidR="00F210F4" w:rsidRPr="00FD132C">
        <w:rPr>
          <w:lang w:val="en-IE"/>
        </w:rPr>
        <w:t xml:space="preserve"> </w:t>
      </w:r>
      <w:r w:rsidRPr="00FD132C">
        <w:rPr>
          <w:lang w:val="en-IE"/>
        </w:rPr>
        <w:t xml:space="preserve">from which positive or inconclusive results are subject to examinations by IHC or Western </w:t>
      </w:r>
      <w:r w:rsidR="00242EA8" w:rsidRPr="00FD132C">
        <w:rPr>
          <w:lang w:val="en-IE"/>
        </w:rPr>
        <w:t>immuno</w:t>
      </w:r>
      <w:r w:rsidRPr="00FD132C">
        <w:rPr>
          <w:lang w:val="en-IE"/>
        </w:rPr>
        <w:t>blot confirmatory methods. Rapid test</w:t>
      </w:r>
      <w:r w:rsidR="006727E9" w:rsidRPr="00FD132C">
        <w:rPr>
          <w:lang w:val="en-IE"/>
        </w:rPr>
        <w:t>s</w:t>
      </w:r>
      <w:r w:rsidR="00F210F4" w:rsidRPr="00FD132C">
        <w:rPr>
          <w:lang w:val="en-IE"/>
        </w:rPr>
        <w:t xml:space="preserve"> </w:t>
      </w:r>
      <w:r w:rsidRPr="00FD132C">
        <w:rPr>
          <w:lang w:val="en-IE"/>
        </w:rPr>
        <w:t>are currently the main approach by which cases are detected and their wider use as part of the confirmatory process has been agreed</w:t>
      </w:r>
      <w:r w:rsidR="00213B87" w:rsidRPr="00FD132C">
        <w:rPr>
          <w:lang w:val="en-IE"/>
        </w:rPr>
        <w:t xml:space="preserve">, providing that one of the two tests used is a Western </w:t>
      </w:r>
      <w:r w:rsidR="00242EA8" w:rsidRPr="00FD132C">
        <w:rPr>
          <w:lang w:val="en-IE"/>
        </w:rPr>
        <w:t>immuno</w:t>
      </w:r>
      <w:r w:rsidR="00213B87" w:rsidRPr="00FD132C">
        <w:rPr>
          <w:lang w:val="en-IE"/>
        </w:rPr>
        <w:t>blot</w:t>
      </w:r>
      <w:r w:rsidR="00A02FF7">
        <w:rPr>
          <w:rStyle w:val="Appelnotedebasdep"/>
          <w:lang w:val="en-IE"/>
        </w:rPr>
        <w:footnoteReference w:id="4"/>
      </w:r>
      <w:r w:rsidR="00F210F4" w:rsidRPr="00A02FF7">
        <w:rPr>
          <w:strike/>
          <w:lang w:val="en-IE"/>
        </w:rPr>
        <w:t xml:space="preserve"> </w:t>
      </w:r>
      <w:r w:rsidRPr="00A02FF7">
        <w:rPr>
          <w:strike/>
          <w:lang w:val="en-IE"/>
        </w:rPr>
        <w:t>(</w:t>
      </w:r>
      <w:hyperlink r:id="rId9" w:history="1">
        <w:r w:rsidR="00213B87" w:rsidRPr="00A02FF7">
          <w:rPr>
            <w:rStyle w:val="Lienhypertexte"/>
            <w:strike/>
            <w:lang w:val="en-IE"/>
          </w:rPr>
          <w:t>http://www.tse-lab-net.eu/documents/tse-oie-guide.pdf</w:t>
        </w:r>
      </w:hyperlink>
      <w:r w:rsidRPr="00A02FF7">
        <w:rPr>
          <w:strike/>
          <w:lang w:val="en-IE"/>
        </w:rPr>
        <w:t>)</w:t>
      </w:r>
      <w:r w:rsidRPr="00FD132C">
        <w:rPr>
          <w:lang w:val="en-IE"/>
        </w:rPr>
        <w:t>.</w:t>
      </w:r>
      <w:r w:rsidR="000D0067" w:rsidRPr="00FD132C">
        <w:rPr>
          <w:lang w:val="en-IE"/>
        </w:rPr>
        <w:t xml:space="preserve"> All currently recognised forms of BSE are detectable by these methods</w:t>
      </w:r>
      <w:r w:rsidR="00536B17" w:rsidRPr="00FD132C">
        <w:rPr>
          <w:lang w:val="en-IE"/>
        </w:rPr>
        <w:t xml:space="preserve"> although a full </w:t>
      </w:r>
      <w:r w:rsidR="00213B87" w:rsidRPr="00FD132C">
        <w:rPr>
          <w:lang w:val="en-IE"/>
        </w:rPr>
        <w:t xml:space="preserve">sensitivity and specificity </w:t>
      </w:r>
      <w:r w:rsidR="00536B17" w:rsidRPr="00FD132C">
        <w:rPr>
          <w:lang w:val="en-IE"/>
        </w:rPr>
        <w:t>evaluation for atypical forms (H</w:t>
      </w:r>
      <w:r w:rsidR="000A31B1" w:rsidRPr="00FD132C">
        <w:rPr>
          <w:lang w:val="en-IE"/>
        </w:rPr>
        <w:t>-</w:t>
      </w:r>
      <w:r w:rsidR="00536B17" w:rsidRPr="00FD132C">
        <w:rPr>
          <w:lang w:val="en-IE"/>
        </w:rPr>
        <w:t xml:space="preserve"> and L</w:t>
      </w:r>
      <w:r w:rsidR="000A31B1" w:rsidRPr="00FD132C">
        <w:rPr>
          <w:lang w:val="en-IE"/>
        </w:rPr>
        <w:t>-</w:t>
      </w:r>
      <w:r w:rsidR="00536B17" w:rsidRPr="00FD132C">
        <w:rPr>
          <w:lang w:val="en-IE"/>
        </w:rPr>
        <w:t>types) has not been carried out</w:t>
      </w:r>
      <w:r w:rsidR="000D0067" w:rsidRPr="00FD132C">
        <w:rPr>
          <w:lang w:val="en-IE"/>
        </w:rPr>
        <w:t>.</w:t>
      </w:r>
    </w:p>
    <w:p w14:paraId="7BF8DCAD" w14:textId="4AEC1252" w:rsidR="00C27990" w:rsidRPr="00FD132C" w:rsidRDefault="00C27990" w:rsidP="00B36D64">
      <w:pPr>
        <w:pStyle w:val="para1"/>
        <w:spacing w:after="280"/>
        <w:rPr>
          <w:lang w:val="en-IE"/>
        </w:rPr>
      </w:pPr>
      <w:r w:rsidRPr="00FD132C">
        <w:rPr>
          <w:lang w:val="en-IE"/>
        </w:rPr>
        <w:t xml:space="preserve">The </w:t>
      </w:r>
      <w:r w:rsidR="007A3C2F" w:rsidRPr="00FD132C">
        <w:rPr>
          <w:lang w:val="en-IE"/>
        </w:rPr>
        <w:t>choice</w:t>
      </w:r>
      <w:r w:rsidR="00F210F4" w:rsidRPr="00FD132C">
        <w:rPr>
          <w:lang w:val="en-IE"/>
        </w:rPr>
        <w:t xml:space="preserve"> </w:t>
      </w:r>
      <w:r w:rsidRPr="00FD132C">
        <w:rPr>
          <w:lang w:val="en-IE"/>
        </w:rPr>
        <w:t>of a</w:t>
      </w:r>
      <w:r w:rsidR="007A3C2F" w:rsidRPr="00FD132C">
        <w:rPr>
          <w:lang w:val="en-IE"/>
        </w:rPr>
        <w:t>ny</w:t>
      </w:r>
      <w:r w:rsidR="00F210F4" w:rsidRPr="00FD132C">
        <w:rPr>
          <w:lang w:val="en-IE"/>
        </w:rPr>
        <w:t xml:space="preserve"> </w:t>
      </w:r>
      <w:r w:rsidRPr="00FD132C">
        <w:rPr>
          <w:lang w:val="en-IE"/>
        </w:rPr>
        <w:t>particular method will depend on the</w:t>
      </w:r>
      <w:r w:rsidR="00F210F4" w:rsidRPr="00FD132C">
        <w:rPr>
          <w:lang w:val="en-IE"/>
        </w:rPr>
        <w:t xml:space="preserve"> </w:t>
      </w:r>
      <w:r w:rsidR="007A3C2F" w:rsidRPr="00FD132C">
        <w:rPr>
          <w:lang w:val="en-IE"/>
        </w:rPr>
        <w:t>context</w:t>
      </w:r>
      <w:r w:rsidR="00F210F4" w:rsidRPr="00FD132C">
        <w:rPr>
          <w:lang w:val="en-IE"/>
        </w:rPr>
        <w:t xml:space="preserve"> </w:t>
      </w:r>
      <w:r w:rsidR="007A3C2F" w:rsidRPr="00FD132C">
        <w:rPr>
          <w:lang w:val="en-IE"/>
        </w:rPr>
        <w:t>of its use</w:t>
      </w:r>
      <w:r w:rsidR="00F210F4" w:rsidRPr="00FD132C">
        <w:rPr>
          <w:lang w:val="en-IE"/>
        </w:rPr>
        <w:t>.</w:t>
      </w:r>
      <w:r w:rsidRPr="00FD132C">
        <w:rPr>
          <w:lang w:val="en-IE"/>
        </w:rPr>
        <w:t xml:space="preserve"> </w:t>
      </w:r>
      <w:r w:rsidR="007A3C2F" w:rsidRPr="00FD132C">
        <w:rPr>
          <w:lang w:val="en-IE"/>
        </w:rPr>
        <w:t xml:space="preserve">Contexts </w:t>
      </w:r>
      <w:r w:rsidRPr="00FD132C">
        <w:rPr>
          <w:lang w:val="en-IE"/>
        </w:rPr>
        <w:t>will extend from confirmation of</w:t>
      </w:r>
      <w:r w:rsidR="00F210F4" w:rsidRPr="00FD132C">
        <w:rPr>
          <w:lang w:val="en-IE"/>
        </w:rPr>
        <w:t xml:space="preserve"> </w:t>
      </w:r>
      <w:r w:rsidRPr="00FD132C">
        <w:rPr>
          <w:lang w:val="en-IE"/>
        </w:rPr>
        <w:t xml:space="preserve">clinical </w:t>
      </w:r>
      <w:r w:rsidR="007A3C2F" w:rsidRPr="00FD132C">
        <w:rPr>
          <w:lang w:val="en-IE"/>
        </w:rPr>
        <w:t>suspects</w:t>
      </w:r>
      <w:r w:rsidR="00F210F4" w:rsidRPr="00FD132C">
        <w:rPr>
          <w:lang w:val="en-IE"/>
        </w:rPr>
        <w:t xml:space="preserve"> </w:t>
      </w:r>
      <w:r w:rsidRPr="00FD132C">
        <w:rPr>
          <w:lang w:val="en-IE"/>
        </w:rPr>
        <w:t>to the screening of healthy populations for evidence of covert or preclinical disease. The case definition adopted will also differ according to whether the diagnostic method is to be applied for confirmation</w:t>
      </w:r>
      <w:r w:rsidR="00F210F4" w:rsidRPr="00FD132C">
        <w:rPr>
          <w:lang w:val="en-IE"/>
        </w:rPr>
        <w:t xml:space="preserve"> </w:t>
      </w:r>
      <w:r w:rsidRPr="00FD132C">
        <w:rPr>
          <w:lang w:val="en-IE"/>
        </w:rPr>
        <w:t>or for screening</w:t>
      </w:r>
      <w:r w:rsidR="00F210F4" w:rsidRPr="00FD132C">
        <w:rPr>
          <w:lang w:val="en-IE"/>
        </w:rPr>
        <w:t>.</w:t>
      </w:r>
      <w:r w:rsidRPr="00FD132C">
        <w:rPr>
          <w:lang w:val="en-IE"/>
        </w:rPr>
        <w:t xml:space="preserve"> Care should be taken in the interpretation of diagnostic data using methodologies that do not enable careful cross-referencing with the standards for confirmatory diagnosis that are defined here. Without appropriate comparison with previously published criteria defining the BSE phenotype, and in the absence of transmission studies, diagnostic results that claim the identification of a new strain may be premature. Quality control (QC) and quality ass</w:t>
      </w:r>
      <w:r w:rsidR="007A3C2F" w:rsidRPr="00FD132C">
        <w:rPr>
          <w:lang w:val="en-IE"/>
        </w:rPr>
        <w:t>urance</w:t>
      </w:r>
      <w:r w:rsidR="00F210F4" w:rsidRPr="00FD132C">
        <w:rPr>
          <w:lang w:val="en-IE"/>
        </w:rPr>
        <w:t xml:space="preserve"> </w:t>
      </w:r>
      <w:r w:rsidRPr="00FD132C">
        <w:rPr>
          <w:lang w:val="en-IE"/>
        </w:rPr>
        <w:t>(QA) are essential parts of the testing procedures and advice can be supplied by the OIE Reference Laboratories</w:t>
      </w:r>
      <w:r w:rsidR="00D246A5" w:rsidRPr="00FD132C">
        <w:rPr>
          <w:lang w:val="en-IE"/>
        </w:rPr>
        <w:t>.</w:t>
      </w:r>
      <w:r w:rsidRPr="00FD132C">
        <w:rPr>
          <w:lang w:val="en-IE"/>
        </w:rPr>
        <w:t xml:space="preserve"> Whether BSE-infected animals are</w:t>
      </w:r>
      <w:r w:rsidR="00F210F4" w:rsidRPr="00FD132C">
        <w:rPr>
          <w:lang w:val="en-IE"/>
        </w:rPr>
        <w:t xml:space="preserve"> </w:t>
      </w:r>
      <w:r w:rsidRPr="00FD132C">
        <w:rPr>
          <w:lang w:val="en-IE"/>
        </w:rPr>
        <w:t>identified by passive or active surveillance, it is</w:t>
      </w:r>
      <w:r w:rsidR="00F210F4" w:rsidRPr="00FD132C">
        <w:rPr>
          <w:lang w:val="en-IE"/>
        </w:rPr>
        <w:t xml:space="preserve"> </w:t>
      </w:r>
      <w:r w:rsidRPr="00FD132C">
        <w:rPr>
          <w:lang w:val="en-IE"/>
        </w:rPr>
        <w:t>good practice to detect and confirm disease by a combination of at least two test methods. The primary test can be one of the confirmatory test methods described below or a rapid test, but it is important to apply a secondary test to confirm a positive or inconclusive primary test result. Where there is a conflict between primary and secondary test results, further tests using immunohistochemistry</w:t>
      </w:r>
      <w:r w:rsidR="000A31B1" w:rsidRPr="00FD132C">
        <w:rPr>
          <w:lang w:val="en-IE"/>
        </w:rPr>
        <w:t xml:space="preserve"> or Western </w:t>
      </w:r>
      <w:r w:rsidR="00242EA8" w:rsidRPr="00FD132C">
        <w:rPr>
          <w:lang w:val="en-IE"/>
        </w:rPr>
        <w:t>immuno</w:t>
      </w:r>
      <w:r w:rsidR="000A31B1" w:rsidRPr="00FD132C">
        <w:rPr>
          <w:lang w:val="en-IE"/>
        </w:rPr>
        <w:t>blot</w:t>
      </w:r>
      <w:r w:rsidRPr="00FD132C">
        <w:rPr>
          <w:lang w:val="en-IE"/>
        </w:rPr>
        <w:t xml:space="preserve"> should be applied or samples should be submitted to an OIE Reference Laboratory for resolution. </w:t>
      </w:r>
    </w:p>
    <w:p w14:paraId="7BF8DCAE" w14:textId="77777777" w:rsidR="00C27990" w:rsidRPr="00FD132C" w:rsidRDefault="002943E5" w:rsidP="002943E5">
      <w:pPr>
        <w:pStyle w:val="11"/>
      </w:pPr>
      <w:r w:rsidRPr="00FD132C">
        <w:t>1.1.</w:t>
      </w:r>
      <w:r w:rsidR="00C27990" w:rsidRPr="00FD132C">
        <w:tab/>
        <w:t>Sample preparation</w:t>
      </w:r>
    </w:p>
    <w:p w14:paraId="7BF8DCAF" w14:textId="77777777" w:rsidR="00C27990" w:rsidRPr="00FD132C" w:rsidRDefault="00C27990" w:rsidP="002943E5">
      <w:pPr>
        <w:pStyle w:val="11Para"/>
      </w:pPr>
      <w:r w:rsidRPr="00FD132C">
        <w:lastRenderedPageBreak/>
        <w:t>The BSE status of a country, the relative implementation of passive and active surveillance programmes and the diagnostic methods applied, will all influence sampling strategy.</w:t>
      </w:r>
    </w:p>
    <w:p w14:paraId="7BF8DCB0" w14:textId="77777777" w:rsidR="00280A0D" w:rsidRPr="00FD132C" w:rsidRDefault="00C27990" w:rsidP="002943E5">
      <w:pPr>
        <w:pStyle w:val="11Para"/>
      </w:pPr>
      <w:r w:rsidRPr="00FD132C">
        <w:t xml:space="preserve">In all circumstances of passive surveillance of neurological disease in adult cattle </w:t>
      </w:r>
      <w:r w:rsidRPr="00FD132C">
        <w:rPr>
          <w:b/>
        </w:rPr>
        <w:t>where the occurrence of BSE within a country or state has not been established or is of low incidence</w:t>
      </w:r>
      <w:r w:rsidRPr="00FD132C">
        <w:t>, it is recommended that clinically suspect cases are subjected to a standard neuropathological approach in which</w:t>
      </w:r>
      <w:r w:rsidR="00F210F4" w:rsidRPr="00FD132C">
        <w:t xml:space="preserve"> </w:t>
      </w:r>
      <w:r w:rsidR="00E61BDD" w:rsidRPr="00FD132C">
        <w:t xml:space="preserve">the whole brain is sampled, and a range of </w:t>
      </w:r>
      <w:r w:rsidRPr="00FD132C">
        <w:t>representative areas</w:t>
      </w:r>
      <w:r w:rsidR="00F210F4" w:rsidRPr="00FD132C">
        <w:t xml:space="preserve"> </w:t>
      </w:r>
      <w:r w:rsidRPr="00FD132C">
        <w:t>examined.</w:t>
      </w:r>
      <w:r w:rsidR="00F210F4" w:rsidRPr="00FD132C">
        <w:t xml:space="preserve"> </w:t>
      </w:r>
      <w:r w:rsidR="00280A0D" w:rsidRPr="00FD132C">
        <w:t xml:space="preserve">Cattle suspected of having the disease should be killed with an intravenous injection of a concentrated barbiturate solution preceded, if necessary, by sedation. The brain should be removed as soon as possible after death by standard methods. There are no gross lesions associated with BSE, so if any are observed when the brain is removed, these should be specifically sampled to facilitate differential diagnosis. </w:t>
      </w:r>
    </w:p>
    <w:p w14:paraId="7BF8DCB1" w14:textId="77777777" w:rsidR="00C27990" w:rsidRPr="00FD132C" w:rsidRDefault="00E61BDD" w:rsidP="002943E5">
      <w:pPr>
        <w:pStyle w:val="11Para"/>
      </w:pPr>
      <w:r w:rsidRPr="00FD132C">
        <w:t>C</w:t>
      </w:r>
      <w:r w:rsidR="00C27990" w:rsidRPr="00FD132C">
        <w:t xml:space="preserve">are must be taken to preserve suitable fixed and fresh brain samples for the immunohistochemical and immunochemical detection of </w:t>
      </w:r>
      <w:proofErr w:type="spellStart"/>
      <w:r w:rsidR="00C27990" w:rsidRPr="00FD132C">
        <w:t>PrP</w:t>
      </w:r>
      <w:r w:rsidR="00C27990" w:rsidRPr="004E3697">
        <w:rPr>
          <w:vertAlign w:val="superscript"/>
        </w:rPr>
        <w:t>Sc</w:t>
      </w:r>
      <w:proofErr w:type="spellEnd"/>
      <w:r w:rsidR="00C27990" w:rsidRPr="00FD132C">
        <w:t xml:space="preserve">. Departure from this approach </w:t>
      </w:r>
      <w:r w:rsidR="00280A0D" w:rsidRPr="00FD132C">
        <w:t xml:space="preserve">of collecting and retaining the entire brain </w:t>
      </w:r>
      <w:r w:rsidR="00C27990" w:rsidRPr="00FD132C">
        <w:t xml:space="preserve">may prevent appropriate characterisation of the case, to confirm whether or not it is typical of BSE. </w:t>
      </w:r>
    </w:p>
    <w:p w14:paraId="7BF8DCB2" w14:textId="20EA83DE" w:rsidR="00C27990" w:rsidRPr="00FD132C" w:rsidRDefault="00C27990" w:rsidP="002943E5">
      <w:pPr>
        <w:pStyle w:val="11Para"/>
      </w:pPr>
      <w:r w:rsidRPr="00FD132C">
        <w:t xml:space="preserve">Histopathology and IHC examinations are carried out </w:t>
      </w:r>
      <w:r w:rsidR="00280A0D" w:rsidRPr="00FD132C">
        <w:t>i</w:t>
      </w:r>
      <w:r w:rsidRPr="00FD132C">
        <w:t>nitially on a single block (0.5</w:t>
      </w:r>
      <w:r w:rsidR="00F81930" w:rsidRPr="00FD132C">
        <w:t>–</w:t>
      </w:r>
      <w:r w:rsidRPr="00FD132C">
        <w:t xml:space="preserve">1.0 cm in width) cut at the </w:t>
      </w:r>
      <w:proofErr w:type="spellStart"/>
      <w:r w:rsidRPr="00FD132C">
        <w:t>obex</w:t>
      </w:r>
      <w:proofErr w:type="spellEnd"/>
      <w:r w:rsidRPr="00FD132C">
        <w:t xml:space="preserve"> of the medulla oblongata (Fig. 1a and b, level A–A representing the centre of the block for examination), which should be fix</w:t>
      </w:r>
      <w:r w:rsidR="00A41781" w:rsidRPr="00FD132C">
        <w:t>ed</w:t>
      </w:r>
      <w:r w:rsidR="00F210F4" w:rsidRPr="00FD132C">
        <w:t xml:space="preserve"> </w:t>
      </w:r>
      <w:r w:rsidRPr="00FD132C">
        <w:t xml:space="preserve">for </w:t>
      </w:r>
      <w:r w:rsidR="00A41781" w:rsidRPr="00FD132C">
        <w:t>a minimum of 3</w:t>
      </w:r>
      <w:r w:rsidR="009E2F84" w:rsidRPr="00FD132C">
        <w:t>–</w:t>
      </w:r>
      <w:r w:rsidRPr="00FD132C">
        <w:t>5 days</w:t>
      </w:r>
      <w:r w:rsidR="00A41781" w:rsidRPr="00FD132C">
        <w:t xml:space="preserve"> (dependent on block thickness)</w:t>
      </w:r>
      <w:r w:rsidRPr="00FD132C">
        <w:t xml:space="preserve"> in 4% formaldehyde solution (i.e. 10% formal saline or 10% normal buffered formalin [NBF])</w:t>
      </w:r>
      <w:r w:rsidR="009E2F84" w:rsidRPr="00FD132C">
        <w:t>.</w:t>
      </w:r>
      <w:r w:rsidRPr="00FD132C">
        <w:t xml:space="preserve"> </w:t>
      </w:r>
      <w:r w:rsidR="00ED4435" w:rsidRPr="00FD132C">
        <w:t>To decrease infectivity, f</w:t>
      </w:r>
      <w:r w:rsidR="002B188D" w:rsidRPr="00FD132C">
        <w:t>ixed tissues may be immersed in 98% formic acid for one hour to reduce the prion infectivity, then washed for 30 min</w:t>
      </w:r>
      <w:r w:rsidR="00B10DB2" w:rsidRPr="00FD132C">
        <w:t>utes</w:t>
      </w:r>
      <w:r w:rsidR="002B188D" w:rsidRPr="00FD132C">
        <w:t xml:space="preserve"> in tap water</w:t>
      </w:r>
      <w:r w:rsidR="00ED4435" w:rsidRPr="00FD132C">
        <w:t>. I</w:t>
      </w:r>
      <w:r w:rsidR="007F14BE" w:rsidRPr="00FD132C">
        <w:t xml:space="preserve">t should be noted that this may reduce the range of further tests that could be applied for classification unless fresh frozen material is also available. </w:t>
      </w:r>
      <w:r w:rsidR="00A41781" w:rsidRPr="00FD132C">
        <w:t>S</w:t>
      </w:r>
      <w:r w:rsidRPr="00FD132C">
        <w:t>ubsequent histological processing</w:t>
      </w:r>
      <w:r w:rsidR="00A41781" w:rsidRPr="00FD132C">
        <w:t xml:space="preserve"> should be </w:t>
      </w:r>
      <w:r w:rsidRPr="00FD132C">
        <w:t>by conventional paraffin wax embedding methods for neural tissue.</w:t>
      </w:r>
      <w:r w:rsidR="00A41781" w:rsidRPr="00FD132C">
        <w:t xml:space="preserve"> (An example of appropriate processing methods can be </w:t>
      </w:r>
      <w:r w:rsidR="003C55FE" w:rsidRPr="00FD132C">
        <w:t xml:space="preserve">found on </w:t>
      </w:r>
      <w:proofErr w:type="spellStart"/>
      <w:r w:rsidR="003C55FE" w:rsidRPr="00FD132C">
        <w:t>TSE</w:t>
      </w:r>
      <w:r w:rsidR="00DB2484" w:rsidRPr="00A02FF7">
        <w:rPr>
          <w:u w:val="double"/>
        </w:rPr>
        <w:t>globalNet</w:t>
      </w:r>
      <w:proofErr w:type="spellEnd"/>
      <w:r w:rsidR="00615090" w:rsidRPr="00A02FF7">
        <w:rPr>
          <w:rStyle w:val="Appelnotedebasdep"/>
          <w:u w:val="double"/>
        </w:rPr>
        <w:footnoteReference w:id="5"/>
      </w:r>
      <w:r w:rsidR="00DB2484" w:rsidRPr="00A02FF7">
        <w:rPr>
          <w:strike/>
        </w:rPr>
        <w:t xml:space="preserve"> </w:t>
      </w:r>
      <w:r w:rsidR="003C55FE" w:rsidRPr="00A02FF7">
        <w:rPr>
          <w:strike/>
        </w:rPr>
        <w:t>LAB-NET (</w:t>
      </w:r>
      <w:hyperlink r:id="rId10" w:history="1">
        <w:r w:rsidR="00702CCC" w:rsidRPr="00A02FF7">
          <w:rPr>
            <w:rStyle w:val="Lienhypertexte"/>
            <w:strike/>
          </w:rPr>
          <w:t>http://www.tse-lab-net.eu/documents/tse-oie-rl-prp.pdf</w:t>
        </w:r>
      </w:hyperlink>
      <w:r w:rsidR="009652A3" w:rsidRPr="00FD132C">
        <w:t>)</w:t>
      </w:r>
      <w:r w:rsidR="008834CE">
        <w:t>.</w:t>
      </w:r>
    </w:p>
    <w:p w14:paraId="7BF8DCB3" w14:textId="222F006A" w:rsidR="00702CCC" w:rsidRPr="00FD132C" w:rsidRDefault="00702CCC" w:rsidP="00702CCC">
      <w:pPr>
        <w:pStyle w:val="11Para"/>
      </w:pPr>
      <w:r w:rsidRPr="00FD132C">
        <w:t xml:space="preserve">Fresh material for the immuno-detection of </w:t>
      </w:r>
      <w:proofErr w:type="spellStart"/>
      <w:r w:rsidRPr="00FD132C">
        <w:t>PrP</w:t>
      </w:r>
      <w:r w:rsidRPr="004E3697">
        <w:rPr>
          <w:szCs w:val="14"/>
          <w:vertAlign w:val="superscript"/>
        </w:rPr>
        <w:t>Sc</w:t>
      </w:r>
      <w:proofErr w:type="spellEnd"/>
      <w:r w:rsidRPr="00FD132C">
        <w:t xml:space="preserve"> should be taken initially as a </w:t>
      </w:r>
      <w:proofErr w:type="spellStart"/>
      <w:r w:rsidRPr="00FD132C">
        <w:t>hemisection</w:t>
      </w:r>
      <w:proofErr w:type="spellEnd"/>
      <w:r w:rsidRPr="00FD132C">
        <w:t xml:space="preserve"> of the medulla </w:t>
      </w:r>
      <w:r w:rsidR="000A31B1" w:rsidRPr="00FD132C">
        <w:t xml:space="preserve">at </w:t>
      </w:r>
      <w:r w:rsidRPr="00FD132C">
        <w:t xml:space="preserve">the level of the </w:t>
      </w:r>
      <w:proofErr w:type="spellStart"/>
      <w:r w:rsidRPr="00FD132C">
        <w:t>obex</w:t>
      </w:r>
      <w:proofErr w:type="spellEnd"/>
      <w:r w:rsidRPr="00FD132C">
        <w:t xml:space="preserve">, or as a complete coronal section (2–4 g), immediately rostral, or caudal, to the </w:t>
      </w:r>
      <w:proofErr w:type="spellStart"/>
      <w:r w:rsidRPr="00FD132C">
        <w:t>obex</w:t>
      </w:r>
      <w:proofErr w:type="spellEnd"/>
      <w:r w:rsidRPr="00FD132C">
        <w:t xml:space="preserve"> block taken for fixation. All other brain areas should be subdivided by a sagittal paramedian cut (3–5 mm off the median). The smaller portion is reserved for the </w:t>
      </w:r>
      <w:r w:rsidR="000A31B1" w:rsidRPr="00FD132C">
        <w:t xml:space="preserve">detection of </w:t>
      </w:r>
      <w:proofErr w:type="spellStart"/>
      <w:r w:rsidRPr="00FD132C">
        <w:rPr>
          <w:lang w:val="en-IE"/>
        </w:rPr>
        <w:t>PrP</w:t>
      </w:r>
      <w:r w:rsidRPr="004E3697">
        <w:rPr>
          <w:vertAlign w:val="superscript"/>
          <w:lang w:val="en-IE"/>
        </w:rPr>
        <w:t>Sc</w:t>
      </w:r>
      <w:proofErr w:type="spellEnd"/>
      <w:r w:rsidRPr="00FD132C">
        <w:t xml:space="preserve"> by immunochemical methods (e.g. immunoblot) and is stored frozen prior to testing (if testing is not done immediately after sampling). After sampling of the </w:t>
      </w:r>
      <w:proofErr w:type="spellStart"/>
      <w:r w:rsidRPr="00FD132C">
        <w:t>obex</w:t>
      </w:r>
      <w:proofErr w:type="spellEnd"/>
      <w:r w:rsidRPr="00FD132C">
        <w:t xml:space="preserve"> region for fixation and sampling of fresh tissue, the larger portion of the brain tissue is placed, intact, in approximately 4–6 litres of 10% formalin fixative, which should be changed twice weekly. After fixation for 2 weeks, if further investigation is necessary, the brain can be cut into coronal slices. The fixation time may be shortened by cutting the fresh brainstem (detached from the rest of the brain) into smaller coronal pieces, similarly </w:t>
      </w:r>
      <w:r w:rsidR="005D0345" w:rsidRPr="00FD132C">
        <w:t>to the initial</w:t>
      </w:r>
      <w:r w:rsidR="005D0345" w:rsidRPr="005D0345">
        <w:t xml:space="preserve"> </w:t>
      </w:r>
      <w:r w:rsidR="005D0345" w:rsidRPr="00FD132C">
        <w:t>removal</w:t>
      </w:r>
      <w:r w:rsidR="005D0345">
        <w:t xml:space="preserve"> of the </w:t>
      </w:r>
      <w:proofErr w:type="spellStart"/>
      <w:r w:rsidR="005D0345">
        <w:t>obex</w:t>
      </w:r>
      <w:proofErr w:type="spellEnd"/>
      <w:r w:rsidR="005D0345">
        <w:t xml:space="preserve"> region, but</w:t>
      </w:r>
      <w:r w:rsidR="00A6788B" w:rsidRPr="00FD132C">
        <w:br/>
      </w:r>
    </w:p>
    <w:tbl>
      <w:tblPr>
        <w:tblW w:w="0" w:type="auto"/>
        <w:tblLayout w:type="fixed"/>
        <w:tblCellMar>
          <w:left w:w="70" w:type="dxa"/>
          <w:right w:w="70" w:type="dxa"/>
        </w:tblCellMar>
        <w:tblLook w:val="0000" w:firstRow="0" w:lastRow="0" w:firstColumn="0" w:lastColumn="0" w:noHBand="0" w:noVBand="0"/>
      </w:tblPr>
      <w:tblGrid>
        <w:gridCol w:w="9001"/>
      </w:tblGrid>
      <w:tr w:rsidR="00C27990" w:rsidRPr="00FD132C" w14:paraId="7BF8DCB5" w14:textId="77777777">
        <w:trPr>
          <w:cantSplit/>
          <w:trHeight w:val="3840"/>
        </w:trPr>
        <w:tc>
          <w:tcPr>
            <w:tcW w:w="9001" w:type="dxa"/>
          </w:tcPr>
          <w:p w14:paraId="7BF8DCB4" w14:textId="77777777" w:rsidR="00C27990" w:rsidRPr="00FD132C" w:rsidRDefault="00A4122C">
            <w:pPr>
              <w:pStyle w:val="paraa"/>
              <w:spacing w:after="280"/>
              <w:jc w:val="center"/>
              <w:rPr>
                <w:lang w:val="en-IE"/>
              </w:rPr>
            </w:pPr>
            <w:r w:rsidRPr="00FD132C">
              <w:rPr>
                <w:noProof/>
                <w:lang w:val="de-CH" w:eastAsia="de-CH"/>
              </w:rPr>
              <w:drawing>
                <wp:inline distT="0" distB="0" distL="0" distR="0" wp14:anchorId="7BF8DD05" wp14:editId="7BF8DD06">
                  <wp:extent cx="2590800" cy="27908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90800" cy="2790825"/>
                          </a:xfrm>
                          <a:prstGeom prst="rect">
                            <a:avLst/>
                          </a:prstGeom>
                          <a:noFill/>
                          <a:ln>
                            <a:noFill/>
                          </a:ln>
                        </pic:spPr>
                      </pic:pic>
                    </a:graphicData>
                  </a:graphic>
                </wp:inline>
              </w:drawing>
            </w:r>
          </w:p>
        </w:tc>
      </w:tr>
    </w:tbl>
    <w:p w14:paraId="7BF8DCB6" w14:textId="77777777" w:rsidR="00C27990" w:rsidRPr="00355651" w:rsidRDefault="00C27990" w:rsidP="00A6788B">
      <w:pPr>
        <w:spacing w:before="120" w:after="240" w:line="240" w:lineRule="auto"/>
        <w:jc w:val="center"/>
        <w:rPr>
          <w:rFonts w:ascii="Ottawa" w:hAnsi="Ottawa" w:cs="Arial"/>
          <w:i/>
          <w:sz w:val="18"/>
          <w:lang w:val="en-IE"/>
        </w:rPr>
      </w:pPr>
      <w:r w:rsidRPr="00355651">
        <w:rPr>
          <w:rFonts w:ascii="Ottawa" w:hAnsi="Ottawa" w:cs="Arial"/>
          <w:b/>
          <w:i/>
          <w:sz w:val="18"/>
          <w:lang w:val="en-IE"/>
        </w:rPr>
        <w:lastRenderedPageBreak/>
        <w:t>Fig 1</w:t>
      </w:r>
      <w:r w:rsidRPr="00355651">
        <w:rPr>
          <w:rFonts w:ascii="Ottawa" w:hAnsi="Ottawa" w:cs="Arial"/>
          <w:i/>
          <w:sz w:val="18"/>
          <w:lang w:val="en-IE"/>
        </w:rPr>
        <w:t>. Brainstem after the removal of the cerebellum, from a</w:t>
      </w:r>
      <w:r w:rsidRPr="00355651">
        <w:rPr>
          <w:rFonts w:ascii="Ottawa" w:hAnsi="Ottawa" w:cs="Arial"/>
          <w:iCs/>
          <w:sz w:val="18"/>
          <w:lang w:val="en-IE"/>
        </w:rPr>
        <w:t>)</w:t>
      </w:r>
      <w:r w:rsidRPr="00355651">
        <w:rPr>
          <w:rFonts w:ascii="Ottawa" w:hAnsi="Ottawa" w:cs="Arial"/>
          <w:i/>
          <w:sz w:val="18"/>
          <w:lang w:val="en-IE"/>
        </w:rPr>
        <w:t xml:space="preserve"> dorsal, and b</w:t>
      </w:r>
      <w:r w:rsidRPr="00355651">
        <w:rPr>
          <w:rFonts w:ascii="Ottawa" w:hAnsi="Ottawa" w:cs="Arial"/>
          <w:iCs/>
          <w:sz w:val="18"/>
          <w:lang w:val="en-IE"/>
        </w:rPr>
        <w:t>)</w:t>
      </w:r>
      <w:r w:rsidRPr="00355651">
        <w:rPr>
          <w:rFonts w:ascii="Ottawa" w:hAnsi="Ottawa" w:cs="Arial"/>
          <w:i/>
          <w:sz w:val="18"/>
          <w:lang w:val="en-IE"/>
        </w:rPr>
        <w:t xml:space="preserve"> lateral aspects. </w:t>
      </w:r>
      <w:r w:rsidRPr="00355651">
        <w:rPr>
          <w:rFonts w:ascii="Ottawa" w:hAnsi="Ottawa" w:cs="Arial"/>
          <w:i/>
          <w:sz w:val="18"/>
          <w:lang w:val="en-IE"/>
        </w:rPr>
        <w:br/>
        <w:t xml:space="preserve">Recommended levels at which sections should be taken: </w:t>
      </w:r>
      <w:r w:rsidRPr="00355651">
        <w:rPr>
          <w:rFonts w:ascii="Ottawa" w:hAnsi="Ottawa" w:cs="Arial"/>
          <w:i/>
          <w:sz w:val="18"/>
          <w:lang w:val="en-IE"/>
        </w:rPr>
        <w:br/>
        <w:t xml:space="preserve">A–A = medulla, at the </w:t>
      </w:r>
      <w:proofErr w:type="spellStart"/>
      <w:r w:rsidRPr="00355651">
        <w:rPr>
          <w:rFonts w:ascii="Ottawa" w:hAnsi="Ottawa" w:cs="Arial"/>
          <w:i/>
          <w:sz w:val="18"/>
          <w:lang w:val="en-IE"/>
        </w:rPr>
        <w:t>obex</w:t>
      </w:r>
      <w:proofErr w:type="spellEnd"/>
      <w:r w:rsidRPr="00355651">
        <w:rPr>
          <w:rFonts w:ascii="Ottawa" w:hAnsi="Ottawa" w:cs="Arial"/>
          <w:i/>
          <w:sz w:val="18"/>
          <w:lang w:val="en-IE"/>
        </w:rPr>
        <w:t xml:space="preserve">; B–B = medulla through caudal cerebellar peduncles; </w:t>
      </w:r>
      <w:r w:rsidRPr="00355651">
        <w:rPr>
          <w:rFonts w:ascii="Ottawa" w:hAnsi="Ottawa" w:cs="Arial"/>
          <w:i/>
          <w:sz w:val="18"/>
          <w:lang w:val="en-IE"/>
        </w:rPr>
        <w:br/>
        <w:t>C–C = midbrain through rostral colliculi.</w:t>
      </w:r>
    </w:p>
    <w:p w14:paraId="7BF8DCB7" w14:textId="30475B48" w:rsidR="00017A3B" w:rsidRPr="00FD132C" w:rsidRDefault="005757BB" w:rsidP="002943E5">
      <w:pPr>
        <w:pStyle w:val="11Para"/>
      </w:pPr>
      <w:r w:rsidRPr="00FD132C">
        <w:t xml:space="preserve">leaving intact the remaining diagnostically important cross-sectional areas at the levels of the cerebellar peduncles and the rostral colliculi (Figure 1a and b, levels B–B and C–C, respectively). Depending on some other factors (temperature, agitation, thickness of tissue block, use of microwave) the fixation time for these smaller pieces of brain may be reduced. However, evaluation of the effects of these kinds of accelerated fixation processes on subsequent IHC protocols needs to satisfy proficiency testing standards. The other </w:t>
      </w:r>
      <w:proofErr w:type="spellStart"/>
      <w:r w:rsidRPr="00FD132C">
        <w:t>formol</w:t>
      </w:r>
      <w:proofErr w:type="spellEnd"/>
      <w:r w:rsidRPr="00FD132C">
        <w:t>-fixed parts of the brain may be used for differential diagnosis after completing the standard 2 weeks</w:t>
      </w:r>
      <w:r w:rsidR="002777B7" w:rsidRPr="00FD132C">
        <w:t xml:space="preserve"> of</w:t>
      </w:r>
      <w:r w:rsidRPr="00FD132C">
        <w:t xml:space="preserve"> fixation.</w:t>
      </w:r>
    </w:p>
    <w:p w14:paraId="7BF8DCB8" w14:textId="14F6BD55" w:rsidR="00C27990" w:rsidRPr="00FD132C" w:rsidRDefault="00C27990" w:rsidP="00017A3B">
      <w:pPr>
        <w:pStyle w:val="11Para"/>
        <w:rPr>
          <w:lang w:val="en-IE"/>
        </w:rPr>
      </w:pPr>
      <w:r w:rsidRPr="00FD132C">
        <w:rPr>
          <w:b/>
          <w:bCs/>
          <w:lang w:val="en-IE"/>
        </w:rPr>
        <w:t>When the occurrence of BSE in a particular country has been established in the indigenous cattle population</w:t>
      </w:r>
      <w:r w:rsidRPr="00FD132C">
        <w:rPr>
          <w:lang w:val="en-IE"/>
        </w:rPr>
        <w:t xml:space="preserve">, and there is evidence that the distribution of lesions and other </w:t>
      </w:r>
      <w:r w:rsidR="005542E9" w:rsidRPr="00FD132C">
        <w:rPr>
          <w:lang w:val="en-IE"/>
        </w:rPr>
        <w:t xml:space="preserve">aspects of disease </w:t>
      </w:r>
      <w:r w:rsidRPr="00FD132C">
        <w:rPr>
          <w:lang w:val="en-IE"/>
        </w:rPr>
        <w:t>phenotyp</w:t>
      </w:r>
      <w:r w:rsidR="005542E9" w:rsidRPr="00FD132C">
        <w:rPr>
          <w:lang w:val="en-IE"/>
        </w:rPr>
        <w:t>e</w:t>
      </w:r>
      <w:r w:rsidR="00F210F4" w:rsidRPr="00FD132C">
        <w:rPr>
          <w:lang w:val="en-IE"/>
        </w:rPr>
        <w:t xml:space="preserve"> </w:t>
      </w:r>
      <w:r w:rsidRPr="00FD132C">
        <w:rPr>
          <w:lang w:val="en-IE"/>
        </w:rPr>
        <w:t>are consistent with</w:t>
      </w:r>
      <w:r w:rsidR="005542E9" w:rsidRPr="00FD132C">
        <w:rPr>
          <w:lang w:val="en-IE"/>
        </w:rPr>
        <w:t xml:space="preserve"> those described for classical BSE</w:t>
      </w:r>
      <w:r w:rsidR="00B10DB2" w:rsidRPr="00FD132C">
        <w:rPr>
          <w:lang w:val="en-IE"/>
        </w:rPr>
        <w:t>,</w:t>
      </w:r>
      <w:r w:rsidR="00F210F4" w:rsidRPr="00FD132C">
        <w:rPr>
          <w:lang w:val="en-IE"/>
        </w:rPr>
        <w:t xml:space="preserve"> </w:t>
      </w:r>
      <w:r w:rsidRPr="00FD132C">
        <w:rPr>
          <w:lang w:val="en-IE"/>
        </w:rPr>
        <w:t xml:space="preserve">it is adequate, although not ideal, for </w:t>
      </w:r>
      <w:r w:rsidR="005542E9" w:rsidRPr="00FD132C">
        <w:rPr>
          <w:lang w:val="en-IE"/>
        </w:rPr>
        <w:t xml:space="preserve">disease confirmation and </w:t>
      </w:r>
      <w:r w:rsidRPr="00FD132C">
        <w:rPr>
          <w:lang w:val="en-IE"/>
        </w:rPr>
        <w:t xml:space="preserve">monitoring purposes, to remove the brainstem alone. </w:t>
      </w:r>
    </w:p>
    <w:p w14:paraId="7BF8DCB9" w14:textId="38E06DE0" w:rsidR="00A6788B" w:rsidRPr="00FD132C" w:rsidRDefault="00A6788B" w:rsidP="00A6788B">
      <w:pPr>
        <w:pStyle w:val="11Para"/>
        <w:rPr>
          <w:lang w:val="en-IE"/>
        </w:rPr>
      </w:pPr>
      <w:r w:rsidRPr="00FD132C">
        <w:rPr>
          <w:lang w:val="en-IE"/>
        </w:rPr>
        <w:t xml:space="preserve">This can be achieved via the </w:t>
      </w:r>
      <w:r w:rsidRPr="00FD132C">
        <w:rPr>
          <w:i/>
          <w:lang w:val="en-IE"/>
        </w:rPr>
        <w:t>foramen</w:t>
      </w:r>
      <w:r w:rsidRPr="00FD132C">
        <w:rPr>
          <w:lang w:val="en-IE"/>
        </w:rPr>
        <w:t xml:space="preserve"> </w:t>
      </w:r>
      <w:r w:rsidRPr="00FD132C">
        <w:rPr>
          <w:i/>
          <w:lang w:val="en-IE"/>
        </w:rPr>
        <w:t xml:space="preserve">magnum </w:t>
      </w:r>
      <w:r w:rsidRPr="00FD132C">
        <w:rPr>
          <w:lang w:val="en-IE"/>
        </w:rPr>
        <w:t xml:space="preserve">without removal of the calvarium (Fig. 2). </w:t>
      </w:r>
      <w:r w:rsidRPr="00FD132C">
        <w:t xml:space="preserve">This will reduce the amount of fixative required and the time and equipment needed, thereby lowering costs and improving safety. The major target areas for histological examination can still be maintained. This method allows for collecting and examining a large number of samples for passive surveillance or for an active surveillance programme in abattoirs and on fallen stock animals. </w:t>
      </w:r>
      <w:r w:rsidRPr="00FD132C">
        <w:rPr>
          <w:lang w:val="en-IE"/>
        </w:rPr>
        <w:t xml:space="preserve">The brainstem is dissected through the </w:t>
      </w:r>
      <w:r w:rsidRPr="00FD132C">
        <w:rPr>
          <w:i/>
          <w:lang w:val="en-IE"/>
        </w:rPr>
        <w:t>foramen magnum,</w:t>
      </w:r>
      <w:r w:rsidRPr="00FD132C">
        <w:rPr>
          <w:lang w:val="en-IE"/>
        </w:rPr>
        <w:t xml:space="preserve"> without opening the skull, by means of a specially designed spoon-shaped instrument with sharp edges around the shallow bowl. Such instruments are available commercially. It is possible that variations in technique, including orientation, are required with different forms of the instrument, and it is important to train operators once there is agreement on equipment to be used. This training should include information on the cross-sectional distribution of </w:t>
      </w:r>
      <w:proofErr w:type="spellStart"/>
      <w:r w:rsidRPr="00FD132C">
        <w:rPr>
          <w:lang w:val="en-IE"/>
        </w:rPr>
        <w:t>PrP</w:t>
      </w:r>
      <w:r w:rsidRPr="004E3697">
        <w:rPr>
          <w:szCs w:val="14"/>
          <w:vertAlign w:val="superscript"/>
          <w:lang w:val="en-IE"/>
        </w:rPr>
        <w:t>Sc</w:t>
      </w:r>
      <w:proofErr w:type="spellEnd"/>
      <w:r w:rsidRPr="00FD132C">
        <w:rPr>
          <w:lang w:val="en-IE"/>
        </w:rPr>
        <w:t xml:space="preserve"> in the brainstem, and the need for the accurate sampling and preservation of the diagnostic target areas (see below). </w:t>
      </w:r>
    </w:p>
    <w:p w14:paraId="7BF8DCBB" w14:textId="5D43819E" w:rsidR="00C27990" w:rsidRPr="00FD132C" w:rsidRDefault="004122EA">
      <w:pPr>
        <w:pStyle w:val="paraa"/>
        <w:jc w:val="center"/>
        <w:rPr>
          <w:lang w:val="en-IE"/>
        </w:rPr>
      </w:pPr>
      <w:r w:rsidRPr="00FD132C">
        <w:object w:dxaOrig="14115" w:dyaOrig="12495" w14:anchorId="7BF8DD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15pt;height:259.3pt" o:ole="">
            <v:imagedata r:id="rId12" o:title="" cropbottom="9269f"/>
          </v:shape>
          <o:OLEObject Type="Embed" ProgID="MSPhotoEd.3" ShapeID="_x0000_i1025" DrawAspect="Content" ObjectID="_1644827536" r:id="rId13"/>
        </w:object>
      </w:r>
    </w:p>
    <w:p w14:paraId="7BF8DCBC" w14:textId="77777777" w:rsidR="00C27990" w:rsidRPr="00355651" w:rsidRDefault="00C27990" w:rsidP="00067A55">
      <w:pPr>
        <w:pStyle w:val="para1"/>
        <w:spacing w:line="200" w:lineRule="exact"/>
        <w:jc w:val="center"/>
        <w:rPr>
          <w:rFonts w:ascii="Ottawa" w:hAnsi="Ottawa"/>
          <w:i/>
          <w:lang w:val="en-IE"/>
        </w:rPr>
      </w:pPr>
      <w:r w:rsidRPr="00355651">
        <w:rPr>
          <w:rFonts w:ascii="Ottawa" w:hAnsi="Ottawa"/>
          <w:b/>
          <w:bCs/>
          <w:szCs w:val="20"/>
        </w:rPr>
        <w:t>Fig. 2.</w:t>
      </w:r>
      <w:r w:rsidRPr="00355651">
        <w:rPr>
          <w:rFonts w:ascii="Ottawa" w:hAnsi="Ottawa"/>
          <w:szCs w:val="20"/>
        </w:rPr>
        <w:t xml:space="preserve"> </w:t>
      </w:r>
      <w:r w:rsidRPr="00355651">
        <w:rPr>
          <w:rFonts w:ascii="Ottawa" w:hAnsi="Ottawa"/>
          <w:i/>
          <w:iCs/>
          <w:szCs w:val="20"/>
        </w:rPr>
        <w:t xml:space="preserve">After the head has been removed from the body by cutting between the atlas vertebra and the </w:t>
      </w:r>
      <w:r w:rsidR="00067A55" w:rsidRPr="00355651">
        <w:rPr>
          <w:rFonts w:ascii="Ottawa" w:hAnsi="Ottawa"/>
          <w:i/>
          <w:iCs/>
          <w:szCs w:val="20"/>
        </w:rPr>
        <w:br/>
      </w:r>
      <w:r w:rsidRPr="00355651">
        <w:rPr>
          <w:rFonts w:ascii="Ottawa" w:hAnsi="Ottawa"/>
          <w:i/>
          <w:iCs/>
          <w:szCs w:val="20"/>
        </w:rPr>
        <w:t xml:space="preserve">occipital condyles of the skull, it is placed on a support, ventral surface uppermost </w:t>
      </w:r>
      <w:r w:rsidRPr="00355651">
        <w:rPr>
          <w:rFonts w:ascii="Ottawa" w:hAnsi="Ottawa"/>
          <w:szCs w:val="20"/>
        </w:rPr>
        <w:t>(</w:t>
      </w:r>
      <w:r w:rsidRPr="00355651">
        <w:rPr>
          <w:rFonts w:ascii="Ottawa" w:hAnsi="Ottawa"/>
          <w:i/>
          <w:iCs/>
          <w:szCs w:val="20"/>
        </w:rPr>
        <w:t>A</w:t>
      </w:r>
      <w:r w:rsidRPr="00355651">
        <w:rPr>
          <w:rFonts w:ascii="Ottawa" w:hAnsi="Ottawa"/>
          <w:szCs w:val="20"/>
        </w:rPr>
        <w:t xml:space="preserve">), </w:t>
      </w:r>
      <w:r w:rsidRPr="00355651">
        <w:rPr>
          <w:rFonts w:ascii="Ottawa" w:hAnsi="Ottawa"/>
          <w:i/>
          <w:iCs/>
          <w:szCs w:val="20"/>
        </w:rPr>
        <w:t xml:space="preserve">with the caudal end of the brainstem </w:t>
      </w:r>
      <w:r w:rsidRPr="00355651">
        <w:rPr>
          <w:rFonts w:ascii="Ottawa" w:hAnsi="Ottawa"/>
          <w:szCs w:val="20"/>
        </w:rPr>
        <w:t>(</w:t>
      </w:r>
      <w:r w:rsidRPr="00355651">
        <w:rPr>
          <w:rFonts w:ascii="Ottawa" w:hAnsi="Ottawa"/>
          <w:i/>
          <w:iCs/>
          <w:szCs w:val="20"/>
        </w:rPr>
        <w:t>medulla oblongata</w:t>
      </w:r>
      <w:r w:rsidRPr="00355651">
        <w:rPr>
          <w:rFonts w:ascii="Ottawa" w:hAnsi="Ottawa"/>
          <w:szCs w:val="20"/>
        </w:rPr>
        <w:t>)</w:t>
      </w:r>
      <w:r w:rsidRPr="00355651">
        <w:rPr>
          <w:rFonts w:ascii="Ottawa" w:hAnsi="Ottawa"/>
          <w:i/>
          <w:iCs/>
          <w:szCs w:val="20"/>
        </w:rPr>
        <w:t xml:space="preserve"> visible at the foramen magnum </w:t>
      </w:r>
      <w:r w:rsidRPr="00355651">
        <w:rPr>
          <w:rFonts w:ascii="Ottawa" w:hAnsi="Ottawa"/>
          <w:szCs w:val="20"/>
        </w:rPr>
        <w:t>(</w:t>
      </w:r>
      <w:r w:rsidRPr="00355651">
        <w:rPr>
          <w:rFonts w:ascii="Ottawa" w:hAnsi="Ottawa"/>
          <w:i/>
          <w:iCs/>
          <w:szCs w:val="20"/>
        </w:rPr>
        <w:t>see B, expanded drawing of cranium</w:t>
      </w:r>
      <w:r w:rsidRPr="00355651">
        <w:rPr>
          <w:rFonts w:ascii="Ottawa" w:hAnsi="Ottawa"/>
          <w:szCs w:val="20"/>
        </w:rPr>
        <w:t>).</w:t>
      </w:r>
      <w:r w:rsidRPr="00355651">
        <w:rPr>
          <w:rFonts w:ascii="Ottawa" w:hAnsi="Ottawa"/>
          <w:i/>
          <w:iCs/>
          <w:szCs w:val="20"/>
        </w:rPr>
        <w:t xml:space="preserve"> </w:t>
      </w:r>
      <w:r w:rsidR="00067A55" w:rsidRPr="00355651">
        <w:rPr>
          <w:rFonts w:ascii="Ottawa" w:hAnsi="Ottawa"/>
          <w:i/>
          <w:iCs/>
          <w:szCs w:val="20"/>
        </w:rPr>
        <w:br/>
      </w:r>
      <w:r w:rsidRPr="00355651">
        <w:rPr>
          <w:rFonts w:ascii="Ottawa" w:hAnsi="Ottawa"/>
          <w:i/>
          <w:iCs/>
          <w:szCs w:val="20"/>
        </w:rPr>
        <w:t xml:space="preserve">The instrument </w:t>
      </w:r>
      <w:r w:rsidRPr="00355651">
        <w:rPr>
          <w:rFonts w:ascii="Ottawa" w:hAnsi="Ottawa"/>
          <w:szCs w:val="20"/>
        </w:rPr>
        <w:t>(</w:t>
      </w:r>
      <w:r w:rsidRPr="00355651">
        <w:rPr>
          <w:rFonts w:ascii="Ottawa" w:hAnsi="Ottawa"/>
          <w:i/>
          <w:iCs/>
          <w:szCs w:val="20"/>
        </w:rPr>
        <w:t>C</w:t>
      </w:r>
      <w:r w:rsidRPr="00355651">
        <w:rPr>
          <w:rFonts w:ascii="Ottawa" w:hAnsi="Ottawa"/>
          <w:szCs w:val="20"/>
        </w:rPr>
        <w:t>)</w:t>
      </w:r>
      <w:r w:rsidRPr="00355651">
        <w:rPr>
          <w:rFonts w:ascii="Ottawa" w:hAnsi="Ottawa"/>
          <w:i/>
          <w:iCs/>
          <w:szCs w:val="20"/>
        </w:rPr>
        <w:t xml:space="preserve"> is inserted through the foramen magnum between the dura mater and the ventral/dorsal aspect </w:t>
      </w:r>
      <w:r w:rsidRPr="00355651">
        <w:rPr>
          <w:rFonts w:ascii="Ottawa" w:hAnsi="Ottawa"/>
          <w:szCs w:val="20"/>
        </w:rPr>
        <w:t>(</w:t>
      </w:r>
      <w:r w:rsidRPr="00355651">
        <w:rPr>
          <w:rFonts w:ascii="Ottawa" w:hAnsi="Ottawa"/>
          <w:i/>
          <w:iCs/>
          <w:szCs w:val="20"/>
        </w:rPr>
        <w:t>depending upon the specific approach</w:t>
      </w:r>
      <w:r w:rsidRPr="00355651">
        <w:rPr>
          <w:rFonts w:ascii="Ottawa" w:hAnsi="Ottawa"/>
          <w:szCs w:val="20"/>
        </w:rPr>
        <w:t>)</w:t>
      </w:r>
      <w:r w:rsidRPr="00355651">
        <w:rPr>
          <w:rFonts w:ascii="Ottawa" w:hAnsi="Ottawa"/>
          <w:i/>
          <w:iCs/>
          <w:szCs w:val="20"/>
        </w:rPr>
        <w:t xml:space="preserve"> of the medulla and advanced rostrally, keeping the convexity of the bowl of the instrument applied to the bone of the skull and moving with a side-to-side rotational action. </w:t>
      </w:r>
      <w:r w:rsidR="00067A55" w:rsidRPr="00355651">
        <w:rPr>
          <w:rFonts w:ascii="Ottawa" w:hAnsi="Ottawa"/>
          <w:i/>
          <w:iCs/>
          <w:szCs w:val="20"/>
        </w:rPr>
        <w:br/>
      </w:r>
      <w:r w:rsidRPr="00355651">
        <w:rPr>
          <w:rFonts w:ascii="Ottawa" w:hAnsi="Ottawa"/>
          <w:i/>
          <w:iCs/>
          <w:szCs w:val="20"/>
        </w:rPr>
        <w:t xml:space="preserve">This severs the cranial nerve roots without damaging the brain tissue. The instrument is passed </w:t>
      </w:r>
      <w:r w:rsidR="00067A55" w:rsidRPr="00355651">
        <w:rPr>
          <w:rFonts w:ascii="Ottawa" w:hAnsi="Ottawa"/>
          <w:i/>
          <w:iCs/>
          <w:szCs w:val="20"/>
        </w:rPr>
        <w:br/>
      </w:r>
      <w:r w:rsidRPr="00355651">
        <w:rPr>
          <w:rFonts w:ascii="Ottawa" w:hAnsi="Ottawa"/>
          <w:i/>
          <w:iCs/>
          <w:szCs w:val="20"/>
        </w:rPr>
        <w:t xml:space="preserve">rostrally for approximately 7 cm in this way and then angled sharply </w:t>
      </w:r>
      <w:r w:rsidRPr="00355651">
        <w:rPr>
          <w:rFonts w:ascii="Ottawa" w:hAnsi="Ottawa"/>
          <w:szCs w:val="20"/>
        </w:rPr>
        <w:t>(</w:t>
      </w:r>
      <w:r w:rsidRPr="00355651">
        <w:rPr>
          <w:rFonts w:ascii="Ottawa" w:hAnsi="Ottawa"/>
          <w:i/>
          <w:iCs/>
          <w:szCs w:val="20"/>
        </w:rPr>
        <w:t>i.e. toward the dorsal/ventral aspect of the brainstem, depending on the approach</w:t>
      </w:r>
      <w:r w:rsidRPr="00355651">
        <w:rPr>
          <w:rFonts w:ascii="Ottawa" w:hAnsi="Ottawa"/>
          <w:szCs w:val="20"/>
        </w:rPr>
        <w:t>)</w:t>
      </w:r>
      <w:r w:rsidRPr="00355651">
        <w:rPr>
          <w:rFonts w:ascii="Ottawa" w:hAnsi="Ottawa"/>
          <w:i/>
          <w:iCs/>
          <w:szCs w:val="20"/>
        </w:rPr>
        <w:t xml:space="preserve"> to cut and separate the brainstem </w:t>
      </w:r>
      <w:r w:rsidRPr="00355651">
        <w:rPr>
          <w:rFonts w:ascii="Ottawa" w:hAnsi="Ottawa"/>
          <w:szCs w:val="20"/>
        </w:rPr>
        <w:t>(</w:t>
      </w:r>
      <w:r w:rsidRPr="00355651">
        <w:rPr>
          <w:rFonts w:ascii="Ottawa" w:hAnsi="Ottawa"/>
          <w:i/>
          <w:iCs/>
          <w:szCs w:val="20"/>
        </w:rPr>
        <w:t>with some fragments of cerebellum</w:t>
      </w:r>
      <w:r w:rsidRPr="00355651">
        <w:rPr>
          <w:rFonts w:ascii="Ottawa" w:hAnsi="Ottawa"/>
          <w:szCs w:val="20"/>
        </w:rPr>
        <w:t xml:space="preserve">) </w:t>
      </w:r>
      <w:r w:rsidRPr="00355651">
        <w:rPr>
          <w:rFonts w:ascii="Ottawa" w:hAnsi="Ottawa"/>
          <w:i/>
          <w:iCs/>
          <w:szCs w:val="20"/>
        </w:rPr>
        <w:t xml:space="preserve">from the rest of the brain. The instrument, kept in the angled position, is then withdrawn from the </w:t>
      </w:r>
      <w:r w:rsidR="00067A55" w:rsidRPr="00355651">
        <w:rPr>
          <w:rFonts w:ascii="Ottawa" w:hAnsi="Ottawa"/>
          <w:i/>
          <w:iCs/>
          <w:szCs w:val="20"/>
        </w:rPr>
        <w:br/>
      </w:r>
      <w:r w:rsidRPr="00355651">
        <w:rPr>
          <w:rFonts w:ascii="Ottawa" w:hAnsi="Ottawa"/>
          <w:i/>
          <w:iCs/>
          <w:szCs w:val="20"/>
        </w:rPr>
        <w:t>skull to eject the tissue through the foramen</w:t>
      </w:r>
      <w:r w:rsidRPr="00355651">
        <w:rPr>
          <w:rFonts w:ascii="Ottawa" w:hAnsi="Ottawa"/>
          <w:i/>
          <w:lang w:val="en-IE"/>
        </w:rPr>
        <w:t xml:space="preserve"> magnum.</w:t>
      </w:r>
    </w:p>
    <w:p w14:paraId="0EE78BD3" w14:textId="184F7104" w:rsidR="00100261" w:rsidRPr="00FD132C" w:rsidRDefault="00100261" w:rsidP="004122EA">
      <w:pPr>
        <w:pStyle w:val="11Para"/>
        <w:keepLines/>
        <w:rPr>
          <w:lang w:val="en-IE"/>
        </w:rPr>
      </w:pPr>
      <w:r w:rsidRPr="00FD132C">
        <w:rPr>
          <w:b/>
          <w:bCs/>
          <w:lang w:val="en-IE"/>
        </w:rPr>
        <w:lastRenderedPageBreak/>
        <w:t>Where the index case is identified through active surveillance</w:t>
      </w:r>
      <w:r w:rsidRPr="00FD132C">
        <w:rPr>
          <w:lang w:val="en-IE"/>
        </w:rPr>
        <w:t xml:space="preserve">, the necessary brain areas for full phenotypic characterisation are unlikely to be available. In most countries, brainstem alone is collected, even before the first confirmation of BSE. Provision should be made for heads that have been sampled in the course of active surveillance to be retained until the outcome of initial testing is available. This would enable comprehensive sampling of the brain of positive animals in retrospect for the characterisation of cases. This is particularly important if in-house tests that are not subject to external quality assurance are used and where, in the absence of direct comparison with the methods described here, claims are made that new phenotypes have been identified. Where rapid immunoassays are used as the primary surveillance tool it is necessary to make material available for further </w:t>
      </w:r>
      <w:r w:rsidR="003B74A2" w:rsidRPr="00EA70AB">
        <w:rPr>
          <w:u w:val="double"/>
          <w:lang w:val="en-IE"/>
        </w:rPr>
        <w:t>immunohistochemistry</w:t>
      </w:r>
      <w:r w:rsidR="003B74A2" w:rsidRPr="00FD132C">
        <w:rPr>
          <w:lang w:val="en-IE"/>
        </w:rPr>
        <w:t xml:space="preserve"> </w:t>
      </w:r>
      <w:r w:rsidRPr="00EA70AB">
        <w:rPr>
          <w:strike/>
          <w:lang w:val="en-IE"/>
        </w:rPr>
        <w:t xml:space="preserve">morphological </w:t>
      </w:r>
      <w:r w:rsidRPr="00FD132C">
        <w:rPr>
          <w:lang w:val="en-IE"/>
        </w:rPr>
        <w:t>(including</w:t>
      </w:r>
      <w:r w:rsidR="003B74A2" w:rsidRPr="003B74A2">
        <w:rPr>
          <w:lang w:val="en-IE"/>
        </w:rPr>
        <w:t xml:space="preserve"> </w:t>
      </w:r>
      <w:r w:rsidR="003B74A2" w:rsidRPr="00EA70AB">
        <w:rPr>
          <w:u w:val="double"/>
          <w:lang w:val="en-IE"/>
        </w:rPr>
        <w:t>morphological</w:t>
      </w:r>
      <w:r w:rsidRPr="00EA70AB">
        <w:rPr>
          <w:strike/>
          <w:lang w:val="en-IE"/>
        </w:rPr>
        <w:t xml:space="preserve"> immunohistochemistry</w:t>
      </w:r>
      <w:r w:rsidRPr="00FD132C">
        <w:rPr>
          <w:lang w:val="en-IE"/>
        </w:rPr>
        <w:t>) and molecular examination that would allow identification of disease phenotype in the absence of a diagnosis of BSE having ever been made in that country.</w:t>
      </w:r>
    </w:p>
    <w:p w14:paraId="7BF8DCBD" w14:textId="77777777" w:rsidR="00C27990" w:rsidRPr="00FD132C" w:rsidRDefault="002943E5" w:rsidP="002943E5">
      <w:pPr>
        <w:pStyle w:val="111"/>
        <w:rPr>
          <w:lang w:val="en-IE"/>
        </w:rPr>
      </w:pPr>
      <w:r w:rsidRPr="00FD132C">
        <w:rPr>
          <w:lang w:val="en-IE"/>
        </w:rPr>
        <w:t>1.1.1.</w:t>
      </w:r>
      <w:r w:rsidR="00C27990" w:rsidRPr="00FD132C">
        <w:rPr>
          <w:lang w:val="en-IE"/>
        </w:rPr>
        <w:tab/>
        <w:t>Sampling of brainstem in active surveillance with use of rapid tests</w:t>
      </w:r>
    </w:p>
    <w:p w14:paraId="7BF8DCBE" w14:textId="77777777" w:rsidR="001F6FCF" w:rsidRPr="00FD132C" w:rsidRDefault="00C27990" w:rsidP="001F6FCF">
      <w:pPr>
        <w:pStyle w:val="111Para"/>
      </w:pPr>
      <w:r w:rsidRPr="00FD132C">
        <w:rPr>
          <w:lang w:val="en-IE"/>
        </w:rPr>
        <w:t xml:space="preserve">The sampling and processing of brain tissue for use in </w:t>
      </w:r>
      <w:r w:rsidR="00BB7064" w:rsidRPr="00FD132C">
        <w:rPr>
          <w:lang w:val="en-IE"/>
        </w:rPr>
        <w:t>any</w:t>
      </w:r>
      <w:r w:rsidR="00F210F4" w:rsidRPr="00FD132C">
        <w:rPr>
          <w:lang w:val="en-IE"/>
        </w:rPr>
        <w:t xml:space="preserve"> </w:t>
      </w:r>
      <w:r w:rsidRPr="00FD132C">
        <w:rPr>
          <w:lang w:val="en-IE"/>
        </w:rPr>
        <w:t xml:space="preserve">rapid test should be carried out precisely as specified by the supplier or manufacturer of the test method or kit. Details of this procedure vary from method to method and should not be changed without supportive validation data from the manufacturer for the variant methodology. The preferred sample for immunoassay should be at, or within 1.0 cm rostral, or caudal to, the </w:t>
      </w:r>
      <w:proofErr w:type="spellStart"/>
      <w:r w:rsidRPr="00FD132C">
        <w:rPr>
          <w:lang w:val="en-IE"/>
        </w:rPr>
        <w:t>obex</w:t>
      </w:r>
      <w:proofErr w:type="spellEnd"/>
      <w:r w:rsidRPr="00FD132C">
        <w:rPr>
          <w:lang w:val="en-IE"/>
        </w:rPr>
        <w:t xml:space="preserve">, based on the caudo-rostral extent of the key target sites (Fig. 3) for demonstration of </w:t>
      </w:r>
      <w:proofErr w:type="spellStart"/>
      <w:r w:rsidRPr="00FD132C">
        <w:rPr>
          <w:lang w:val="en-IE"/>
        </w:rPr>
        <w:t>PrP</w:t>
      </w:r>
      <w:r w:rsidRPr="004E3697">
        <w:rPr>
          <w:vertAlign w:val="superscript"/>
          <w:lang w:val="en-IE"/>
        </w:rPr>
        <w:t>Sc</w:t>
      </w:r>
      <w:proofErr w:type="spellEnd"/>
      <w:r w:rsidRPr="00FD132C">
        <w:rPr>
          <w:lang w:val="en-IE"/>
        </w:rPr>
        <w:t xml:space="preserve"> accumulations and the evaluation of sampling for rapid tests. The choice of target site has to take into account the subsequent </w:t>
      </w:r>
      <w:r w:rsidR="001F6FCF" w:rsidRPr="00FD132C">
        <w:rPr>
          <w:lang w:val="en-IE"/>
        </w:rPr>
        <w:t xml:space="preserve">method of confirmation. </w:t>
      </w:r>
      <w:r w:rsidR="001F6FCF" w:rsidRPr="00FD132C">
        <w:t xml:space="preserve">At least a hemi-section of the medulla at the level of the </w:t>
      </w:r>
      <w:proofErr w:type="spellStart"/>
      <w:r w:rsidR="001F6FCF" w:rsidRPr="00FD132C">
        <w:t>obex</w:t>
      </w:r>
      <w:proofErr w:type="spellEnd"/>
      <w:r w:rsidR="001F6FCF" w:rsidRPr="00FD132C">
        <w:t xml:space="preserve"> should be kept intact for fixation for immunohistochemistry/histology (as described above) should a positive result require confirmation. Sampling the medulla rostral or caudal to the </w:t>
      </w:r>
      <w:proofErr w:type="spellStart"/>
      <w:r w:rsidR="001F6FCF" w:rsidRPr="00FD132C">
        <w:t>obex</w:t>
      </w:r>
      <w:proofErr w:type="spellEnd"/>
      <w:r w:rsidR="001F6FCF" w:rsidRPr="00FD132C">
        <w:t xml:space="preserve"> for rapid testing does not compromise examination by histological or IHC means. However, to obtain comparable samples for rapid </w:t>
      </w:r>
      <w:r w:rsidR="001F6FCF" w:rsidRPr="00FD132C">
        <w:rPr>
          <w:i/>
          <w:iCs/>
        </w:rPr>
        <w:t xml:space="preserve">and </w:t>
      </w:r>
      <w:r w:rsidR="001F6FCF" w:rsidRPr="00FD132C">
        <w:t xml:space="preserve">confirmatory testing, sampling by hemi-section of the medulla at the level of the </w:t>
      </w:r>
      <w:proofErr w:type="spellStart"/>
      <w:r w:rsidR="001F6FCF" w:rsidRPr="00FD132C">
        <w:t>obex</w:t>
      </w:r>
      <w:proofErr w:type="spellEnd"/>
      <w:r w:rsidR="001F6FCF" w:rsidRPr="00FD132C">
        <w:t xml:space="preserve"> is preferable. </w:t>
      </w:r>
      <w:r w:rsidR="001F6FCF" w:rsidRPr="00FD132C">
        <w:rPr>
          <w:lang w:val="en-IE"/>
        </w:rPr>
        <w:t xml:space="preserve">While there is resultant loss of the ability to assess the symmetry of any histopathological lesions (notably vacuolation), this approach is less likely to compromise the more important IHC examination. If hemi-sectioning is adopted however, it becomes critical to ensure that the target sites are not compromised in either sample. For example, the nucleus of the solitary tract and the dorsal motor nucleus of the </w:t>
      </w:r>
      <w:proofErr w:type="spellStart"/>
      <w:r w:rsidR="001F6FCF" w:rsidRPr="00FD132C">
        <w:rPr>
          <w:lang w:val="en-IE"/>
        </w:rPr>
        <w:t>vagus</w:t>
      </w:r>
      <w:proofErr w:type="spellEnd"/>
      <w:r w:rsidR="001F6FCF" w:rsidRPr="00FD132C">
        <w:rPr>
          <w:lang w:val="en-IE"/>
        </w:rPr>
        <w:t xml:space="preserve"> nerve (target areas for lesions in cattle with BSE) are small, and lie relatively close to the midline (Fig. 3). </w:t>
      </w:r>
      <w:r w:rsidR="001F6FCF" w:rsidRPr="00FD132C">
        <w:t>If sampled tissue is autolysed to the point that anatomical orientation is not possible, an unidentified aliquot can still be taken and tested. A positive result in such cases is still a valid result, but a negative test result cannot be taken to indicate a negative animal, and it should be interpreted with caution and reported with appropriate qualification.</w:t>
      </w:r>
    </w:p>
    <w:p w14:paraId="7BF8DCBF" w14:textId="77777777" w:rsidR="00C27990" w:rsidRPr="00FD132C" w:rsidRDefault="00A4122C">
      <w:pPr>
        <w:pStyle w:val="paraa"/>
        <w:jc w:val="center"/>
        <w:rPr>
          <w:lang w:val="en-IE"/>
        </w:rPr>
      </w:pPr>
      <w:r w:rsidRPr="00FD132C">
        <w:rPr>
          <w:noProof/>
          <w:lang w:val="de-CH" w:eastAsia="de-CH"/>
        </w:rPr>
        <w:drawing>
          <wp:inline distT="0" distB="0" distL="0" distR="0" wp14:anchorId="7BF8DD08" wp14:editId="7BF8DD09">
            <wp:extent cx="3314700" cy="2695575"/>
            <wp:effectExtent l="0" t="0" r="0" b="9525"/>
            <wp:docPr id="3" name="Image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3314700" cy="2695575"/>
                    </a:xfrm>
                    <a:prstGeom prst="rect">
                      <a:avLst/>
                    </a:prstGeom>
                    <a:noFill/>
                    <a:ln>
                      <a:noFill/>
                    </a:ln>
                  </pic:spPr>
                </pic:pic>
              </a:graphicData>
            </a:graphic>
          </wp:inline>
        </w:drawing>
      </w:r>
    </w:p>
    <w:p w14:paraId="7BF8DCC0" w14:textId="77777777" w:rsidR="00C27990" w:rsidRPr="00355651" w:rsidRDefault="00C27990">
      <w:pPr>
        <w:spacing w:after="240" w:line="240" w:lineRule="auto"/>
        <w:jc w:val="center"/>
        <w:rPr>
          <w:rFonts w:ascii="Ottawa" w:hAnsi="Ottawa" w:cs="Arial"/>
          <w:i/>
          <w:iCs/>
          <w:sz w:val="18"/>
          <w:lang w:val="en-IE"/>
        </w:rPr>
      </w:pPr>
      <w:r w:rsidRPr="00355651">
        <w:rPr>
          <w:rFonts w:ascii="Ottawa" w:hAnsi="Ottawa" w:cs="Arial"/>
          <w:b/>
          <w:bCs/>
          <w:i/>
          <w:iCs/>
          <w:sz w:val="18"/>
          <w:lang w:val="en-IE"/>
        </w:rPr>
        <w:t>Fig 3.</w:t>
      </w:r>
      <w:r w:rsidRPr="00355651">
        <w:rPr>
          <w:rFonts w:ascii="Ottawa" w:hAnsi="Ottawa" w:cs="Arial"/>
          <w:i/>
          <w:iCs/>
          <w:sz w:val="18"/>
          <w:lang w:val="en-IE"/>
        </w:rPr>
        <w:t xml:space="preserve"> Cross section of the bovine brainstem at the level of the </w:t>
      </w:r>
      <w:proofErr w:type="spellStart"/>
      <w:r w:rsidRPr="00355651">
        <w:rPr>
          <w:rFonts w:ascii="Ottawa" w:hAnsi="Ottawa" w:cs="Arial"/>
          <w:i/>
          <w:iCs/>
          <w:sz w:val="18"/>
          <w:lang w:val="en-IE"/>
        </w:rPr>
        <w:t>obex</w:t>
      </w:r>
      <w:proofErr w:type="spellEnd"/>
      <w:r w:rsidRPr="00355651">
        <w:rPr>
          <w:rFonts w:ascii="Ottawa" w:hAnsi="Ottawa" w:cs="Arial"/>
          <w:i/>
          <w:iCs/>
          <w:sz w:val="18"/>
          <w:lang w:val="en-IE"/>
        </w:rPr>
        <w:t xml:space="preserve"> identifying the key target sites for </w:t>
      </w:r>
      <w:r w:rsidRPr="00355651">
        <w:rPr>
          <w:rFonts w:ascii="Ottawa" w:hAnsi="Ottawa" w:cs="Arial"/>
          <w:i/>
          <w:iCs/>
          <w:sz w:val="18"/>
          <w:lang w:val="en-IE"/>
        </w:rPr>
        <w:br/>
        <w:t xml:space="preserve">diagnosis by histopathology and immunohistochemistry in BSE. These are principally the nucleus of the </w:t>
      </w:r>
      <w:r w:rsidRPr="00355651">
        <w:rPr>
          <w:rFonts w:ascii="Ottawa" w:hAnsi="Ottawa" w:cs="Arial"/>
          <w:i/>
          <w:iCs/>
          <w:sz w:val="18"/>
          <w:lang w:val="en-IE"/>
        </w:rPr>
        <w:br/>
        <w:t xml:space="preserve">solitary tract </w:t>
      </w:r>
      <w:r w:rsidRPr="00355651">
        <w:rPr>
          <w:rFonts w:ascii="Ottawa" w:hAnsi="Ottawa" w:cs="Arial"/>
          <w:sz w:val="18"/>
          <w:lang w:val="en-IE"/>
        </w:rPr>
        <w:t>[</w:t>
      </w:r>
      <w:r w:rsidRPr="00355651">
        <w:rPr>
          <w:rFonts w:ascii="Ottawa" w:hAnsi="Ottawa" w:cs="Arial"/>
          <w:i/>
          <w:iCs/>
          <w:sz w:val="18"/>
          <w:lang w:val="en-IE"/>
        </w:rPr>
        <w:t>1</w:t>
      </w:r>
      <w:r w:rsidRPr="00355651">
        <w:rPr>
          <w:rFonts w:ascii="Ottawa" w:hAnsi="Ottawa" w:cs="Arial"/>
          <w:sz w:val="18"/>
          <w:lang w:val="en-IE"/>
        </w:rPr>
        <w:t xml:space="preserve">] </w:t>
      </w:r>
      <w:r w:rsidRPr="00355651">
        <w:rPr>
          <w:rFonts w:ascii="Ottawa" w:hAnsi="Ottawa" w:cs="Arial"/>
          <w:i/>
          <w:iCs/>
          <w:sz w:val="18"/>
          <w:lang w:val="en-IE"/>
        </w:rPr>
        <w:t xml:space="preserve">and the nucleus of the spinal tract of the trigeminal nerve </w:t>
      </w:r>
      <w:r w:rsidRPr="00355651">
        <w:rPr>
          <w:rFonts w:ascii="Ottawa" w:hAnsi="Ottawa" w:cs="Arial"/>
          <w:sz w:val="18"/>
          <w:lang w:val="en-IE"/>
        </w:rPr>
        <w:t>[</w:t>
      </w:r>
      <w:r w:rsidRPr="00355651">
        <w:rPr>
          <w:rFonts w:ascii="Ottawa" w:hAnsi="Ottawa" w:cs="Arial"/>
          <w:i/>
          <w:iCs/>
          <w:sz w:val="18"/>
          <w:lang w:val="en-IE"/>
        </w:rPr>
        <w:t>2</w:t>
      </w:r>
      <w:r w:rsidRPr="00355651">
        <w:rPr>
          <w:rFonts w:ascii="Ottawa" w:hAnsi="Ottawa" w:cs="Arial"/>
          <w:sz w:val="18"/>
          <w:lang w:val="en-IE"/>
        </w:rPr>
        <w:t>]</w:t>
      </w:r>
      <w:r w:rsidRPr="00355651">
        <w:rPr>
          <w:rFonts w:ascii="Ottawa" w:hAnsi="Ottawa" w:cs="Arial"/>
          <w:i/>
          <w:iCs/>
          <w:sz w:val="18"/>
          <w:lang w:val="en-IE"/>
        </w:rPr>
        <w:t xml:space="preserve">; but also the dorsal motor </w:t>
      </w:r>
      <w:r w:rsidRPr="00355651">
        <w:rPr>
          <w:rFonts w:ascii="Ottawa" w:hAnsi="Ottawa" w:cs="Arial"/>
          <w:i/>
          <w:iCs/>
          <w:sz w:val="18"/>
          <w:lang w:val="en-IE"/>
        </w:rPr>
        <w:br/>
        <w:t xml:space="preserve">nucleus of the </w:t>
      </w:r>
      <w:proofErr w:type="spellStart"/>
      <w:r w:rsidRPr="00355651">
        <w:rPr>
          <w:rFonts w:ascii="Ottawa" w:hAnsi="Ottawa" w:cs="Arial"/>
          <w:i/>
          <w:iCs/>
          <w:sz w:val="18"/>
          <w:lang w:val="en-IE"/>
        </w:rPr>
        <w:t>vagus</w:t>
      </w:r>
      <w:proofErr w:type="spellEnd"/>
      <w:r w:rsidRPr="00355651">
        <w:rPr>
          <w:rFonts w:ascii="Ottawa" w:hAnsi="Ottawa" w:cs="Arial"/>
          <w:i/>
          <w:iCs/>
          <w:sz w:val="18"/>
          <w:lang w:val="en-IE"/>
        </w:rPr>
        <w:t xml:space="preserve"> nerve </w:t>
      </w:r>
      <w:r w:rsidRPr="00355651">
        <w:rPr>
          <w:rFonts w:ascii="Ottawa" w:hAnsi="Ottawa" w:cs="Arial"/>
          <w:sz w:val="18"/>
          <w:lang w:val="en-IE"/>
        </w:rPr>
        <w:t>[</w:t>
      </w:r>
      <w:r w:rsidRPr="00355651">
        <w:rPr>
          <w:rFonts w:ascii="Ottawa" w:hAnsi="Ottawa" w:cs="Arial"/>
          <w:i/>
          <w:iCs/>
          <w:sz w:val="18"/>
          <w:lang w:val="en-IE"/>
        </w:rPr>
        <w:t>3</w:t>
      </w:r>
      <w:r w:rsidRPr="00355651">
        <w:rPr>
          <w:rFonts w:ascii="Ottawa" w:hAnsi="Ottawa" w:cs="Arial"/>
          <w:sz w:val="18"/>
          <w:lang w:val="en-IE"/>
        </w:rPr>
        <w:t>]</w:t>
      </w:r>
      <w:r w:rsidRPr="00355651">
        <w:rPr>
          <w:rFonts w:ascii="Ottawa" w:hAnsi="Ottawa" w:cs="Arial"/>
          <w:i/>
          <w:iCs/>
          <w:sz w:val="18"/>
          <w:lang w:val="en-IE"/>
        </w:rPr>
        <w:t>. It follows that material taken for application of a rapid test must also include representation of these areas.</w:t>
      </w:r>
    </w:p>
    <w:p w14:paraId="7BF8DCC1" w14:textId="14E40D95" w:rsidR="00C27990" w:rsidRPr="00FD132C" w:rsidRDefault="00C27990" w:rsidP="002943E5">
      <w:pPr>
        <w:pStyle w:val="111Para"/>
      </w:pPr>
      <w:r w:rsidRPr="00FD132C">
        <w:lastRenderedPageBreak/>
        <w:t>Inaccurate hemi-sectioning could</w:t>
      </w:r>
      <w:r w:rsidR="00F210F4" w:rsidRPr="00FD132C">
        <w:t xml:space="preserve"> </w:t>
      </w:r>
      <w:r w:rsidRPr="00FD132C">
        <w:t xml:space="preserve">result in the complete loss of a target area for confirmatory testing, and </w:t>
      </w:r>
      <w:r w:rsidR="00D82F53" w:rsidRPr="00FD132C">
        <w:t xml:space="preserve">could compromise a </w:t>
      </w:r>
      <w:r w:rsidRPr="00FD132C">
        <w:t>surveillance programme. Failure to accurately sample target areas may also arise through inappropriate placement of proprietary sampling tools. Such approaches therefore need to be implemented with a very clear policy and monitoring programme for training and quality assurance of sampling procedures</w:t>
      </w:r>
      <w:r w:rsidR="003E2DBB" w:rsidRPr="00FD132C">
        <w:t xml:space="preserve">, including anatomical positioning, and not just sample </w:t>
      </w:r>
      <w:r w:rsidR="006B7311" w:rsidRPr="00FD132C">
        <w:t>weight</w:t>
      </w:r>
      <w:r w:rsidRPr="00FD132C">
        <w:t xml:space="preserve">. </w:t>
      </w:r>
      <w:r w:rsidR="004E7071" w:rsidRPr="00FD132C">
        <w:t xml:space="preserve">Because of the specifically targeted distribution of </w:t>
      </w:r>
      <w:proofErr w:type="spellStart"/>
      <w:r w:rsidR="004E7071" w:rsidRPr="00FD132C">
        <w:rPr>
          <w:lang w:val="en-IE"/>
        </w:rPr>
        <w:t>PrP</w:t>
      </w:r>
      <w:r w:rsidR="004E7071" w:rsidRPr="004E3697">
        <w:rPr>
          <w:vertAlign w:val="superscript"/>
          <w:lang w:val="en-IE"/>
        </w:rPr>
        <w:t>Sc</w:t>
      </w:r>
      <w:proofErr w:type="spellEnd"/>
      <w:r w:rsidR="004E7071" w:rsidRPr="00FD132C">
        <w:t>, sample size and location should be as described in the diagnostic kit or, if not specified, at least 0.5 g taken from the diagnostic target areas for all confirmatory tests as detailed in Fig 3.</w:t>
      </w:r>
      <w:r w:rsidR="00F210F4" w:rsidRPr="00FD132C">
        <w:t xml:space="preserve"> </w:t>
      </w:r>
      <w:r w:rsidRPr="00FD132C">
        <w:t>Performance characteristics of</w:t>
      </w:r>
      <w:r w:rsidR="00817876" w:rsidRPr="00FD132C">
        <w:t xml:space="preserve"> </w:t>
      </w:r>
      <w:r w:rsidRPr="00FD132C">
        <w:t xml:space="preserve">the tests may be compromised by autolysis, particularly due to loss of the ability to ensure inclusion of target areas in the sample taken </w:t>
      </w:r>
      <w:r w:rsidR="0044718F" w:rsidRPr="00FD132C">
        <w:t>for diagnosis</w:t>
      </w:r>
      <w:r w:rsidRPr="00FD132C">
        <w:t xml:space="preserve">. </w:t>
      </w:r>
    </w:p>
    <w:p w14:paraId="7BF8DCC2" w14:textId="77777777" w:rsidR="00C27990" w:rsidRPr="00FD132C" w:rsidRDefault="002943E5" w:rsidP="002943E5">
      <w:pPr>
        <w:pStyle w:val="11"/>
        <w:rPr>
          <w:rStyle w:val="Appelnotedebasdep"/>
          <w:vertAlign w:val="baseline"/>
        </w:rPr>
      </w:pPr>
      <w:r w:rsidRPr="00FD132C">
        <w:rPr>
          <w:rStyle w:val="Appelnotedebasdep"/>
          <w:vertAlign w:val="baseline"/>
        </w:rPr>
        <w:t>1</w:t>
      </w:r>
      <w:r w:rsidRPr="00FD132C">
        <w:t>.2.</w:t>
      </w:r>
      <w:r w:rsidR="00C27990" w:rsidRPr="00FD132C">
        <w:rPr>
          <w:rStyle w:val="Appelnotedebasdep"/>
          <w:vertAlign w:val="baseline"/>
        </w:rPr>
        <w:tab/>
        <w:t>Diagnostic examination</w:t>
      </w:r>
    </w:p>
    <w:p w14:paraId="7BF8DCC3" w14:textId="77777777" w:rsidR="00C27990" w:rsidRPr="00FD132C" w:rsidRDefault="002943E5" w:rsidP="002943E5">
      <w:pPr>
        <w:pStyle w:val="111"/>
        <w:rPr>
          <w:lang w:val="en-IE"/>
        </w:rPr>
      </w:pPr>
      <w:r w:rsidRPr="00FD132C">
        <w:rPr>
          <w:lang w:val="en-IE"/>
        </w:rPr>
        <w:t>1.2.1.</w:t>
      </w:r>
      <w:r w:rsidR="00C27990" w:rsidRPr="00FD132C">
        <w:rPr>
          <w:lang w:val="en-IE"/>
        </w:rPr>
        <w:tab/>
        <w:t>Histological examination</w:t>
      </w:r>
    </w:p>
    <w:p w14:paraId="6955BA2B" w14:textId="298D3261" w:rsidR="003C6DAC" w:rsidRPr="00EA70AB" w:rsidRDefault="00C27990" w:rsidP="002943E5">
      <w:pPr>
        <w:pStyle w:val="111Para"/>
        <w:rPr>
          <w:u w:val="double"/>
        </w:rPr>
      </w:pPr>
      <w:r w:rsidRPr="00FD132C">
        <w:t xml:space="preserve">Histopathology </w:t>
      </w:r>
      <w:r w:rsidR="003B74A2" w:rsidRPr="00EA70AB">
        <w:rPr>
          <w:u w:val="double"/>
        </w:rPr>
        <w:t>is mentioned in the current chapter because of its historical importance as it was the first method for TSE diagnosis and it still allows identification of TSE lesi</w:t>
      </w:r>
      <w:r w:rsidR="003C6DAC" w:rsidRPr="00EA70AB">
        <w:rPr>
          <w:u w:val="double"/>
        </w:rPr>
        <w:t xml:space="preserve">ons, namely vacuoles and plaques. However, these lesions appear after the formation of disease-specific forms of </w:t>
      </w:r>
      <w:proofErr w:type="spellStart"/>
      <w:r w:rsidR="003C6DAC" w:rsidRPr="00EA70AB">
        <w:rPr>
          <w:u w:val="double"/>
        </w:rPr>
        <w:t>PrP</w:t>
      </w:r>
      <w:proofErr w:type="spellEnd"/>
      <w:r w:rsidR="003C6DAC" w:rsidRPr="00EA70AB">
        <w:rPr>
          <w:u w:val="double"/>
        </w:rPr>
        <w:t xml:space="preserve"> during the course of disease. As a </w:t>
      </w:r>
      <w:r w:rsidR="005D0345" w:rsidRPr="00EA70AB">
        <w:rPr>
          <w:u w:val="double"/>
        </w:rPr>
        <w:t>result,</w:t>
      </w:r>
      <w:r w:rsidR="003C6DAC" w:rsidRPr="00EA70AB">
        <w:rPr>
          <w:u w:val="double"/>
        </w:rPr>
        <w:t xml:space="preserve"> histopathol</w:t>
      </w:r>
      <w:r w:rsidR="00290ADB">
        <w:rPr>
          <w:u w:val="double"/>
        </w:rPr>
        <w:t>o</w:t>
      </w:r>
      <w:r w:rsidR="003C6DAC" w:rsidRPr="00EA70AB">
        <w:rPr>
          <w:u w:val="double"/>
        </w:rPr>
        <w:t xml:space="preserve">gy has lower sensitivity compared </w:t>
      </w:r>
      <w:r w:rsidR="008834CE">
        <w:rPr>
          <w:u w:val="double"/>
        </w:rPr>
        <w:t>with</w:t>
      </w:r>
      <w:r w:rsidR="003C6DAC" w:rsidRPr="00EA70AB">
        <w:rPr>
          <w:u w:val="double"/>
        </w:rPr>
        <w:t xml:space="preserve"> agent identification methods and it has been superseded by them. In </w:t>
      </w:r>
      <w:r w:rsidR="005D0345" w:rsidRPr="00EA70AB">
        <w:rPr>
          <w:u w:val="double"/>
        </w:rPr>
        <w:t>addition,</w:t>
      </w:r>
      <w:r w:rsidR="003C6DAC" w:rsidRPr="00EA70AB">
        <w:rPr>
          <w:u w:val="double"/>
        </w:rPr>
        <w:t xml:space="preserve"> this diagnostic method requires good sample preservation, while diagnostic methods for disease-specific </w:t>
      </w:r>
      <w:proofErr w:type="spellStart"/>
      <w:r w:rsidR="003C6DAC" w:rsidRPr="00EA70AB">
        <w:rPr>
          <w:u w:val="double"/>
        </w:rPr>
        <w:t>PrP</w:t>
      </w:r>
      <w:proofErr w:type="spellEnd"/>
      <w:r w:rsidR="003C6DAC" w:rsidRPr="00EA70AB">
        <w:rPr>
          <w:u w:val="double"/>
        </w:rPr>
        <w:t xml:space="preserve"> are affected less by autolysis. </w:t>
      </w:r>
    </w:p>
    <w:p w14:paraId="7BF8DCC4" w14:textId="3ACAFFFE" w:rsidR="00C27990" w:rsidRPr="008834CE" w:rsidRDefault="003C6DAC" w:rsidP="002943E5">
      <w:pPr>
        <w:pStyle w:val="111Para"/>
        <w:rPr>
          <w:lang w:val="en-IE"/>
        </w:rPr>
      </w:pPr>
      <w:r w:rsidRPr="00EA70AB">
        <w:rPr>
          <w:u w:val="double"/>
        </w:rPr>
        <w:t>Histopathology alone</w:t>
      </w:r>
      <w:r w:rsidRPr="005D0345">
        <w:t xml:space="preserve"> </w:t>
      </w:r>
      <w:r w:rsidR="00C27990" w:rsidRPr="00FD132C">
        <w:t xml:space="preserve">is no longer the diagnostic method of choice for investigation of suspect animals, or </w:t>
      </w:r>
      <w:r w:rsidR="000E2C22" w:rsidRPr="00FD132C">
        <w:t xml:space="preserve">the </w:t>
      </w:r>
      <w:r w:rsidR="00C27990" w:rsidRPr="00FD132C">
        <w:t>screening of healthy populations. However, an awareness of the histopathological changes is important, to facilitate detection of cases when conducting routine diagnostic histological examinations of cattle brains</w:t>
      </w:r>
      <w:r w:rsidR="000E2C22" w:rsidRPr="00FD132C">
        <w:t xml:space="preserve"> </w:t>
      </w:r>
      <w:r w:rsidR="00D82F53" w:rsidRPr="00FD132C">
        <w:t xml:space="preserve">sampled for </w:t>
      </w:r>
      <w:r w:rsidR="00C5675A" w:rsidRPr="00FD132C">
        <w:t xml:space="preserve">reasons </w:t>
      </w:r>
      <w:r w:rsidR="00D82F53" w:rsidRPr="00FD132C">
        <w:t>other than BSE testing.</w:t>
      </w:r>
      <w:r w:rsidR="00817876" w:rsidRPr="00FD132C">
        <w:t xml:space="preserve"> </w:t>
      </w:r>
      <w:r w:rsidR="00C27990" w:rsidRPr="00FD132C">
        <w:t xml:space="preserve">For differential </w:t>
      </w:r>
      <w:r w:rsidR="00C27990" w:rsidRPr="008834CE">
        <w:t xml:space="preserve">diagnosis, </w:t>
      </w:r>
      <w:r w:rsidR="00C27990" w:rsidRPr="008834CE">
        <w:rPr>
          <w:lang w:val="en-IE"/>
        </w:rPr>
        <w:t>sections of medulla–</w:t>
      </w:r>
      <w:proofErr w:type="spellStart"/>
      <w:r w:rsidR="00C27990" w:rsidRPr="008834CE">
        <w:rPr>
          <w:lang w:val="en-IE"/>
        </w:rPr>
        <w:t>obex</w:t>
      </w:r>
      <w:proofErr w:type="spellEnd"/>
      <w:r w:rsidR="00C27990" w:rsidRPr="008834CE">
        <w:rPr>
          <w:lang w:val="en-IE"/>
        </w:rPr>
        <w:t xml:space="preserve"> are cut at 5 µm thickness and stained with haematoxylin and eosin (H&amp;E). If tissue quality permits, the histopathological examination of H&amp;E sections allows confirmation of the characteristic neuropathological changes of BSE (</w:t>
      </w:r>
      <w:r w:rsidR="0074223C" w:rsidRPr="008834CE">
        <w:rPr>
          <w:lang w:val="en-IE"/>
        </w:rPr>
        <w:t xml:space="preserve">Simmons </w:t>
      </w:r>
      <w:r w:rsidR="0074223C" w:rsidRPr="008834CE">
        <w:rPr>
          <w:i/>
          <w:lang w:val="en-IE"/>
        </w:rPr>
        <w:t>et al.,</w:t>
      </w:r>
      <w:r w:rsidR="0074223C" w:rsidRPr="008834CE">
        <w:rPr>
          <w:lang w:val="en-IE"/>
        </w:rPr>
        <w:t xml:space="preserve"> 1996; Well</w:t>
      </w:r>
      <w:r w:rsidR="002943F9" w:rsidRPr="008834CE">
        <w:rPr>
          <w:lang w:val="en-IE"/>
        </w:rPr>
        <w:t>s</w:t>
      </w:r>
      <w:r w:rsidR="0074223C" w:rsidRPr="008834CE">
        <w:rPr>
          <w:lang w:val="en-IE"/>
        </w:rPr>
        <w:t xml:space="preserve"> &amp; </w:t>
      </w:r>
      <w:proofErr w:type="spellStart"/>
      <w:r w:rsidR="0074223C" w:rsidRPr="008834CE">
        <w:rPr>
          <w:lang w:val="en-IE"/>
        </w:rPr>
        <w:t>Wilesmith</w:t>
      </w:r>
      <w:proofErr w:type="spellEnd"/>
      <w:r w:rsidR="0074223C" w:rsidRPr="008834CE">
        <w:rPr>
          <w:lang w:val="en-IE"/>
        </w:rPr>
        <w:t>, 1995</w:t>
      </w:r>
      <w:r w:rsidR="00C27990" w:rsidRPr="008834CE">
        <w:rPr>
          <w:lang w:val="en-IE"/>
        </w:rPr>
        <w:t xml:space="preserve">) by which the disease was first detected as a spongiform encephalopathy. These changes comprise mainly spongiform change and neuronal vacuolation and are closely similar to those of all other animal </w:t>
      </w:r>
      <w:r w:rsidR="00AE24F2" w:rsidRPr="008834CE">
        <w:rPr>
          <w:lang w:val="en-IE"/>
        </w:rPr>
        <w:t>TSEs,</w:t>
      </w:r>
      <w:r w:rsidR="00C27990" w:rsidRPr="008834CE">
        <w:rPr>
          <w:lang w:val="en-IE"/>
        </w:rPr>
        <w:t xml:space="preserve"> but in BSE the </w:t>
      </w:r>
      <w:r w:rsidR="00D82F53" w:rsidRPr="008834CE">
        <w:rPr>
          <w:lang w:val="en-IE"/>
        </w:rPr>
        <w:t xml:space="preserve">frequent </w:t>
      </w:r>
      <w:r w:rsidR="00C27990" w:rsidRPr="008834CE">
        <w:rPr>
          <w:lang w:val="en-IE"/>
        </w:rPr>
        <w:t xml:space="preserve">occurrence of </w:t>
      </w:r>
      <w:proofErr w:type="spellStart"/>
      <w:r w:rsidR="00C27990" w:rsidRPr="008834CE">
        <w:rPr>
          <w:lang w:val="en-IE"/>
        </w:rPr>
        <w:t>neuroparenchymal</w:t>
      </w:r>
      <w:proofErr w:type="spellEnd"/>
      <w:r w:rsidR="00C27990" w:rsidRPr="008834CE">
        <w:rPr>
          <w:lang w:val="en-IE"/>
        </w:rPr>
        <w:t xml:space="preserve"> vacuolation in certain anatomic nuclei of the medulla oblongata at the level of the </w:t>
      </w:r>
      <w:proofErr w:type="spellStart"/>
      <w:r w:rsidR="00C27990" w:rsidRPr="008834CE">
        <w:rPr>
          <w:lang w:val="en-IE"/>
        </w:rPr>
        <w:t>obex</w:t>
      </w:r>
      <w:proofErr w:type="spellEnd"/>
      <w:r w:rsidR="00C27990" w:rsidRPr="008834CE">
        <w:rPr>
          <w:lang w:val="en-IE"/>
        </w:rPr>
        <w:t xml:space="preserve"> </w:t>
      </w:r>
      <w:r w:rsidR="00D82F53" w:rsidRPr="008834CE">
        <w:rPr>
          <w:lang w:val="en-IE"/>
        </w:rPr>
        <w:t xml:space="preserve">can </w:t>
      </w:r>
      <w:r w:rsidR="00C27990" w:rsidRPr="008834CE">
        <w:rPr>
          <w:lang w:val="en-IE"/>
        </w:rPr>
        <w:t>provide a satisfactory means of establishing a histopathological diagnosis on a single section of the medulla</w:t>
      </w:r>
      <w:r w:rsidR="001972B0" w:rsidRPr="008834CE">
        <w:rPr>
          <w:lang w:val="en-IE"/>
        </w:rPr>
        <w:t xml:space="preserve">. </w:t>
      </w:r>
      <w:r w:rsidR="00C27990" w:rsidRPr="008834CE">
        <w:rPr>
          <w:lang w:val="en-IE"/>
        </w:rPr>
        <w:t xml:space="preserve">As in other species, </w:t>
      </w:r>
      <w:proofErr w:type="spellStart"/>
      <w:r w:rsidR="00C27990" w:rsidRPr="008834CE">
        <w:rPr>
          <w:lang w:val="en-IE"/>
        </w:rPr>
        <w:t>vacuolar</w:t>
      </w:r>
      <w:proofErr w:type="spellEnd"/>
      <w:r w:rsidR="00C27990" w:rsidRPr="008834CE">
        <w:rPr>
          <w:lang w:val="en-IE"/>
        </w:rPr>
        <w:t xml:space="preserve"> changes in the brains of cattle, particularly vacuoles within neuronal </w:t>
      </w:r>
      <w:proofErr w:type="spellStart"/>
      <w:r w:rsidR="00C27990" w:rsidRPr="008834CE">
        <w:rPr>
          <w:lang w:val="en-IE"/>
        </w:rPr>
        <w:t>perikarya</w:t>
      </w:r>
      <w:proofErr w:type="spellEnd"/>
      <w:r w:rsidR="00C27990" w:rsidRPr="008834CE">
        <w:rPr>
          <w:lang w:val="en-IE"/>
        </w:rPr>
        <w:t xml:space="preserve"> of the red and oculomotor nuclei of the midbrain are an incidental finding (</w:t>
      </w:r>
      <w:proofErr w:type="spellStart"/>
      <w:r w:rsidR="002E0417" w:rsidRPr="008834CE">
        <w:rPr>
          <w:lang w:val="en-IE"/>
        </w:rPr>
        <w:t>Gavier</w:t>
      </w:r>
      <w:proofErr w:type="spellEnd"/>
      <w:r w:rsidR="002E0417" w:rsidRPr="008834CE">
        <w:rPr>
          <w:lang w:val="en-IE"/>
        </w:rPr>
        <w:t xml:space="preserve">-Widen </w:t>
      </w:r>
      <w:r w:rsidR="002E0417" w:rsidRPr="008834CE">
        <w:rPr>
          <w:i/>
          <w:lang w:val="en-IE"/>
        </w:rPr>
        <w:t>et al.,</w:t>
      </w:r>
      <w:r w:rsidR="002E0417" w:rsidRPr="008834CE">
        <w:rPr>
          <w:lang w:val="en-IE"/>
        </w:rPr>
        <w:t xml:space="preserve"> 2001</w:t>
      </w:r>
      <w:r w:rsidR="00C27990" w:rsidRPr="008834CE">
        <w:rPr>
          <w:lang w:val="en-IE"/>
        </w:rPr>
        <w:t xml:space="preserve">). The histopathological diagnosis of BSE must therefore not rely on the presence of vacuolated neurons alone, particularly in these anatomical locations. </w:t>
      </w:r>
    </w:p>
    <w:p w14:paraId="7BF8DCC5" w14:textId="24632B64" w:rsidR="00194801" w:rsidRPr="00EA70AB" w:rsidRDefault="00D82F53" w:rsidP="002943E5">
      <w:pPr>
        <w:pStyle w:val="111Para"/>
        <w:rPr>
          <w:u w:val="double"/>
          <w:lang w:val="en-IE"/>
        </w:rPr>
      </w:pPr>
      <w:r w:rsidRPr="008834CE">
        <w:rPr>
          <w:lang w:val="en-IE"/>
        </w:rPr>
        <w:t>I</w:t>
      </w:r>
      <w:r w:rsidR="00C27990" w:rsidRPr="008834CE">
        <w:rPr>
          <w:lang w:val="en-IE"/>
        </w:rPr>
        <w:t>rrespective of the histopathological diagnosis,</w:t>
      </w:r>
      <w:r w:rsidR="0044718F" w:rsidRPr="008834CE">
        <w:rPr>
          <w:lang w:val="en-IE"/>
        </w:rPr>
        <w:t xml:space="preserve"> it is recommended that</w:t>
      </w:r>
      <w:r w:rsidR="00C27990" w:rsidRPr="008834CE">
        <w:rPr>
          <w:lang w:val="en-IE"/>
        </w:rPr>
        <w:t xml:space="preserve"> immunohistochemistry is routinely employed in addition, as unpublished evidence suggests that as many as 5% of clinical suspects (which are negative on H&amp;E section examination for </w:t>
      </w:r>
      <w:proofErr w:type="spellStart"/>
      <w:r w:rsidR="00C27990" w:rsidRPr="008834CE">
        <w:rPr>
          <w:lang w:val="en-IE"/>
        </w:rPr>
        <w:t>vacuolar</w:t>
      </w:r>
      <w:proofErr w:type="spellEnd"/>
      <w:r w:rsidR="00C27990" w:rsidRPr="008834CE">
        <w:rPr>
          <w:lang w:val="en-IE"/>
        </w:rPr>
        <w:t xml:space="preserve"> changes at the </w:t>
      </w:r>
      <w:proofErr w:type="spellStart"/>
      <w:r w:rsidR="00C27990" w:rsidRPr="008834CE">
        <w:rPr>
          <w:lang w:val="en-IE"/>
        </w:rPr>
        <w:t>obex</w:t>
      </w:r>
      <w:proofErr w:type="spellEnd"/>
      <w:r w:rsidR="00C27990" w:rsidRPr="008834CE">
        <w:rPr>
          <w:lang w:val="en-IE"/>
        </w:rPr>
        <w:t>) can be diagnosed by IHC examination. Clearly, examination of the medulla–</w:t>
      </w:r>
      <w:proofErr w:type="spellStart"/>
      <w:r w:rsidR="00C27990" w:rsidRPr="008834CE">
        <w:rPr>
          <w:lang w:val="en-IE"/>
        </w:rPr>
        <w:t>obex</w:t>
      </w:r>
      <w:proofErr w:type="spellEnd"/>
      <w:r w:rsidR="00C27990" w:rsidRPr="008834CE">
        <w:rPr>
          <w:lang w:val="en-IE"/>
        </w:rPr>
        <w:t xml:space="preserve"> does not allow a full neuropathological examination for differential diagnoses, nor does it allow a comprehensive phenotypic characterisation of any TSE. It is for this reason that it is recommended </w:t>
      </w:r>
      <w:r w:rsidR="00651E17" w:rsidRPr="008834CE">
        <w:rPr>
          <w:lang w:val="en-IE"/>
        </w:rPr>
        <w:t xml:space="preserve">to </w:t>
      </w:r>
      <w:r w:rsidR="00C76B55" w:rsidRPr="008834CE">
        <w:rPr>
          <w:lang w:val="en-IE"/>
        </w:rPr>
        <w:t>remove whole</w:t>
      </w:r>
      <w:r w:rsidR="00C27990" w:rsidRPr="008834CE">
        <w:rPr>
          <w:lang w:val="en-IE"/>
        </w:rPr>
        <w:t xml:space="preserve"> brains from all clinical suspects.</w:t>
      </w:r>
      <w:r w:rsidR="00DB4170" w:rsidRPr="008834CE">
        <w:rPr>
          <w:lang w:val="en-IE"/>
        </w:rPr>
        <w:t xml:space="preserve"> There </w:t>
      </w:r>
      <w:r w:rsidR="00F5413C" w:rsidRPr="008834CE">
        <w:rPr>
          <w:lang w:val="en-IE"/>
        </w:rPr>
        <w:t>are</w:t>
      </w:r>
      <w:r w:rsidR="00DB4170" w:rsidRPr="008834CE">
        <w:rPr>
          <w:lang w:val="en-IE"/>
        </w:rPr>
        <w:t xml:space="preserve"> still insufficient </w:t>
      </w:r>
      <w:r w:rsidR="00AE24F2" w:rsidRPr="008834CE">
        <w:rPr>
          <w:lang w:val="en-IE"/>
        </w:rPr>
        <w:t>data available</w:t>
      </w:r>
      <w:r w:rsidR="00651E17" w:rsidRPr="008834CE">
        <w:rPr>
          <w:lang w:val="en-IE"/>
        </w:rPr>
        <w:t xml:space="preserve"> to describe </w:t>
      </w:r>
      <w:r w:rsidR="00DB4170" w:rsidRPr="008834CE">
        <w:rPr>
          <w:lang w:val="en-IE"/>
        </w:rPr>
        <w:t>specific histopathological features of H</w:t>
      </w:r>
      <w:r w:rsidR="007972A5" w:rsidRPr="008834CE">
        <w:rPr>
          <w:lang w:val="en-IE"/>
        </w:rPr>
        <w:t>-</w:t>
      </w:r>
      <w:r w:rsidR="00DB4170" w:rsidRPr="008834CE">
        <w:rPr>
          <w:lang w:val="en-IE"/>
        </w:rPr>
        <w:t xml:space="preserve"> or L</w:t>
      </w:r>
      <w:r w:rsidR="007972A5" w:rsidRPr="008834CE">
        <w:rPr>
          <w:lang w:val="en-IE"/>
        </w:rPr>
        <w:t>-</w:t>
      </w:r>
      <w:r w:rsidR="00DB4170" w:rsidRPr="008834CE">
        <w:rPr>
          <w:lang w:val="en-IE"/>
        </w:rPr>
        <w:t xml:space="preserve">type BSE. </w:t>
      </w:r>
      <w:r w:rsidR="00194801" w:rsidRPr="008834CE">
        <w:rPr>
          <w:lang w:val="en-IE"/>
        </w:rPr>
        <w:t xml:space="preserve">There </w:t>
      </w:r>
      <w:r w:rsidR="00F5413C" w:rsidRPr="008834CE">
        <w:rPr>
          <w:lang w:val="en-IE"/>
        </w:rPr>
        <w:t>are</w:t>
      </w:r>
      <w:r w:rsidR="00194801" w:rsidRPr="008834CE">
        <w:rPr>
          <w:lang w:val="en-IE"/>
        </w:rPr>
        <w:t xml:space="preserve"> some histological data from Italian researchers on BASE (L-type BSE) (</w:t>
      </w:r>
      <w:proofErr w:type="spellStart"/>
      <w:r w:rsidR="00AF6FBF" w:rsidRPr="008834CE">
        <w:t>Casalone</w:t>
      </w:r>
      <w:proofErr w:type="spellEnd"/>
      <w:r w:rsidR="00AF6FBF" w:rsidRPr="008834CE">
        <w:rPr>
          <w:lang w:val="en-IE"/>
        </w:rPr>
        <w:t xml:space="preserve"> </w:t>
      </w:r>
      <w:r w:rsidR="00AF6FBF" w:rsidRPr="008834CE">
        <w:rPr>
          <w:i/>
          <w:lang w:val="en-IE"/>
        </w:rPr>
        <w:t>et al.,</w:t>
      </w:r>
      <w:r w:rsidR="00AF6FBF" w:rsidRPr="008834CE">
        <w:rPr>
          <w:lang w:val="en-IE"/>
        </w:rPr>
        <w:t xml:space="preserve"> 2004</w:t>
      </w:r>
      <w:r w:rsidR="00F371C8" w:rsidRPr="008834CE">
        <w:rPr>
          <w:lang w:val="en-IE"/>
        </w:rPr>
        <w:t>)</w:t>
      </w:r>
      <w:r w:rsidR="00C253A2" w:rsidRPr="008834CE">
        <w:rPr>
          <w:lang w:val="en-IE"/>
        </w:rPr>
        <w:t>.</w:t>
      </w:r>
      <w:r w:rsidR="0044718F" w:rsidRPr="008834CE">
        <w:rPr>
          <w:lang w:val="en-IE"/>
        </w:rPr>
        <w:t xml:space="preserve"> </w:t>
      </w:r>
      <w:r w:rsidR="00651E17" w:rsidRPr="008834CE">
        <w:rPr>
          <w:lang w:val="en-IE"/>
        </w:rPr>
        <w:t>Few a</w:t>
      </w:r>
      <w:r w:rsidR="00194801" w:rsidRPr="008834CE">
        <w:rPr>
          <w:lang w:val="en-IE"/>
        </w:rPr>
        <w:t xml:space="preserve">typical BSE cases have been found in passive surveillance and it is not possible to obtain whole brains </w:t>
      </w:r>
      <w:r w:rsidR="000A31B1" w:rsidRPr="008834CE">
        <w:rPr>
          <w:lang w:val="en-IE"/>
        </w:rPr>
        <w:t xml:space="preserve">through </w:t>
      </w:r>
      <w:r w:rsidR="00194801" w:rsidRPr="008834CE">
        <w:rPr>
          <w:lang w:val="en-IE"/>
        </w:rPr>
        <w:t>active surveillance</w:t>
      </w:r>
      <w:r w:rsidR="000A31B1" w:rsidRPr="008834CE">
        <w:rPr>
          <w:lang w:val="en-IE"/>
        </w:rPr>
        <w:t xml:space="preserve"> programmes</w:t>
      </w:r>
      <w:r w:rsidR="00194801" w:rsidRPr="008834CE">
        <w:rPr>
          <w:lang w:val="en-IE"/>
        </w:rPr>
        <w:t xml:space="preserve"> to increase our knowledge in this respect.</w:t>
      </w:r>
      <w:r w:rsidR="00C76B55" w:rsidRPr="008834CE">
        <w:rPr>
          <w:lang w:val="en-IE"/>
        </w:rPr>
        <w:t xml:space="preserve"> </w:t>
      </w:r>
      <w:r w:rsidR="00651E17" w:rsidRPr="008834CE">
        <w:rPr>
          <w:lang w:val="en-IE"/>
        </w:rPr>
        <w:t>T</w:t>
      </w:r>
      <w:r w:rsidR="00194801" w:rsidRPr="008834CE">
        <w:rPr>
          <w:lang w:val="en-IE"/>
        </w:rPr>
        <w:t xml:space="preserve">he poor condition of the brain </w:t>
      </w:r>
      <w:r w:rsidR="00660E09" w:rsidRPr="008834CE">
        <w:rPr>
          <w:lang w:val="en-IE"/>
        </w:rPr>
        <w:t xml:space="preserve">of </w:t>
      </w:r>
      <w:r w:rsidR="00194801" w:rsidRPr="008834CE">
        <w:rPr>
          <w:lang w:val="en-IE"/>
        </w:rPr>
        <w:t xml:space="preserve">fallen stock, where most atypical cases have been identified, also rules out a complete histological examination </w:t>
      </w:r>
      <w:r w:rsidR="003E1951" w:rsidRPr="008834CE">
        <w:rPr>
          <w:lang w:val="en-IE"/>
        </w:rPr>
        <w:t>because of</w:t>
      </w:r>
      <w:r w:rsidR="00194801" w:rsidRPr="008834CE">
        <w:rPr>
          <w:lang w:val="en-IE"/>
        </w:rPr>
        <w:t xml:space="preserve"> the effects of autolysis. </w:t>
      </w:r>
      <w:r w:rsidR="004E220E" w:rsidRPr="008834CE">
        <w:rPr>
          <w:lang w:val="en-IE"/>
        </w:rPr>
        <w:t>The end-stage pathology of experimental H</w:t>
      </w:r>
      <w:r w:rsidR="007972A5" w:rsidRPr="008834CE">
        <w:rPr>
          <w:lang w:val="en-IE"/>
        </w:rPr>
        <w:t>-type</w:t>
      </w:r>
      <w:r w:rsidR="004E220E" w:rsidRPr="008834CE">
        <w:rPr>
          <w:lang w:val="en-IE"/>
        </w:rPr>
        <w:t xml:space="preserve"> and L</w:t>
      </w:r>
      <w:r w:rsidR="007972A5" w:rsidRPr="008834CE">
        <w:rPr>
          <w:lang w:val="en-IE"/>
        </w:rPr>
        <w:t>-type</w:t>
      </w:r>
      <w:r w:rsidR="004E220E" w:rsidRPr="008834CE">
        <w:rPr>
          <w:lang w:val="en-IE"/>
        </w:rPr>
        <w:t xml:space="preserve"> BSE in a small number of animals following intracerebral inoculation has been described (</w:t>
      </w:r>
      <w:proofErr w:type="spellStart"/>
      <w:r w:rsidR="00C253A2" w:rsidRPr="008834CE">
        <w:rPr>
          <w:lang w:val="en-IE"/>
        </w:rPr>
        <w:t>Konold</w:t>
      </w:r>
      <w:proofErr w:type="spellEnd"/>
      <w:r w:rsidR="00C253A2" w:rsidRPr="008834CE">
        <w:rPr>
          <w:lang w:val="en-IE"/>
        </w:rPr>
        <w:t xml:space="preserve"> </w:t>
      </w:r>
      <w:r w:rsidR="007852B8" w:rsidRPr="008834CE">
        <w:rPr>
          <w:i/>
          <w:lang w:val="en-IE"/>
        </w:rPr>
        <w:t>e</w:t>
      </w:r>
      <w:r w:rsidR="00C253A2" w:rsidRPr="008834CE">
        <w:rPr>
          <w:i/>
          <w:lang w:val="en-IE"/>
        </w:rPr>
        <w:t>t al.,</w:t>
      </w:r>
      <w:r w:rsidR="00C253A2" w:rsidRPr="008834CE">
        <w:rPr>
          <w:lang w:val="en-IE"/>
        </w:rPr>
        <w:t xml:space="preserve"> 2014; </w:t>
      </w:r>
      <w:r w:rsidR="004E220E" w:rsidRPr="008834CE">
        <w:rPr>
          <w:lang w:val="en-IE"/>
        </w:rPr>
        <w:t>Okada</w:t>
      </w:r>
      <w:r w:rsidR="00C253A2" w:rsidRPr="008834CE">
        <w:rPr>
          <w:lang w:val="en-IE"/>
        </w:rPr>
        <w:t xml:space="preserve"> </w:t>
      </w:r>
      <w:r w:rsidR="00C253A2" w:rsidRPr="008834CE">
        <w:rPr>
          <w:i/>
          <w:lang w:val="en-IE"/>
        </w:rPr>
        <w:t>et al.</w:t>
      </w:r>
      <w:r w:rsidR="004E220E" w:rsidRPr="008834CE">
        <w:rPr>
          <w:i/>
          <w:lang w:val="en-IE"/>
        </w:rPr>
        <w:t>,</w:t>
      </w:r>
      <w:r w:rsidR="004E220E" w:rsidRPr="008834CE">
        <w:rPr>
          <w:lang w:val="en-IE"/>
        </w:rPr>
        <w:t xml:space="preserve"> 2011).</w:t>
      </w:r>
      <w:r w:rsidR="004E220E" w:rsidRPr="00FD132C">
        <w:rPr>
          <w:lang w:val="en-IE"/>
        </w:rPr>
        <w:t xml:space="preserve"> </w:t>
      </w:r>
    </w:p>
    <w:p w14:paraId="64175738" w14:textId="688230CC" w:rsidR="003C6DAC" w:rsidRPr="00FD132C" w:rsidRDefault="003C6DAC" w:rsidP="002943E5">
      <w:pPr>
        <w:pStyle w:val="111Para"/>
        <w:rPr>
          <w:lang w:val="en-IE"/>
        </w:rPr>
      </w:pPr>
      <w:r w:rsidRPr="00EA70AB">
        <w:rPr>
          <w:u w:val="double"/>
          <w:lang w:val="en-IE"/>
        </w:rPr>
        <w:t xml:space="preserve">Although histopathological examination has been superseded by other diagnostic </w:t>
      </w:r>
      <w:r w:rsidR="00542897" w:rsidRPr="00EA70AB">
        <w:rPr>
          <w:u w:val="double"/>
          <w:lang w:val="en-IE"/>
        </w:rPr>
        <w:t>methods</w:t>
      </w:r>
      <w:r w:rsidR="008834CE">
        <w:rPr>
          <w:u w:val="double"/>
          <w:lang w:val="en-IE"/>
        </w:rPr>
        <w:t>,</w:t>
      </w:r>
      <w:r w:rsidR="00542897" w:rsidRPr="00EA70AB">
        <w:rPr>
          <w:u w:val="double"/>
          <w:lang w:val="en-IE"/>
        </w:rPr>
        <w:t xml:space="preserve"> either as a primary or confirmatory test it is still a valuable research application.</w:t>
      </w:r>
    </w:p>
    <w:p w14:paraId="7BF8DCC6" w14:textId="77777777" w:rsidR="00C27990" w:rsidRPr="00FD132C" w:rsidRDefault="002943E5" w:rsidP="002943E5">
      <w:pPr>
        <w:pStyle w:val="111"/>
      </w:pPr>
      <w:r w:rsidRPr="00FD132C">
        <w:t>1.2.2.</w:t>
      </w:r>
      <w:r w:rsidR="00C27990" w:rsidRPr="00FD132C">
        <w:tab/>
        <w:t xml:space="preserve">Detection of disease-specific forms of </w:t>
      </w:r>
      <w:proofErr w:type="spellStart"/>
      <w:r w:rsidR="00C27990" w:rsidRPr="00FD132C">
        <w:t>PrP</w:t>
      </w:r>
      <w:proofErr w:type="spellEnd"/>
    </w:p>
    <w:p w14:paraId="7BF8DCC7" w14:textId="136D6E11" w:rsidR="00C27990" w:rsidRPr="00FD132C" w:rsidRDefault="00C27990" w:rsidP="002943E5">
      <w:pPr>
        <w:pStyle w:val="111Para"/>
        <w:rPr>
          <w:lang w:val="en-IE"/>
        </w:rPr>
      </w:pPr>
      <w:r w:rsidRPr="00FD132C">
        <w:rPr>
          <w:lang w:val="en-IE"/>
        </w:rPr>
        <w:t xml:space="preserve">The universal use of </w:t>
      </w:r>
      <w:proofErr w:type="spellStart"/>
      <w:r w:rsidRPr="00FD132C">
        <w:rPr>
          <w:lang w:val="en-IE"/>
        </w:rPr>
        <w:t>PrP</w:t>
      </w:r>
      <w:proofErr w:type="spellEnd"/>
      <w:r w:rsidRPr="00FD132C">
        <w:rPr>
          <w:lang w:val="en-IE"/>
        </w:rPr>
        <w:t xml:space="preserve"> detection methods provide</w:t>
      </w:r>
      <w:r w:rsidR="00B43AB3" w:rsidRPr="00FD132C">
        <w:rPr>
          <w:lang w:val="en-IE"/>
        </w:rPr>
        <w:t>s</w:t>
      </w:r>
      <w:r w:rsidRPr="00FD132C">
        <w:rPr>
          <w:lang w:val="en-IE"/>
        </w:rPr>
        <w:t xml:space="preserve"> a disease specific means of diagnosis independent of the morphological changes defined by histopatholog</w:t>
      </w:r>
      <w:r w:rsidR="00B43AB3" w:rsidRPr="00FD132C">
        <w:rPr>
          <w:lang w:val="en-IE"/>
        </w:rPr>
        <w:t>y</w:t>
      </w:r>
      <w:r w:rsidRPr="00FD132C">
        <w:rPr>
          <w:lang w:val="en-IE"/>
        </w:rPr>
        <w:t xml:space="preserve">. </w:t>
      </w:r>
      <w:r w:rsidR="00A73D22" w:rsidRPr="00EA70AB">
        <w:rPr>
          <w:strike/>
          <w:lang w:val="en-IE"/>
        </w:rPr>
        <w:t>Many laboratories</w:t>
      </w:r>
      <w:r w:rsidR="00F210F4" w:rsidRPr="00EA70AB">
        <w:rPr>
          <w:strike/>
          <w:lang w:val="en-IE"/>
        </w:rPr>
        <w:t xml:space="preserve"> </w:t>
      </w:r>
      <w:r w:rsidR="00A73D22" w:rsidRPr="00EA70AB">
        <w:rPr>
          <w:strike/>
          <w:lang w:val="en-IE"/>
        </w:rPr>
        <w:t xml:space="preserve">now supplement or have replaced histopathological examination by IHC and/or other </w:t>
      </w:r>
      <w:proofErr w:type="spellStart"/>
      <w:r w:rsidR="00A73D22" w:rsidRPr="00EA70AB">
        <w:rPr>
          <w:strike/>
          <w:lang w:val="en-IE"/>
        </w:rPr>
        <w:t>PrP</w:t>
      </w:r>
      <w:proofErr w:type="spellEnd"/>
      <w:r w:rsidR="00A73D22" w:rsidRPr="00EA70AB">
        <w:rPr>
          <w:strike/>
          <w:lang w:val="en-IE"/>
        </w:rPr>
        <w:t xml:space="preserve">-detection methods. </w:t>
      </w:r>
      <w:r w:rsidRPr="00FD132C">
        <w:rPr>
          <w:lang w:val="en-IE"/>
        </w:rPr>
        <w:t xml:space="preserve">The detection of accumulations of </w:t>
      </w:r>
      <w:proofErr w:type="spellStart"/>
      <w:r w:rsidRPr="00FD132C">
        <w:rPr>
          <w:lang w:val="en-IE"/>
        </w:rPr>
        <w:t>PrP</w:t>
      </w:r>
      <w:r w:rsidRPr="004E3697">
        <w:rPr>
          <w:vertAlign w:val="superscript"/>
          <w:lang w:val="en-IE"/>
        </w:rPr>
        <w:t>Sc</w:t>
      </w:r>
      <w:proofErr w:type="spellEnd"/>
      <w:r w:rsidRPr="00FD132C">
        <w:rPr>
          <w:lang w:val="en-IE"/>
        </w:rPr>
        <w:t xml:space="preserve"> is the approach of choice for surveillance programmes and confirmatory diagnosis. It is possible (but not desirable) to undertake </w:t>
      </w:r>
      <w:r w:rsidRPr="00FD132C">
        <w:rPr>
          <w:lang w:val="en-IE"/>
        </w:rPr>
        <w:lastRenderedPageBreak/>
        <w:t xml:space="preserve">immunohistochemistry for </w:t>
      </w:r>
      <w:proofErr w:type="spellStart"/>
      <w:r w:rsidRPr="00FD132C">
        <w:rPr>
          <w:lang w:val="en-IE"/>
        </w:rPr>
        <w:t>PrP</w:t>
      </w:r>
      <w:proofErr w:type="spellEnd"/>
      <w:r w:rsidRPr="00FD132C">
        <w:rPr>
          <w:lang w:val="en-IE"/>
        </w:rPr>
        <w:t xml:space="preserve"> on material that has been frozen prior to fixation (</w:t>
      </w:r>
      <w:proofErr w:type="spellStart"/>
      <w:r w:rsidR="00AF6FBF" w:rsidRPr="008834CE">
        <w:t>Debeer</w:t>
      </w:r>
      <w:proofErr w:type="spellEnd"/>
      <w:r w:rsidR="00AF6FBF" w:rsidRPr="008834CE">
        <w:rPr>
          <w:lang w:val="en-IE"/>
        </w:rPr>
        <w:t xml:space="preserve"> </w:t>
      </w:r>
      <w:r w:rsidR="00AF6FBF" w:rsidRPr="008834CE">
        <w:rPr>
          <w:i/>
          <w:lang w:val="en-IE"/>
        </w:rPr>
        <w:t>et al.,</w:t>
      </w:r>
      <w:r w:rsidR="00AF6FBF" w:rsidRPr="008834CE">
        <w:rPr>
          <w:lang w:val="en-IE"/>
        </w:rPr>
        <w:t xml:space="preserve"> 2002</w:t>
      </w:r>
      <w:r w:rsidRPr="008834CE">
        <w:rPr>
          <w:lang w:val="en-IE"/>
        </w:rPr>
        <w:t xml:space="preserve">). Freezing prior to fixation will not compromise the immunoreactivity of a sample, but it may compromise the </w:t>
      </w:r>
      <w:r w:rsidR="00660E09" w:rsidRPr="008834CE">
        <w:rPr>
          <w:lang w:val="en-IE"/>
        </w:rPr>
        <w:t xml:space="preserve">proper </w:t>
      </w:r>
      <w:r w:rsidRPr="008834CE">
        <w:rPr>
          <w:lang w:val="en-IE"/>
        </w:rPr>
        <w:t>identification of target sites.</w:t>
      </w:r>
      <w:r w:rsidR="00355013" w:rsidRPr="008834CE">
        <w:rPr>
          <w:lang w:val="en-IE"/>
        </w:rPr>
        <w:t xml:space="preserve"> A positive case will have disease-specific</w:t>
      </w:r>
      <w:r w:rsidR="00325219" w:rsidRPr="008834CE">
        <w:rPr>
          <w:lang w:val="en-IE"/>
        </w:rPr>
        <w:t xml:space="preserve"> </w:t>
      </w:r>
      <w:r w:rsidR="00355013" w:rsidRPr="008834CE">
        <w:rPr>
          <w:lang w:val="en-IE"/>
        </w:rPr>
        <w:t>immunolabelling in at least one of the diagnostic target areas</w:t>
      </w:r>
      <w:r w:rsidR="00C33CA0" w:rsidRPr="008834CE">
        <w:rPr>
          <w:lang w:val="en-IE"/>
        </w:rPr>
        <w:t xml:space="preserve"> (</w:t>
      </w:r>
      <w:proofErr w:type="spellStart"/>
      <w:r w:rsidR="00C33CA0" w:rsidRPr="008834CE">
        <w:t>Casalone</w:t>
      </w:r>
      <w:proofErr w:type="spellEnd"/>
      <w:r w:rsidR="00C33CA0" w:rsidRPr="008834CE">
        <w:rPr>
          <w:lang w:val="en-IE"/>
        </w:rPr>
        <w:t xml:space="preserve"> </w:t>
      </w:r>
      <w:r w:rsidR="00C33CA0" w:rsidRPr="008834CE">
        <w:rPr>
          <w:i/>
          <w:lang w:val="en-IE"/>
        </w:rPr>
        <w:t>et al.,</w:t>
      </w:r>
      <w:r w:rsidR="00C33CA0" w:rsidRPr="008834CE">
        <w:rPr>
          <w:lang w:val="en-IE"/>
        </w:rPr>
        <w:t xml:space="preserve"> 2006)</w:t>
      </w:r>
      <w:r w:rsidR="00355013" w:rsidRPr="008834CE">
        <w:rPr>
          <w:lang w:val="en-IE"/>
        </w:rPr>
        <w:t>. For a case to be diagnosed as negative it must be possible to identify</w:t>
      </w:r>
      <w:r w:rsidR="00660E09" w:rsidRPr="008834CE">
        <w:rPr>
          <w:lang w:val="en-IE"/>
        </w:rPr>
        <w:t xml:space="preserve"> </w:t>
      </w:r>
      <w:r w:rsidR="00355013" w:rsidRPr="008834CE">
        <w:rPr>
          <w:lang w:val="en-IE"/>
        </w:rPr>
        <w:t>the presence of the target areas</w:t>
      </w:r>
      <w:r w:rsidR="00F210F4" w:rsidRPr="008834CE">
        <w:rPr>
          <w:lang w:val="en-IE"/>
        </w:rPr>
        <w:t xml:space="preserve"> </w:t>
      </w:r>
      <w:r w:rsidR="0057361F" w:rsidRPr="008834CE">
        <w:rPr>
          <w:lang w:val="en-IE"/>
        </w:rPr>
        <w:t>and to demonstrate that the IHC ‘run’ was technically successful through appropriate controls</w:t>
      </w:r>
      <w:r w:rsidR="001D5B5D" w:rsidRPr="008834CE">
        <w:rPr>
          <w:lang w:val="en-IE"/>
        </w:rPr>
        <w:t>.</w:t>
      </w:r>
      <w:r w:rsidR="00660E09" w:rsidRPr="008834CE">
        <w:rPr>
          <w:lang w:val="en-IE"/>
        </w:rPr>
        <w:t xml:space="preserve"> </w:t>
      </w:r>
      <w:r w:rsidR="00355013" w:rsidRPr="008834CE">
        <w:rPr>
          <w:lang w:val="en-IE"/>
        </w:rPr>
        <w:t>If there is no disease-specific immunolabelling, and target areas cannot be identified,</w:t>
      </w:r>
      <w:r w:rsidR="008B35C1" w:rsidRPr="008834CE">
        <w:rPr>
          <w:lang w:val="en-IE"/>
        </w:rPr>
        <w:t xml:space="preserve"> </w:t>
      </w:r>
      <w:r w:rsidR="00355013" w:rsidRPr="008834CE">
        <w:rPr>
          <w:lang w:val="en-IE"/>
        </w:rPr>
        <w:t>the case should be classified as ‘unco</w:t>
      </w:r>
      <w:r w:rsidR="003E1951" w:rsidRPr="008834CE">
        <w:rPr>
          <w:lang w:val="en-IE"/>
        </w:rPr>
        <w:t>nfirmed’ as opposed to negative.</w:t>
      </w:r>
      <w:r w:rsidR="00355013" w:rsidRPr="008834CE">
        <w:rPr>
          <w:lang w:val="en-IE"/>
        </w:rPr>
        <w:t xml:space="preserve"> </w:t>
      </w:r>
      <w:r w:rsidR="00DB4170" w:rsidRPr="008834CE">
        <w:rPr>
          <w:lang w:val="en-IE"/>
        </w:rPr>
        <w:t>Both H</w:t>
      </w:r>
      <w:r w:rsidR="00542897" w:rsidRPr="008834CE">
        <w:rPr>
          <w:lang w:val="en-IE"/>
        </w:rPr>
        <w:t>-</w:t>
      </w:r>
      <w:r w:rsidR="00DB4170" w:rsidRPr="008834CE">
        <w:rPr>
          <w:lang w:val="en-IE"/>
        </w:rPr>
        <w:t xml:space="preserve"> and L-type variants demonstrate accumulation of </w:t>
      </w:r>
      <w:proofErr w:type="spellStart"/>
      <w:r w:rsidR="00DB4170" w:rsidRPr="008834CE">
        <w:rPr>
          <w:lang w:val="en-IE"/>
        </w:rPr>
        <w:t>PrP</w:t>
      </w:r>
      <w:r w:rsidR="00DB4170" w:rsidRPr="008834CE">
        <w:rPr>
          <w:szCs w:val="14"/>
          <w:vertAlign w:val="superscript"/>
          <w:lang w:val="en-IE"/>
        </w:rPr>
        <w:t>Sc</w:t>
      </w:r>
      <w:proofErr w:type="spellEnd"/>
      <w:r w:rsidR="00DB4170" w:rsidRPr="008834CE">
        <w:rPr>
          <w:lang w:val="en-IE"/>
        </w:rPr>
        <w:t xml:space="preserve"> in the medulla at the level of the </w:t>
      </w:r>
      <w:proofErr w:type="spellStart"/>
      <w:r w:rsidR="00DB4170" w:rsidRPr="008834CE">
        <w:rPr>
          <w:lang w:val="en-IE"/>
        </w:rPr>
        <w:t>obex</w:t>
      </w:r>
      <w:proofErr w:type="spellEnd"/>
      <w:r w:rsidR="007D6382" w:rsidRPr="008834CE">
        <w:rPr>
          <w:lang w:val="en-IE"/>
        </w:rPr>
        <w:t xml:space="preserve"> (</w:t>
      </w:r>
      <w:proofErr w:type="spellStart"/>
      <w:r w:rsidR="00AF6FBF" w:rsidRPr="008834CE">
        <w:t>Casalone</w:t>
      </w:r>
      <w:proofErr w:type="spellEnd"/>
      <w:r w:rsidR="00AF6FBF" w:rsidRPr="008834CE">
        <w:rPr>
          <w:i/>
          <w:lang w:val="en-IE"/>
        </w:rPr>
        <w:t>,</w:t>
      </w:r>
      <w:r w:rsidR="00AF6FBF" w:rsidRPr="008834CE">
        <w:rPr>
          <w:lang w:val="en-IE"/>
        </w:rPr>
        <w:t xml:space="preserve"> 2006;</w:t>
      </w:r>
      <w:r w:rsidR="00693F0D" w:rsidRPr="008834CE">
        <w:rPr>
          <w:lang w:val="en-IE"/>
        </w:rPr>
        <w:t xml:space="preserve"> </w:t>
      </w:r>
      <w:proofErr w:type="spellStart"/>
      <w:r w:rsidR="00C253A2" w:rsidRPr="008834CE">
        <w:rPr>
          <w:lang w:val="en-IE"/>
        </w:rPr>
        <w:t>Konold</w:t>
      </w:r>
      <w:proofErr w:type="spellEnd"/>
      <w:r w:rsidR="00C253A2" w:rsidRPr="008834CE">
        <w:rPr>
          <w:lang w:val="en-IE"/>
        </w:rPr>
        <w:t xml:space="preserve"> </w:t>
      </w:r>
      <w:r w:rsidR="00C253A2" w:rsidRPr="008834CE">
        <w:rPr>
          <w:i/>
          <w:lang w:val="en-IE"/>
        </w:rPr>
        <w:t>et al.,</w:t>
      </w:r>
      <w:r w:rsidR="00C253A2" w:rsidRPr="008834CE">
        <w:rPr>
          <w:lang w:val="en-IE"/>
        </w:rPr>
        <w:t xml:space="preserve"> 2012</w:t>
      </w:r>
      <w:r w:rsidR="007D6382" w:rsidRPr="008834CE">
        <w:rPr>
          <w:lang w:val="en-IE"/>
        </w:rPr>
        <w:t>)</w:t>
      </w:r>
      <w:r w:rsidR="008B35C1" w:rsidRPr="008834CE">
        <w:rPr>
          <w:lang w:val="en-IE"/>
        </w:rPr>
        <w:t>.</w:t>
      </w:r>
      <w:r w:rsidR="00DB4170" w:rsidRPr="008834CE">
        <w:rPr>
          <w:lang w:val="en-IE"/>
        </w:rPr>
        <w:t xml:space="preserve"> </w:t>
      </w:r>
      <w:r w:rsidR="00613156" w:rsidRPr="008834CE">
        <w:rPr>
          <w:lang w:val="en-IE"/>
        </w:rPr>
        <w:t>T</w:t>
      </w:r>
      <w:r w:rsidR="00DB4170" w:rsidRPr="008834CE">
        <w:rPr>
          <w:lang w:val="en-IE"/>
        </w:rPr>
        <w:t xml:space="preserve">he range and morphological appearance of immunolabelling throughout the </w:t>
      </w:r>
      <w:proofErr w:type="spellStart"/>
      <w:r w:rsidR="00DB4170" w:rsidRPr="008834CE">
        <w:rPr>
          <w:lang w:val="en-IE"/>
        </w:rPr>
        <w:t>neuraxis</w:t>
      </w:r>
      <w:proofErr w:type="spellEnd"/>
      <w:r w:rsidR="00DB4170" w:rsidRPr="008834CE">
        <w:rPr>
          <w:lang w:val="en-IE"/>
        </w:rPr>
        <w:t xml:space="preserve"> differ</w:t>
      </w:r>
      <w:r w:rsidR="00FD132C" w:rsidRPr="008834CE">
        <w:rPr>
          <w:lang w:val="en-IE"/>
        </w:rPr>
        <w:t xml:space="preserve"> </w:t>
      </w:r>
      <w:r w:rsidR="00FB52B3" w:rsidRPr="008834CE">
        <w:rPr>
          <w:lang w:val="en-IE"/>
        </w:rPr>
        <w:t xml:space="preserve">from classical BSE, </w:t>
      </w:r>
      <w:r w:rsidR="007852B8" w:rsidRPr="008834CE">
        <w:rPr>
          <w:lang w:val="en-IE"/>
        </w:rPr>
        <w:t>with multiple</w:t>
      </w:r>
      <w:r w:rsidR="00FB52B3" w:rsidRPr="008834CE">
        <w:rPr>
          <w:lang w:val="en-IE"/>
        </w:rPr>
        <w:t xml:space="preserve"> small plaque-like deposits being a common feature</w:t>
      </w:r>
      <w:r w:rsidR="00FB52B3" w:rsidRPr="00FD132C">
        <w:rPr>
          <w:lang w:val="en-IE"/>
        </w:rPr>
        <w:t xml:space="preserve"> in variant forms. Differences in the brainstem (</w:t>
      </w:r>
      <w:proofErr w:type="spellStart"/>
      <w:r w:rsidR="00FB52B3" w:rsidRPr="00FD132C">
        <w:rPr>
          <w:lang w:val="en-IE"/>
        </w:rPr>
        <w:t>obex</w:t>
      </w:r>
      <w:proofErr w:type="spellEnd"/>
      <w:r w:rsidR="00FB52B3" w:rsidRPr="00FD132C">
        <w:rPr>
          <w:lang w:val="en-IE"/>
        </w:rPr>
        <w:t xml:space="preserve">) are not always pronounced, and cannot be relied on to effectively differentiate or classify cases. </w:t>
      </w:r>
    </w:p>
    <w:p w14:paraId="7BF8DCC8" w14:textId="67CE5BA7" w:rsidR="00C27990" w:rsidRPr="00FD132C" w:rsidRDefault="002943E5" w:rsidP="00071A19">
      <w:pPr>
        <w:pStyle w:val="afourthlevel"/>
        <w:rPr>
          <w:lang w:val="en-IE"/>
        </w:rPr>
      </w:pPr>
      <w:r w:rsidRPr="00FD132C">
        <w:rPr>
          <w:lang w:val="en-IE"/>
        </w:rPr>
        <w:t>1.2.</w:t>
      </w:r>
      <w:r w:rsidR="00C33CA0" w:rsidRPr="00FD132C">
        <w:rPr>
          <w:lang w:val="en-IE"/>
        </w:rPr>
        <w:t>2.1</w:t>
      </w:r>
      <w:r w:rsidRPr="00FD132C">
        <w:rPr>
          <w:lang w:val="en-IE"/>
        </w:rPr>
        <w:t>.</w:t>
      </w:r>
      <w:r w:rsidR="00100261">
        <w:rPr>
          <w:lang w:val="en-IE"/>
        </w:rPr>
        <w:t xml:space="preserve"> </w:t>
      </w:r>
      <w:r w:rsidR="00C27990" w:rsidRPr="00FD132C">
        <w:rPr>
          <w:lang w:val="en-IE"/>
        </w:rPr>
        <w:t>Immunohistochemical (IHC) methods</w:t>
      </w:r>
    </w:p>
    <w:p w14:paraId="7BF8DCC9" w14:textId="2B4FA809" w:rsidR="00C27990" w:rsidRPr="008834CE" w:rsidRDefault="00C27990" w:rsidP="00071A19">
      <w:pPr>
        <w:pStyle w:val="afourthpara"/>
        <w:rPr>
          <w:lang w:val="en-IE"/>
        </w:rPr>
      </w:pPr>
      <w:r w:rsidRPr="00FD132C">
        <w:rPr>
          <w:lang w:val="en-IE"/>
        </w:rPr>
        <w:t xml:space="preserve">IHC examination </w:t>
      </w:r>
      <w:r w:rsidR="00613156" w:rsidRPr="00FD132C">
        <w:rPr>
          <w:lang w:val="en-IE"/>
        </w:rPr>
        <w:t>for</w:t>
      </w:r>
      <w:r w:rsidR="008B38BB" w:rsidRPr="00FD132C">
        <w:rPr>
          <w:lang w:val="en-IE"/>
        </w:rPr>
        <w:t xml:space="preserve"> </w:t>
      </w:r>
      <w:proofErr w:type="spellStart"/>
      <w:r w:rsidRPr="00FD132C">
        <w:rPr>
          <w:lang w:val="en-IE"/>
        </w:rPr>
        <w:t>PrP</w:t>
      </w:r>
      <w:r w:rsidRPr="004E3697">
        <w:rPr>
          <w:vertAlign w:val="superscript"/>
          <w:lang w:val="en-IE"/>
        </w:rPr>
        <w:t>Sc</w:t>
      </w:r>
      <w:proofErr w:type="spellEnd"/>
      <w:r w:rsidRPr="004E3697">
        <w:rPr>
          <w:vertAlign w:val="superscript"/>
          <w:lang w:val="en-IE"/>
        </w:rPr>
        <w:t xml:space="preserve"> </w:t>
      </w:r>
      <w:r w:rsidRPr="00FD132C">
        <w:rPr>
          <w:lang w:val="en-IE"/>
        </w:rPr>
        <w:t xml:space="preserve">accumulation is </w:t>
      </w:r>
      <w:r w:rsidR="00613156" w:rsidRPr="00FD132C">
        <w:rPr>
          <w:lang w:val="en-IE"/>
        </w:rPr>
        <w:t xml:space="preserve">performed </w:t>
      </w:r>
      <w:r w:rsidR="0076637B" w:rsidRPr="00FD132C">
        <w:rPr>
          <w:lang w:val="en-IE"/>
        </w:rPr>
        <w:t>on</w:t>
      </w:r>
      <w:r w:rsidR="00F210F4" w:rsidRPr="00FD132C">
        <w:rPr>
          <w:lang w:val="en-IE"/>
        </w:rPr>
        <w:t xml:space="preserve"> </w:t>
      </w:r>
      <w:r w:rsidRPr="00FD132C">
        <w:rPr>
          <w:lang w:val="en-IE"/>
        </w:rPr>
        <w:t>the same formalin-fixed paraffin-embedded material</w:t>
      </w:r>
      <w:r w:rsidR="00F210F4" w:rsidRPr="00FD132C">
        <w:rPr>
          <w:lang w:val="en-IE"/>
        </w:rPr>
        <w:t xml:space="preserve"> </w:t>
      </w:r>
      <w:r w:rsidRPr="00FD132C">
        <w:rPr>
          <w:lang w:val="en-IE"/>
        </w:rPr>
        <w:t>used for the histopathological diagnosis</w:t>
      </w:r>
      <w:r w:rsidR="00F210F4" w:rsidRPr="00FD132C">
        <w:rPr>
          <w:lang w:val="en-IE"/>
        </w:rPr>
        <w:t>.</w:t>
      </w:r>
      <w:r w:rsidRPr="00FD132C">
        <w:rPr>
          <w:lang w:val="en-IE"/>
        </w:rPr>
        <w:t xml:space="preserve"> </w:t>
      </w:r>
      <w:r w:rsidR="00613156" w:rsidRPr="00FD132C">
        <w:rPr>
          <w:lang w:val="en-IE"/>
        </w:rPr>
        <w:t xml:space="preserve">Different </w:t>
      </w:r>
      <w:r w:rsidRPr="00FD132C">
        <w:rPr>
          <w:lang w:val="en-IE"/>
        </w:rPr>
        <w:t xml:space="preserve">protocols have been applied successfully to the IHC detection of </w:t>
      </w:r>
      <w:proofErr w:type="spellStart"/>
      <w:r w:rsidRPr="00FD132C">
        <w:rPr>
          <w:lang w:val="en-IE"/>
        </w:rPr>
        <w:t>PrP</w:t>
      </w:r>
      <w:r w:rsidRPr="004E3697">
        <w:rPr>
          <w:vertAlign w:val="superscript"/>
          <w:lang w:val="en-IE"/>
        </w:rPr>
        <w:t>Sc</w:t>
      </w:r>
      <w:proofErr w:type="spellEnd"/>
      <w:r w:rsidRPr="00FD132C">
        <w:rPr>
          <w:lang w:val="en-IE"/>
        </w:rPr>
        <w:t xml:space="preserve"> for the diagnosis of BSE and </w:t>
      </w:r>
      <w:r w:rsidR="00613156" w:rsidRPr="00FD132C">
        <w:rPr>
          <w:lang w:val="en-IE"/>
        </w:rPr>
        <w:t xml:space="preserve">although </w:t>
      </w:r>
      <w:r w:rsidRPr="00FD132C">
        <w:rPr>
          <w:lang w:val="en-IE"/>
        </w:rPr>
        <w:t>a standardised</w:t>
      </w:r>
      <w:r w:rsidR="008B38BB" w:rsidRPr="00FD132C">
        <w:rPr>
          <w:lang w:val="en-IE"/>
        </w:rPr>
        <w:t xml:space="preserve"> </w:t>
      </w:r>
      <w:r w:rsidRPr="00FD132C">
        <w:rPr>
          <w:lang w:val="en-IE"/>
        </w:rPr>
        <w:t xml:space="preserve">IHC method would seem desirable, </w:t>
      </w:r>
      <w:r w:rsidR="00613156" w:rsidRPr="00FD132C">
        <w:rPr>
          <w:lang w:val="en-IE"/>
        </w:rPr>
        <w:t>it might be</w:t>
      </w:r>
      <w:r w:rsidR="008B38BB" w:rsidRPr="00FD132C">
        <w:rPr>
          <w:lang w:val="en-IE"/>
        </w:rPr>
        <w:t xml:space="preserve"> </w:t>
      </w:r>
      <w:r w:rsidRPr="00FD132C">
        <w:rPr>
          <w:lang w:val="en-IE"/>
        </w:rPr>
        <w:t xml:space="preserve">more important to recognise robust methods that achieve a standardised output, as monitored by participation in proficiency testing exercises, and by comparison with the results of a standardised model method in a Reference Laboratory. The </w:t>
      </w:r>
      <w:r w:rsidR="0076637B" w:rsidRPr="00FD132C">
        <w:rPr>
          <w:lang w:val="en-IE"/>
        </w:rPr>
        <w:t xml:space="preserve">generic </w:t>
      </w:r>
      <w:r w:rsidRPr="00FD132C">
        <w:rPr>
          <w:lang w:val="en-IE"/>
        </w:rPr>
        <w:t xml:space="preserve">technique established for histopathology still </w:t>
      </w:r>
      <w:r w:rsidR="00DD1ED8" w:rsidRPr="00FD132C">
        <w:rPr>
          <w:lang w:val="en-IE"/>
        </w:rPr>
        <w:t xml:space="preserve">applies </w:t>
      </w:r>
      <w:r w:rsidRPr="00FD132C">
        <w:rPr>
          <w:lang w:val="en-IE"/>
        </w:rPr>
        <w:t>and</w:t>
      </w:r>
      <w:r w:rsidR="00613156" w:rsidRPr="00FD132C">
        <w:rPr>
          <w:lang w:val="en-IE"/>
        </w:rPr>
        <w:t xml:space="preserve"> </w:t>
      </w:r>
      <w:r w:rsidRPr="00FD132C">
        <w:rPr>
          <w:lang w:val="en-IE"/>
        </w:rPr>
        <w:t xml:space="preserve">it works well in autolysed tissues in which morphological evaluation is no longer possible </w:t>
      </w:r>
      <w:r w:rsidRPr="008834CE">
        <w:rPr>
          <w:lang w:val="en-IE"/>
        </w:rPr>
        <w:t>(</w:t>
      </w:r>
      <w:proofErr w:type="spellStart"/>
      <w:r w:rsidR="00D11DBB" w:rsidRPr="008834CE">
        <w:t>Monleon</w:t>
      </w:r>
      <w:proofErr w:type="spellEnd"/>
      <w:r w:rsidR="00D11DBB" w:rsidRPr="008834CE">
        <w:rPr>
          <w:lang w:val="en-IE"/>
        </w:rPr>
        <w:t xml:space="preserve"> </w:t>
      </w:r>
      <w:r w:rsidR="00D11DBB" w:rsidRPr="008834CE">
        <w:rPr>
          <w:i/>
          <w:lang w:val="en-IE"/>
        </w:rPr>
        <w:t>et al.,</w:t>
      </w:r>
      <w:r w:rsidR="00D11DBB" w:rsidRPr="008834CE">
        <w:rPr>
          <w:lang w:val="en-IE"/>
        </w:rPr>
        <w:t xml:space="preserve"> 2003</w:t>
      </w:r>
      <w:r w:rsidRPr="008834CE">
        <w:rPr>
          <w:lang w:val="en-IE"/>
        </w:rPr>
        <w:t xml:space="preserve">). However, it is </w:t>
      </w:r>
      <w:r w:rsidR="00613156" w:rsidRPr="008834CE">
        <w:rPr>
          <w:lang w:val="en-IE"/>
        </w:rPr>
        <w:t xml:space="preserve">imperative </w:t>
      </w:r>
      <w:r w:rsidRPr="008834CE">
        <w:rPr>
          <w:lang w:val="en-IE"/>
        </w:rPr>
        <w:t xml:space="preserve">to recognise the anatomy of the sample to determine whether or not target areas are represented. This is essential for a negative diagnosis, and may also be pivotal in accurately interpreting equivocal immunolabelling. IHC detection of </w:t>
      </w:r>
      <w:proofErr w:type="spellStart"/>
      <w:r w:rsidRPr="008834CE">
        <w:rPr>
          <w:lang w:val="en-IE"/>
        </w:rPr>
        <w:t>PrP</w:t>
      </w:r>
      <w:r w:rsidRPr="008834CE">
        <w:rPr>
          <w:vertAlign w:val="superscript"/>
          <w:lang w:val="en-IE"/>
        </w:rPr>
        <w:t>Sc</w:t>
      </w:r>
      <w:proofErr w:type="spellEnd"/>
      <w:r w:rsidRPr="008834CE">
        <w:rPr>
          <w:lang w:val="en-IE"/>
        </w:rPr>
        <w:t xml:space="preserve"> accumulations approximates to the sensitivity of the Western </w:t>
      </w:r>
      <w:r w:rsidR="00242EA8" w:rsidRPr="008834CE">
        <w:rPr>
          <w:lang w:val="en-IE"/>
        </w:rPr>
        <w:t>immuno</w:t>
      </w:r>
      <w:r w:rsidRPr="008834CE">
        <w:rPr>
          <w:lang w:val="en-IE"/>
        </w:rPr>
        <w:t xml:space="preserve">blotting approach for detection of </w:t>
      </w:r>
      <w:proofErr w:type="spellStart"/>
      <w:r w:rsidRPr="008834CE">
        <w:rPr>
          <w:lang w:val="en-IE"/>
        </w:rPr>
        <w:t>PrP</w:t>
      </w:r>
      <w:r w:rsidRPr="008834CE">
        <w:rPr>
          <w:vertAlign w:val="superscript"/>
          <w:lang w:val="en-IE"/>
        </w:rPr>
        <w:t>Sc</w:t>
      </w:r>
      <w:proofErr w:type="spellEnd"/>
      <w:r w:rsidRPr="008834CE">
        <w:rPr>
          <w:lang w:val="en-IE"/>
        </w:rPr>
        <w:t xml:space="preserve"> (</w:t>
      </w:r>
      <w:r w:rsidR="007A2CC4" w:rsidRPr="008834CE">
        <w:rPr>
          <w:lang w:val="en-IE"/>
        </w:rPr>
        <w:t xml:space="preserve">Schaller </w:t>
      </w:r>
      <w:r w:rsidR="007A2CC4" w:rsidRPr="008834CE">
        <w:rPr>
          <w:i/>
          <w:lang w:val="en-IE"/>
        </w:rPr>
        <w:t>et al.,</w:t>
      </w:r>
      <w:r w:rsidR="007A2CC4" w:rsidRPr="008834CE">
        <w:rPr>
          <w:lang w:val="en-IE"/>
        </w:rPr>
        <w:t xml:space="preserve"> 1999</w:t>
      </w:r>
      <w:r w:rsidRPr="008834CE">
        <w:rPr>
          <w:lang w:val="en-IE"/>
        </w:rPr>
        <w:t xml:space="preserve">). In combination with good histological preparations, immunohistochemistry allows detection of </w:t>
      </w:r>
      <w:proofErr w:type="spellStart"/>
      <w:r w:rsidRPr="008834CE">
        <w:rPr>
          <w:lang w:val="en-IE"/>
        </w:rPr>
        <w:t>PrP</w:t>
      </w:r>
      <w:r w:rsidRPr="008834CE">
        <w:rPr>
          <w:vertAlign w:val="superscript"/>
          <w:lang w:val="en-IE"/>
        </w:rPr>
        <w:t>Sc</w:t>
      </w:r>
      <w:proofErr w:type="spellEnd"/>
      <w:r w:rsidRPr="008834CE">
        <w:rPr>
          <w:lang w:val="en-IE"/>
        </w:rPr>
        <w:t xml:space="preserve"> accumulations and, as this, like the </w:t>
      </w:r>
      <w:proofErr w:type="spellStart"/>
      <w:r w:rsidRPr="008834CE">
        <w:rPr>
          <w:lang w:val="en-IE"/>
        </w:rPr>
        <w:t>vacuolar</w:t>
      </w:r>
      <w:proofErr w:type="spellEnd"/>
      <w:r w:rsidRPr="008834CE">
        <w:rPr>
          <w:lang w:val="en-IE"/>
        </w:rPr>
        <w:t xml:space="preserve"> pathology, exhibits a typical distribution pattern and appearance</w:t>
      </w:r>
      <w:r w:rsidR="00613156" w:rsidRPr="008834CE">
        <w:rPr>
          <w:lang w:val="en-IE"/>
        </w:rPr>
        <w:t xml:space="preserve">. This </w:t>
      </w:r>
      <w:r w:rsidRPr="008834CE">
        <w:rPr>
          <w:lang w:val="en-IE"/>
        </w:rPr>
        <w:t>provides simultaneous evaluation or confirmation of this aspect of the disease phenotype. Current methods are available by reference to the OIE Reference Laboratories</w:t>
      </w:r>
      <w:r w:rsidR="00693F0D" w:rsidRPr="008834CE">
        <w:rPr>
          <w:lang w:val="en-IE"/>
        </w:rPr>
        <w:t>.</w:t>
      </w:r>
    </w:p>
    <w:p w14:paraId="7BF8DCCA" w14:textId="77777777" w:rsidR="00C27990" w:rsidRPr="008834CE" w:rsidRDefault="00C27990" w:rsidP="00071A19">
      <w:pPr>
        <w:pStyle w:val="afourthpara"/>
      </w:pPr>
      <w:r w:rsidRPr="008834CE">
        <w:t>In contrast to the diagnosis of scrapie of sheep, t</w:t>
      </w:r>
      <w:r w:rsidRPr="008834CE">
        <w:rPr>
          <w:lang w:val="en-IE"/>
        </w:rPr>
        <w:t xml:space="preserve">he limited detection of </w:t>
      </w:r>
      <w:proofErr w:type="spellStart"/>
      <w:r w:rsidRPr="008834CE">
        <w:rPr>
          <w:lang w:val="en-IE"/>
        </w:rPr>
        <w:t>PrP</w:t>
      </w:r>
      <w:r w:rsidRPr="008834CE">
        <w:rPr>
          <w:vertAlign w:val="superscript"/>
          <w:lang w:val="en-IE"/>
        </w:rPr>
        <w:t>Sc</w:t>
      </w:r>
      <w:proofErr w:type="spellEnd"/>
      <w:r w:rsidRPr="008834CE">
        <w:rPr>
          <w:vertAlign w:val="superscript"/>
          <w:lang w:val="en-IE"/>
        </w:rPr>
        <w:t xml:space="preserve"> </w:t>
      </w:r>
      <w:r w:rsidRPr="008834CE">
        <w:t>in lymphoid tissues in BSE does not provide any scope for utilising such tissues for preclinical diagnosis by biopsy techniques.</w:t>
      </w:r>
    </w:p>
    <w:p w14:paraId="7BF8DCCB" w14:textId="57067802" w:rsidR="00C27990" w:rsidRPr="008834CE" w:rsidRDefault="002943E5" w:rsidP="00071A19">
      <w:pPr>
        <w:pStyle w:val="afourthlevel"/>
        <w:rPr>
          <w:lang w:val="en-IE"/>
        </w:rPr>
      </w:pPr>
      <w:r w:rsidRPr="008834CE">
        <w:rPr>
          <w:lang w:val="en-IE"/>
        </w:rPr>
        <w:t>1.2.</w:t>
      </w:r>
      <w:r w:rsidR="00C33CA0" w:rsidRPr="008834CE">
        <w:rPr>
          <w:lang w:val="en-IE"/>
        </w:rPr>
        <w:t>2.2</w:t>
      </w:r>
      <w:r w:rsidRPr="008834CE">
        <w:rPr>
          <w:lang w:val="en-IE"/>
        </w:rPr>
        <w:t>.</w:t>
      </w:r>
      <w:r w:rsidR="00100261" w:rsidRPr="008834CE">
        <w:rPr>
          <w:lang w:val="en-IE"/>
        </w:rPr>
        <w:t xml:space="preserve"> </w:t>
      </w:r>
      <w:r w:rsidR="00C27990" w:rsidRPr="008834CE">
        <w:rPr>
          <w:lang w:val="en-IE"/>
        </w:rPr>
        <w:t xml:space="preserve">Western </w:t>
      </w:r>
      <w:r w:rsidR="00242EA8" w:rsidRPr="008834CE">
        <w:rPr>
          <w:lang w:val="en-IE"/>
        </w:rPr>
        <w:t>immuno</w:t>
      </w:r>
      <w:r w:rsidR="00C27990" w:rsidRPr="008834CE">
        <w:rPr>
          <w:lang w:val="en-IE"/>
        </w:rPr>
        <w:t>blot methods</w:t>
      </w:r>
    </w:p>
    <w:p w14:paraId="7BF8DCCC" w14:textId="0AFFB6E9" w:rsidR="00C27990" w:rsidRPr="00FD132C" w:rsidRDefault="00C27990" w:rsidP="00071A19">
      <w:pPr>
        <w:pStyle w:val="afourthpara"/>
      </w:pPr>
      <w:r w:rsidRPr="008834CE">
        <w:t>Immunoblotting techniques are carried out on fresh (unfixed) tissue, and can be applied successfully even when tissue is autolysed (</w:t>
      </w:r>
      <w:r w:rsidR="00D11DBB" w:rsidRPr="008834CE">
        <w:t>Hayashi</w:t>
      </w:r>
      <w:r w:rsidR="00D11DBB" w:rsidRPr="008834CE">
        <w:rPr>
          <w:smallCaps/>
        </w:rPr>
        <w:t xml:space="preserve"> </w:t>
      </w:r>
      <w:r w:rsidR="00D11DBB" w:rsidRPr="008834CE">
        <w:rPr>
          <w:i/>
        </w:rPr>
        <w:t>et al.,</w:t>
      </w:r>
      <w:r w:rsidR="00D11DBB" w:rsidRPr="008834CE">
        <w:t xml:space="preserve"> 2004</w:t>
      </w:r>
      <w:r w:rsidRPr="008834CE">
        <w:t xml:space="preserve">). The SAF-immunoblot </w:t>
      </w:r>
      <w:r w:rsidR="000C3EC9" w:rsidRPr="008834CE">
        <w:t>(Stack</w:t>
      </w:r>
      <w:r w:rsidR="000C3EC9" w:rsidRPr="008834CE">
        <w:rPr>
          <w:i/>
        </w:rPr>
        <w:t>,</w:t>
      </w:r>
      <w:r w:rsidR="000C3EC9" w:rsidRPr="008834CE">
        <w:t xml:space="preserve"> 2004)</w:t>
      </w:r>
      <w:r w:rsidR="00C253A2" w:rsidRPr="008834CE">
        <w:t xml:space="preserve"> </w:t>
      </w:r>
      <w:r w:rsidRPr="008834CE">
        <w:t xml:space="preserve">was the first such method for use in BSE diagnosis. </w:t>
      </w:r>
      <w:r w:rsidR="005C26B5" w:rsidRPr="008834CE">
        <w:t xml:space="preserve">Western </w:t>
      </w:r>
      <w:r w:rsidR="00242EA8" w:rsidRPr="008834CE">
        <w:t>immuno</w:t>
      </w:r>
      <w:r w:rsidR="005C26B5" w:rsidRPr="008834CE">
        <w:t xml:space="preserve">blot </w:t>
      </w:r>
      <w:r w:rsidRPr="008834CE">
        <w:t>has similar diagnostic sensitivity to the IHC techniques, and remains the method of choice, along with immunohisto</w:t>
      </w:r>
      <w:r w:rsidR="00796864" w:rsidRPr="008834CE">
        <w:t>chemistry, for the confirmation</w:t>
      </w:r>
      <w:r w:rsidR="001B6029" w:rsidRPr="008834CE">
        <w:t xml:space="preserve"> </w:t>
      </w:r>
      <w:r w:rsidRPr="008834CE">
        <w:t>of BSE.</w:t>
      </w:r>
      <w:r w:rsidR="00F210F4" w:rsidRPr="008834CE">
        <w:t xml:space="preserve"> </w:t>
      </w:r>
      <w:r w:rsidR="0044492F" w:rsidRPr="008834CE">
        <w:t>It is a highly sensitive method us</w:t>
      </w:r>
      <w:r w:rsidR="00F62F45" w:rsidRPr="008834CE">
        <w:t>ing</w:t>
      </w:r>
      <w:r w:rsidR="0044492F" w:rsidRPr="008834CE">
        <w:t xml:space="preserve"> a large mass (ideally 2</w:t>
      </w:r>
      <w:r w:rsidR="004217AA" w:rsidRPr="008834CE">
        <w:t>–</w:t>
      </w:r>
      <w:r w:rsidR="0044492F" w:rsidRPr="008834CE">
        <w:t>4</w:t>
      </w:r>
      <w:r w:rsidR="004217AA" w:rsidRPr="008834CE">
        <w:t> </w:t>
      </w:r>
      <w:r w:rsidR="0044492F" w:rsidRPr="008834CE">
        <w:t xml:space="preserve">g) of starting material and </w:t>
      </w:r>
      <w:r w:rsidR="00F62F45" w:rsidRPr="008834CE">
        <w:t xml:space="preserve">several steps to </w:t>
      </w:r>
      <w:r w:rsidR="0044492F" w:rsidRPr="008834CE">
        <w:t xml:space="preserve">concentrate </w:t>
      </w:r>
      <w:proofErr w:type="spellStart"/>
      <w:r w:rsidR="0044492F" w:rsidRPr="008834CE">
        <w:t>PrP</w:t>
      </w:r>
      <w:r w:rsidR="00FF4CB0" w:rsidRPr="008834CE">
        <w:rPr>
          <w:szCs w:val="14"/>
          <w:vertAlign w:val="superscript"/>
        </w:rPr>
        <w:t>S</w:t>
      </w:r>
      <w:r w:rsidR="0044492F" w:rsidRPr="008834CE">
        <w:rPr>
          <w:szCs w:val="14"/>
          <w:vertAlign w:val="superscript"/>
        </w:rPr>
        <w:t>c</w:t>
      </w:r>
      <w:proofErr w:type="spellEnd"/>
      <w:r w:rsidR="0044492F" w:rsidRPr="008834CE">
        <w:t>.</w:t>
      </w:r>
      <w:r w:rsidR="004217AA" w:rsidRPr="008834CE">
        <w:t xml:space="preserve"> </w:t>
      </w:r>
      <w:r w:rsidR="0076637B" w:rsidRPr="008834CE">
        <w:t>A</w:t>
      </w:r>
      <w:r w:rsidRPr="008834CE">
        <w:t>lternative</w:t>
      </w:r>
      <w:r w:rsidR="00F210F4" w:rsidRPr="008834CE">
        <w:t xml:space="preserve"> </w:t>
      </w:r>
      <w:r w:rsidRPr="008834CE">
        <w:t>less time-consuming and less costly</w:t>
      </w:r>
      <w:r w:rsidR="0076637B" w:rsidRPr="008834CE">
        <w:t xml:space="preserve"> </w:t>
      </w:r>
      <w:r w:rsidR="00F62F45" w:rsidRPr="008834CE">
        <w:t>methods</w:t>
      </w:r>
      <w:r w:rsidR="00F62F45" w:rsidRPr="00FD132C">
        <w:t xml:space="preserve"> </w:t>
      </w:r>
      <w:r w:rsidR="0076637B" w:rsidRPr="00FD132C">
        <w:t>are now available</w:t>
      </w:r>
      <w:r w:rsidRPr="00FD132C">
        <w:t>.</w:t>
      </w:r>
      <w:r w:rsidR="0044492F" w:rsidRPr="00FD132C">
        <w:t xml:space="preserve"> These use less material and are more practical</w:t>
      </w:r>
      <w:r w:rsidRPr="00FD132C">
        <w:t xml:space="preserve">. </w:t>
      </w:r>
      <w:r w:rsidR="00B44ABE" w:rsidRPr="00FD132C">
        <w:t xml:space="preserve">A range of </w:t>
      </w:r>
      <w:r w:rsidR="00644841" w:rsidRPr="00FD132C">
        <w:t>Western immunoblotting</w:t>
      </w:r>
      <w:r w:rsidR="00B44ABE" w:rsidRPr="00FD132C">
        <w:t xml:space="preserve"> methods are available on </w:t>
      </w:r>
      <w:proofErr w:type="spellStart"/>
      <w:r w:rsidR="00857C08" w:rsidRPr="00FD132C">
        <w:t>TSE</w:t>
      </w:r>
      <w:r w:rsidR="00EA2060" w:rsidRPr="00A02FF7">
        <w:rPr>
          <w:u w:val="double"/>
        </w:rPr>
        <w:t>glob</w:t>
      </w:r>
      <w:r w:rsidR="006E494F" w:rsidRPr="00A02FF7">
        <w:rPr>
          <w:u w:val="double"/>
        </w:rPr>
        <w:t>alNet</w:t>
      </w:r>
      <w:proofErr w:type="spellEnd"/>
      <w:r w:rsidR="00857C08" w:rsidRPr="00A02FF7">
        <w:rPr>
          <w:strike/>
        </w:rPr>
        <w:t>-LAB-NET</w:t>
      </w:r>
      <w:r w:rsidR="00857C08" w:rsidRPr="004E3697">
        <w:rPr>
          <w:rStyle w:val="Appelnotedebasdep"/>
          <w:szCs w:val="14"/>
        </w:rPr>
        <w:footnoteReference w:id="6"/>
      </w:r>
      <w:r w:rsidR="00857C08" w:rsidRPr="00FD132C">
        <w:rPr>
          <w:lang w:val="en-IE"/>
        </w:rPr>
        <w:t xml:space="preserve"> </w:t>
      </w:r>
      <w:r w:rsidR="004937EC" w:rsidRPr="00FD132C">
        <w:rPr>
          <w:lang w:val="en-IE"/>
        </w:rPr>
        <w:t>or from</w:t>
      </w:r>
      <w:r w:rsidR="00F62F45" w:rsidRPr="00FD132C">
        <w:rPr>
          <w:lang w:val="en-IE"/>
        </w:rPr>
        <w:t xml:space="preserve"> </w:t>
      </w:r>
      <w:r w:rsidR="00D96029" w:rsidRPr="00FD132C">
        <w:rPr>
          <w:lang w:val="en-IE"/>
        </w:rPr>
        <w:t xml:space="preserve">the </w:t>
      </w:r>
      <w:r w:rsidR="00F62F45" w:rsidRPr="00FD132C">
        <w:rPr>
          <w:lang w:val="en-IE"/>
        </w:rPr>
        <w:t xml:space="preserve">other OIE BSE </w:t>
      </w:r>
      <w:r w:rsidR="004937EC" w:rsidRPr="00FD132C">
        <w:rPr>
          <w:lang w:val="en-IE"/>
        </w:rPr>
        <w:t>Reference Laboratories</w:t>
      </w:r>
      <w:r w:rsidR="00904243" w:rsidRPr="00FD132C">
        <w:t>.</w:t>
      </w:r>
    </w:p>
    <w:p w14:paraId="7BF8DCCD" w14:textId="5E009738" w:rsidR="00C27990" w:rsidRPr="00FD132C" w:rsidRDefault="00C27990" w:rsidP="00071A19">
      <w:pPr>
        <w:pStyle w:val="afourthpara"/>
      </w:pPr>
      <w:r w:rsidRPr="00FD132C">
        <w:t xml:space="preserve">While Western </w:t>
      </w:r>
      <w:r w:rsidR="00242EA8" w:rsidRPr="00FD132C">
        <w:t>immuno</w:t>
      </w:r>
      <w:r w:rsidRPr="00FD132C">
        <w:t xml:space="preserve">blot methodology is now in general use around the world, analytical sensitivity when used to detect </w:t>
      </w:r>
      <w:proofErr w:type="spellStart"/>
      <w:r w:rsidRPr="00FD132C">
        <w:t>PrP</w:t>
      </w:r>
      <w:r w:rsidRPr="004E3697">
        <w:rPr>
          <w:vertAlign w:val="superscript"/>
        </w:rPr>
        <w:t>Sc</w:t>
      </w:r>
      <w:proofErr w:type="spellEnd"/>
      <w:r w:rsidRPr="00FD132C">
        <w:t xml:space="preserve"> varies significantly between methods and laboratories. Where in-house methods are preferred to published methods for confirmatory purposes, it is important that they are evaluated as being fit for purpose and validated in consultation with an OIE Reference Laboratory.</w:t>
      </w:r>
    </w:p>
    <w:p w14:paraId="7BF8DCCE" w14:textId="24757E98" w:rsidR="00222BA1" w:rsidRPr="00FD132C" w:rsidRDefault="00DE3C7D" w:rsidP="00071A19">
      <w:pPr>
        <w:pStyle w:val="afourthpara"/>
      </w:pPr>
      <w:r w:rsidRPr="00FD132C">
        <w:t xml:space="preserve">OIE </w:t>
      </w:r>
      <w:r w:rsidR="005E7D62" w:rsidRPr="00FD132C">
        <w:t xml:space="preserve">and </w:t>
      </w:r>
      <w:r w:rsidRPr="00FD132C">
        <w:t xml:space="preserve">national reference laboratories have </w:t>
      </w:r>
      <w:r w:rsidR="005E7D62" w:rsidRPr="00FD132C">
        <w:t xml:space="preserve">established </w:t>
      </w:r>
      <w:r w:rsidR="007517D1" w:rsidRPr="00FD132C">
        <w:t xml:space="preserve">Western </w:t>
      </w:r>
      <w:r w:rsidRPr="00FD132C">
        <w:t xml:space="preserve">immunoblot </w:t>
      </w:r>
      <w:r w:rsidR="007517D1" w:rsidRPr="00FD132C">
        <w:t>method</w:t>
      </w:r>
      <w:r w:rsidR="0014681D" w:rsidRPr="00FD132C">
        <w:t>s</w:t>
      </w:r>
      <w:r w:rsidR="007517D1" w:rsidRPr="00FD132C">
        <w:t xml:space="preserve"> to discriminate H- and L-type variants from classical BSE. </w:t>
      </w:r>
      <w:r w:rsidRPr="00FD132C">
        <w:t>Discrimination is based on distinct</w:t>
      </w:r>
      <w:r w:rsidR="0014681D" w:rsidRPr="00FD132C">
        <w:t xml:space="preserve"> N-terminal proteinase K cleavage, </w:t>
      </w:r>
      <w:r w:rsidRPr="00FD132C">
        <w:t xml:space="preserve">antibody reactivity and glycosylation pattern of </w:t>
      </w:r>
      <w:proofErr w:type="spellStart"/>
      <w:r w:rsidRPr="00FD132C">
        <w:t>PrP</w:t>
      </w:r>
      <w:r w:rsidR="005E7D62" w:rsidRPr="004E3697">
        <w:rPr>
          <w:szCs w:val="14"/>
          <w:vertAlign w:val="superscript"/>
        </w:rPr>
        <w:t>res</w:t>
      </w:r>
      <w:proofErr w:type="spellEnd"/>
      <w:r w:rsidR="000C3EC9" w:rsidRPr="00FD132C">
        <w:rPr>
          <w:vertAlign w:val="superscript"/>
        </w:rPr>
        <w:t xml:space="preserve"> </w:t>
      </w:r>
      <w:r w:rsidR="000C3EC9" w:rsidRPr="008834CE">
        <w:t>(Jacob</w:t>
      </w:r>
      <w:r w:rsidR="00A1486F" w:rsidRPr="008834CE">
        <w:t xml:space="preserve"> </w:t>
      </w:r>
      <w:r w:rsidR="00A1486F" w:rsidRPr="008834CE">
        <w:rPr>
          <w:i/>
        </w:rPr>
        <w:t>et al.</w:t>
      </w:r>
      <w:r w:rsidR="000C3EC9" w:rsidRPr="008834CE">
        <w:rPr>
          <w:i/>
        </w:rPr>
        <w:t>,</w:t>
      </w:r>
      <w:r w:rsidR="000C3EC9" w:rsidRPr="008834CE">
        <w:t xml:space="preserve"> 2007)</w:t>
      </w:r>
      <w:r w:rsidR="00AD57AD" w:rsidRPr="008834CE">
        <w:t xml:space="preserve">. </w:t>
      </w:r>
      <w:r w:rsidR="00C004D7" w:rsidRPr="008834CE">
        <w:t>A detailed</w:t>
      </w:r>
      <w:r w:rsidR="00C004D7" w:rsidRPr="00FD132C">
        <w:t xml:space="preserve"> protocol </w:t>
      </w:r>
      <w:r w:rsidR="00110681" w:rsidRPr="00FD132C">
        <w:t>i</w:t>
      </w:r>
      <w:r w:rsidR="00C004D7" w:rsidRPr="00FD132C">
        <w:t xml:space="preserve">ncluding diagnostic criteria has been released by </w:t>
      </w:r>
      <w:r w:rsidR="00C004D7" w:rsidRPr="00FD132C">
        <w:lastRenderedPageBreak/>
        <w:t xml:space="preserve">the European Union Reference Laboratory and is available online at </w:t>
      </w:r>
      <w:proofErr w:type="spellStart"/>
      <w:r w:rsidR="00A02FF7" w:rsidRPr="00FD132C">
        <w:t>TSE</w:t>
      </w:r>
      <w:r w:rsidR="00A02FF7" w:rsidRPr="00A02FF7">
        <w:rPr>
          <w:u w:val="double"/>
        </w:rPr>
        <w:t>globalNet</w:t>
      </w:r>
      <w:proofErr w:type="spellEnd"/>
      <w:r w:rsidR="00A02FF7" w:rsidRPr="00A02FF7">
        <w:rPr>
          <w:strike/>
        </w:rPr>
        <w:t>-LAB-NET</w:t>
      </w:r>
      <w:r w:rsidR="000C3EC9" w:rsidRPr="004E3697">
        <w:rPr>
          <w:rStyle w:val="Appelnotedebasdep"/>
          <w:szCs w:val="14"/>
        </w:rPr>
        <w:footnoteReference w:id="7"/>
      </w:r>
      <w:r w:rsidR="00FC69B0" w:rsidRPr="00FD132C">
        <w:t>.</w:t>
      </w:r>
    </w:p>
    <w:p w14:paraId="7BF8DCCF" w14:textId="07BD7562" w:rsidR="00C27990" w:rsidRPr="00FD132C" w:rsidRDefault="002943E5" w:rsidP="00071A19">
      <w:pPr>
        <w:pStyle w:val="afourthlevel"/>
        <w:rPr>
          <w:lang w:val="en-IE"/>
        </w:rPr>
      </w:pPr>
      <w:r w:rsidRPr="00FD132C">
        <w:rPr>
          <w:lang w:val="en-IE"/>
        </w:rPr>
        <w:t>1.2.</w:t>
      </w:r>
      <w:r w:rsidR="00C33CA0" w:rsidRPr="00FD132C">
        <w:rPr>
          <w:lang w:val="en-IE"/>
        </w:rPr>
        <w:t>2.3</w:t>
      </w:r>
      <w:r w:rsidRPr="00FD132C">
        <w:rPr>
          <w:lang w:val="en-IE"/>
        </w:rPr>
        <w:t>.</w:t>
      </w:r>
      <w:r w:rsidR="00100261">
        <w:rPr>
          <w:lang w:val="en-IE"/>
        </w:rPr>
        <w:t xml:space="preserve"> </w:t>
      </w:r>
      <w:r w:rsidR="00C27990" w:rsidRPr="00FD132C">
        <w:rPr>
          <w:lang w:val="en-IE"/>
        </w:rPr>
        <w:t>Rapid test methods</w:t>
      </w:r>
    </w:p>
    <w:p w14:paraId="7BF8DCD0" w14:textId="62B4D9F6" w:rsidR="00C27990" w:rsidRPr="00FD132C" w:rsidRDefault="006049F3" w:rsidP="00071A19">
      <w:pPr>
        <w:pStyle w:val="afourthpara"/>
        <w:rPr>
          <w:lang w:val="en-IE"/>
        </w:rPr>
      </w:pPr>
      <w:r w:rsidRPr="00FD132C">
        <w:rPr>
          <w:lang w:val="en-IE"/>
        </w:rPr>
        <w:t xml:space="preserve">Rapid </w:t>
      </w:r>
      <w:r w:rsidR="00C27990" w:rsidRPr="00FD132C">
        <w:rPr>
          <w:lang w:val="en-IE"/>
        </w:rPr>
        <w:t xml:space="preserve">Western </w:t>
      </w:r>
      <w:r w:rsidR="00242EA8" w:rsidRPr="00FD132C">
        <w:rPr>
          <w:lang w:val="en-IE"/>
        </w:rPr>
        <w:t>immuno</w:t>
      </w:r>
      <w:r w:rsidR="00C27990" w:rsidRPr="00FD132C">
        <w:rPr>
          <w:lang w:val="en-IE"/>
        </w:rPr>
        <w:t>blot</w:t>
      </w:r>
      <w:r w:rsidR="005D30AC" w:rsidRPr="00FD132C">
        <w:rPr>
          <w:lang w:val="en-IE"/>
        </w:rPr>
        <w:t xml:space="preserve">, lateral flow </w:t>
      </w:r>
      <w:r w:rsidR="00506628" w:rsidRPr="00FD132C">
        <w:rPr>
          <w:lang w:val="en-IE"/>
        </w:rPr>
        <w:t>assays</w:t>
      </w:r>
      <w:r w:rsidR="00FC69B0" w:rsidRPr="00FD132C">
        <w:rPr>
          <w:lang w:val="en-IE"/>
        </w:rPr>
        <w:t xml:space="preserve"> </w:t>
      </w:r>
      <w:r w:rsidR="00C27990" w:rsidRPr="00FD132C">
        <w:rPr>
          <w:lang w:val="en-IE"/>
        </w:rPr>
        <w:t xml:space="preserve">and ELISA techniques have been developed that allow screening of large numbers of brain samples and are commercially available. Such techniques can be performed </w:t>
      </w:r>
      <w:r w:rsidR="00C27990" w:rsidRPr="00FD132C">
        <w:t>in a few hours (see EC evaluations of rapid tests for the detection of BSE on known IHC positive and negative sample groups</w:t>
      </w:r>
      <w:r w:rsidR="00857C08" w:rsidRPr="00FD132C">
        <w:rPr>
          <w:rStyle w:val="Appelnotedebasdep"/>
        </w:rPr>
        <w:footnoteReference w:id="8"/>
      </w:r>
      <w:r w:rsidR="00C27990" w:rsidRPr="00FD132C">
        <w:t>)</w:t>
      </w:r>
      <w:r w:rsidR="00F210F4" w:rsidRPr="00FD132C">
        <w:t>.</w:t>
      </w:r>
      <w:r w:rsidR="00C27990" w:rsidRPr="00FD132C">
        <w:t xml:space="preserve"> </w:t>
      </w:r>
      <w:r w:rsidR="005D30AC" w:rsidRPr="00FD132C">
        <w:t xml:space="preserve">Tests </w:t>
      </w:r>
      <w:r w:rsidR="003E1951" w:rsidRPr="00FD132C">
        <w:t>that</w:t>
      </w:r>
      <w:r w:rsidR="005D30AC" w:rsidRPr="00FD132C">
        <w:t xml:space="preserve"> have been evaluated and approved for BSE surveillance within the EU are listed in </w:t>
      </w:r>
      <w:r w:rsidR="003E1951" w:rsidRPr="00FD132C">
        <w:t>A</w:t>
      </w:r>
      <w:r w:rsidR="005D30AC" w:rsidRPr="00FD132C">
        <w:t xml:space="preserve">nnex C </w:t>
      </w:r>
      <w:r w:rsidR="003E1951" w:rsidRPr="00FD132C">
        <w:t>C</w:t>
      </w:r>
      <w:r w:rsidR="005D30AC" w:rsidRPr="00FD132C">
        <w:t>hapter X of the TSE Regulation (EC 999/2001</w:t>
      </w:r>
      <w:r w:rsidR="0054724F" w:rsidRPr="00FD132C">
        <w:t xml:space="preserve"> and subsequent amendments</w:t>
      </w:r>
      <w:r w:rsidR="005D30AC" w:rsidRPr="00FD132C">
        <w:t>). An algorithm of how these tests may be used is available on the website</w:t>
      </w:r>
      <w:r w:rsidR="001D5B5D" w:rsidRPr="00FD132C">
        <w:t xml:space="preserve"> </w:t>
      </w:r>
      <w:r w:rsidR="00C63218" w:rsidRPr="00FD132C">
        <w:rPr>
          <w:lang w:val="en-IE"/>
        </w:rPr>
        <w:t>of the OIE Reference Laboratory in the UK</w:t>
      </w:r>
      <w:r w:rsidR="00857C08" w:rsidRPr="00FD132C">
        <w:rPr>
          <w:rStyle w:val="Appelnotedebasdep"/>
          <w:lang w:val="en-IE"/>
        </w:rPr>
        <w:footnoteReference w:id="9"/>
      </w:r>
      <w:r w:rsidR="00904243" w:rsidRPr="00FD132C">
        <w:t>.</w:t>
      </w:r>
    </w:p>
    <w:p w14:paraId="7BF8DCD1" w14:textId="101FC8B2" w:rsidR="00C27990" w:rsidRPr="00FD132C" w:rsidRDefault="00C27990" w:rsidP="00071A19">
      <w:pPr>
        <w:pStyle w:val="afourthpara"/>
        <w:rPr>
          <w:lang w:val="en-IE"/>
        </w:rPr>
      </w:pPr>
      <w:r w:rsidRPr="00FD132C">
        <w:rPr>
          <w:lang w:val="en-IE"/>
        </w:rPr>
        <w:t xml:space="preserve">While many countries, and an OIE </w:t>
      </w:r>
      <w:r w:rsidR="00EE69BA" w:rsidRPr="00FD132C">
        <w:rPr>
          <w:i/>
          <w:iCs/>
          <w:lang w:val="en-IE"/>
        </w:rPr>
        <w:t xml:space="preserve">ad hoc </w:t>
      </w:r>
      <w:r w:rsidR="00EE69BA" w:rsidRPr="00FD132C">
        <w:rPr>
          <w:lang w:val="en-IE"/>
        </w:rPr>
        <w:t xml:space="preserve">Group </w:t>
      </w:r>
      <w:r w:rsidRPr="00FD132C">
        <w:rPr>
          <w:lang w:val="en-IE"/>
        </w:rPr>
        <w:t>on BSE tests, accept EU approval as an indicator of test performance, others have established their own evaluation mechanisms, most notably the United States of America, Canada and Japan (</w:t>
      </w:r>
      <w:r w:rsidR="00A855D9" w:rsidRPr="00FD132C">
        <w:rPr>
          <w:lang w:val="en-IE"/>
        </w:rPr>
        <w:t xml:space="preserve">Canada’s </w:t>
      </w:r>
      <w:r w:rsidR="009066D7" w:rsidRPr="00FD132C">
        <w:rPr>
          <w:lang w:val="en-IE"/>
        </w:rPr>
        <w:t>protocols for BSE surveillance</w:t>
      </w:r>
      <w:r w:rsidR="009066D7" w:rsidRPr="004E3697">
        <w:rPr>
          <w:rStyle w:val="Appelnotedebasdep"/>
          <w:lang w:val="en-IE"/>
        </w:rPr>
        <w:footnoteReference w:id="10"/>
      </w:r>
      <w:r w:rsidR="00A855D9" w:rsidRPr="00FD132C">
        <w:rPr>
          <w:lang w:val="en-IE"/>
        </w:rPr>
        <w:t xml:space="preserve">; </w:t>
      </w:r>
      <w:r w:rsidR="00D11DBB" w:rsidRPr="00FD132C">
        <w:rPr>
          <w:lang w:val="en-IE"/>
        </w:rPr>
        <w:t>National Veterinary Assay Laboratory</w:t>
      </w:r>
      <w:r w:rsidR="001D5B5D" w:rsidRPr="00FD132C">
        <w:rPr>
          <w:bCs/>
          <w:lang w:val="en-IE"/>
        </w:rPr>
        <w:t>,</w:t>
      </w:r>
      <w:r w:rsidR="00D11DBB" w:rsidRPr="00FD132C">
        <w:rPr>
          <w:bCs/>
          <w:lang w:val="en-IE"/>
        </w:rPr>
        <w:t xml:space="preserve"> Ministry of Agriculture, Forestry and Fisheries</w:t>
      </w:r>
      <w:r w:rsidR="001D5B5D" w:rsidRPr="00FD132C">
        <w:rPr>
          <w:bCs/>
          <w:lang w:val="en-IE"/>
        </w:rPr>
        <w:t>,</w:t>
      </w:r>
      <w:r w:rsidR="00D11DBB" w:rsidRPr="00FD132C">
        <w:rPr>
          <w:bCs/>
          <w:lang w:val="en-IE"/>
        </w:rPr>
        <w:t xml:space="preserve"> Outline of Regulation System of Veterinary Drugs in Japan</w:t>
      </w:r>
      <w:r w:rsidR="009066D7" w:rsidRPr="004E3697">
        <w:rPr>
          <w:rStyle w:val="Appelnotedebasdep"/>
          <w:lang w:val="en-IE"/>
        </w:rPr>
        <w:footnoteReference w:id="11"/>
      </w:r>
      <w:r w:rsidRPr="00FD132C">
        <w:rPr>
          <w:lang w:val="en-IE"/>
        </w:rPr>
        <w:t>). The OIE also has an approval process and protocols for such evaluations are posted on the OIE web site</w:t>
      </w:r>
      <w:r w:rsidR="0074223C" w:rsidRPr="00FD132C">
        <w:rPr>
          <w:lang w:val="en-US"/>
        </w:rPr>
        <w:t>: Validation and certification of Diagnostic Assays</w:t>
      </w:r>
      <w:r w:rsidR="009066D7" w:rsidRPr="004E3697">
        <w:rPr>
          <w:rStyle w:val="Appelnotedebasdep"/>
          <w:lang w:val="en-US"/>
        </w:rPr>
        <w:footnoteReference w:id="12"/>
      </w:r>
      <w:r w:rsidRPr="00FD132C">
        <w:rPr>
          <w:lang w:val="en-IE"/>
        </w:rPr>
        <w:t xml:space="preserve">, and the EU approval process has been accepted as the gold standard for future evaluations in terms of acceptable sensitivity and specificity. </w:t>
      </w:r>
    </w:p>
    <w:p w14:paraId="7BF8DCD2" w14:textId="0924FBD6" w:rsidR="00C27990" w:rsidRPr="00FD132C" w:rsidRDefault="00C27990" w:rsidP="00071A19">
      <w:pPr>
        <w:pStyle w:val="afourthpara"/>
      </w:pPr>
      <w:r w:rsidRPr="00FD132C">
        <w:t>The relative sensitivities of rapid tests, immunohistochemistry and other confirmatory methods</w:t>
      </w:r>
      <w:r w:rsidR="00F210F4" w:rsidRPr="00FD132C">
        <w:t xml:space="preserve"> </w:t>
      </w:r>
      <w:r w:rsidR="006049F3" w:rsidRPr="00FD132C">
        <w:t>have not been fully</w:t>
      </w:r>
      <w:r w:rsidRPr="00FD132C">
        <w:t xml:space="preserve"> determined</w:t>
      </w:r>
      <w:r w:rsidR="0076637B" w:rsidRPr="00FD132C">
        <w:t xml:space="preserve"> </w:t>
      </w:r>
      <w:r w:rsidR="00887A07" w:rsidRPr="00FD132C">
        <w:t>a</w:t>
      </w:r>
      <w:r w:rsidR="0076637B" w:rsidRPr="00FD132C">
        <w:t>s</w:t>
      </w:r>
      <w:r w:rsidR="00887A07" w:rsidRPr="00FD132C">
        <w:t>,</w:t>
      </w:r>
      <w:r w:rsidR="0076637B" w:rsidRPr="00FD132C">
        <w:t xml:space="preserve"> by definition</w:t>
      </w:r>
      <w:r w:rsidR="00887A07" w:rsidRPr="00FD132C">
        <w:t>,</w:t>
      </w:r>
      <w:r w:rsidR="0076637B" w:rsidRPr="00FD132C">
        <w:t xml:space="preserve"> the tests cannot all be applied to identical samples, and </w:t>
      </w:r>
      <w:r w:rsidR="00F62F45" w:rsidRPr="00FD132C">
        <w:t xml:space="preserve">the </w:t>
      </w:r>
      <w:proofErr w:type="spellStart"/>
      <w:r w:rsidR="0076637B" w:rsidRPr="00FD132C">
        <w:t>PrP</w:t>
      </w:r>
      <w:r w:rsidR="0076637B" w:rsidRPr="004E3697">
        <w:rPr>
          <w:szCs w:val="14"/>
          <w:vertAlign w:val="superscript"/>
        </w:rPr>
        <w:t>Sc</w:t>
      </w:r>
      <w:proofErr w:type="spellEnd"/>
      <w:r w:rsidRPr="00FD132C">
        <w:t xml:space="preserve"> </w:t>
      </w:r>
      <w:r w:rsidR="0076637B" w:rsidRPr="00FD132C">
        <w:t>distribution is anatomically variable.</w:t>
      </w:r>
      <w:r w:rsidR="006049F3" w:rsidRPr="00FD132C">
        <w:t xml:space="preserve"> (As a compromise, tissue homogenates or mixtures of finely</w:t>
      </w:r>
      <w:r w:rsidR="0076637B" w:rsidRPr="00FD132C">
        <w:t xml:space="preserve"> </w:t>
      </w:r>
      <w:r w:rsidR="006049F3" w:rsidRPr="00FD132C">
        <w:t>chopped tissue may be used and provide some information, for certain types of tests</w:t>
      </w:r>
      <w:r w:rsidR="00887A07" w:rsidRPr="00FD132C">
        <w:t>.</w:t>
      </w:r>
      <w:r w:rsidR="006049F3" w:rsidRPr="00FD132C">
        <w:t xml:space="preserve">) </w:t>
      </w:r>
      <w:r w:rsidRPr="00FD132C">
        <w:t>Acknowledgement of this is particularly important in evaluating rapid test performance when testing animals that are not presenting clinical signs of BSE</w:t>
      </w:r>
      <w:r w:rsidR="006049F3" w:rsidRPr="00FD132C">
        <w:t xml:space="preserve"> and are likely to have </w:t>
      </w:r>
      <w:r w:rsidR="00F13A66" w:rsidRPr="00FD132C">
        <w:t xml:space="preserve">smaller, more restricted </w:t>
      </w:r>
      <w:r w:rsidR="006049F3" w:rsidRPr="00FD132C">
        <w:t xml:space="preserve">depositions of </w:t>
      </w:r>
      <w:proofErr w:type="spellStart"/>
      <w:r w:rsidR="006049F3" w:rsidRPr="00FD132C">
        <w:t>PrP</w:t>
      </w:r>
      <w:r w:rsidR="00887A07" w:rsidRPr="004E3697">
        <w:rPr>
          <w:szCs w:val="14"/>
          <w:vertAlign w:val="superscript"/>
        </w:rPr>
        <w:t>S</w:t>
      </w:r>
      <w:r w:rsidR="006049F3" w:rsidRPr="004E3697">
        <w:rPr>
          <w:szCs w:val="14"/>
          <w:vertAlign w:val="superscript"/>
        </w:rPr>
        <w:t>c</w:t>
      </w:r>
      <w:proofErr w:type="spellEnd"/>
      <w:r w:rsidR="006049F3" w:rsidRPr="00FD132C">
        <w:t xml:space="preserve"> than cattle with more advance</w:t>
      </w:r>
      <w:r w:rsidR="00F62F45" w:rsidRPr="00FD132C">
        <w:t>d</w:t>
      </w:r>
      <w:r w:rsidR="006049F3" w:rsidRPr="00FD132C">
        <w:t xml:space="preserve"> disease.</w:t>
      </w:r>
      <w:r w:rsidRPr="00FD132C">
        <w:t xml:space="preserve"> Rapid tests provide a means of initial screening for animals in the last few months of the incubation </w:t>
      </w:r>
      <w:r w:rsidRPr="00BF275F">
        <w:t>period</w:t>
      </w:r>
      <w:r w:rsidR="009C3DD0" w:rsidRPr="00BF275F">
        <w:t xml:space="preserve"> (</w:t>
      </w:r>
      <w:r w:rsidR="00AF6FBF" w:rsidRPr="00BF275F">
        <w:t xml:space="preserve">Arnold </w:t>
      </w:r>
      <w:r w:rsidR="00AF6FBF" w:rsidRPr="00BF275F">
        <w:rPr>
          <w:i/>
        </w:rPr>
        <w:t>et al.,</w:t>
      </w:r>
      <w:r w:rsidR="00AF6FBF" w:rsidRPr="00BF275F">
        <w:t xml:space="preserve"> 2007</w:t>
      </w:r>
      <w:r w:rsidR="009C3DD0" w:rsidRPr="00BF275F">
        <w:t>)</w:t>
      </w:r>
      <w:r w:rsidRPr="00BF275F">
        <w:t>, for example</w:t>
      </w:r>
      <w:r w:rsidRPr="00FD132C">
        <w:t xml:space="preserve"> in surveys of post-mortem material collected from routinely slaughtered cattle. In countries conducting surveillance for the detection of the novel occurrence of BSE and in those countries in which a means of assessing the prevalence of BSE is considered necessary</w:t>
      </w:r>
      <w:r w:rsidR="00C33CA0" w:rsidRPr="00FD132C">
        <w:t xml:space="preserve"> independent of the system of notification of suspect cases</w:t>
      </w:r>
      <w:r w:rsidRPr="00FD132C">
        <w:t>, these screening tests offer an efficient approach. Since their introduction for active screening in Europe from January 2001, such tests have been responsible for the identification of the majority of BSE-infected animals</w:t>
      </w:r>
      <w:r w:rsidR="00F62F45" w:rsidRPr="00FD132C">
        <w:t xml:space="preserve"> and</w:t>
      </w:r>
      <w:r w:rsidRPr="00FD132C">
        <w:t xml:space="preserve"> are the preferred primary test</w:t>
      </w:r>
      <w:r w:rsidR="00F62F45" w:rsidRPr="00FD132C">
        <w:t>.</w:t>
      </w:r>
      <w:r w:rsidR="00933EB2" w:rsidRPr="00FD132C">
        <w:t xml:space="preserve"> </w:t>
      </w:r>
      <w:r w:rsidR="009066D7" w:rsidRPr="00FD132C">
        <w:t>However, confirmation</w:t>
      </w:r>
      <w:r w:rsidRPr="00FD132C">
        <w:t xml:space="preserve"> of a diagnosis of BSE ideally requires either th</w:t>
      </w:r>
      <w:r w:rsidR="0007053B" w:rsidRPr="00FD132C">
        <w:t>e examination of fixed brain by</w:t>
      </w:r>
      <w:r w:rsidR="00E77D5D" w:rsidRPr="00FD132C">
        <w:t xml:space="preserve"> </w:t>
      </w:r>
      <w:r w:rsidRPr="00FD132C">
        <w:t xml:space="preserve">immunohistochemistry or the application of an appropriate Western </w:t>
      </w:r>
      <w:r w:rsidR="00242EA8" w:rsidRPr="00FD132C">
        <w:t>immuno</w:t>
      </w:r>
      <w:r w:rsidRPr="00FD132C">
        <w:t xml:space="preserve">blot protocol. </w:t>
      </w:r>
      <w:r w:rsidR="0020738C" w:rsidRPr="00FD132C">
        <w:t>I</w:t>
      </w:r>
      <w:r w:rsidRPr="00FD132C">
        <w:t>n 2006, the OIE accepted that through their use in active surveillance programmes, commercial rapid tests have proved themselves to be very effective and consistent, provided they are performed by appropriately trained personnel. Indeed, at times they may out-perform the acknowledged standard of comparison if training and experience in the latter are deficient. Under such circumstances, it is now considered acceptable</w:t>
      </w:r>
      <w:r w:rsidR="00C17F43" w:rsidRPr="00FD132C">
        <w:t xml:space="preserve"> for diagnosis</w:t>
      </w:r>
      <w:r w:rsidRPr="00FD132C">
        <w:t>, even if not ideal</w:t>
      </w:r>
      <w:r w:rsidR="00C17F43" w:rsidRPr="00FD132C">
        <w:t xml:space="preserve"> for characteri</w:t>
      </w:r>
      <w:r w:rsidR="00B44ABE" w:rsidRPr="00FD132C">
        <w:t>s</w:t>
      </w:r>
      <w:r w:rsidR="00C17F43" w:rsidRPr="00FD132C">
        <w:t>ation</w:t>
      </w:r>
      <w:r w:rsidRPr="00FD132C">
        <w:t xml:space="preserve">, for rapid tests to be used in combination for both primary screening in active or passive surveillance programmes and subsequent confirmation. It </w:t>
      </w:r>
      <w:r w:rsidR="00C17F43" w:rsidRPr="00FD132C">
        <w:t>is</w:t>
      </w:r>
      <w:r w:rsidR="00F210F4" w:rsidRPr="00FD132C">
        <w:t xml:space="preserve"> </w:t>
      </w:r>
      <w:r w:rsidRPr="00FD132C">
        <w:t xml:space="preserve">essential however to ensure that the choice of primary and secondary test are compatible, and do not present a danger of generating false positive results through shared reagents. Consequently, an algorithm of preferred test combinations will be maintained on </w:t>
      </w:r>
      <w:proofErr w:type="spellStart"/>
      <w:r w:rsidR="005B1B91" w:rsidRPr="001D6FA5">
        <w:rPr>
          <w:highlight w:val="yellow"/>
          <w:u w:val="double"/>
        </w:rPr>
        <w:t>TSE</w:t>
      </w:r>
      <w:r w:rsidR="00751367" w:rsidRPr="001D6FA5">
        <w:rPr>
          <w:highlight w:val="yellow"/>
          <w:u w:val="double"/>
        </w:rPr>
        <w:t>g</w:t>
      </w:r>
      <w:r w:rsidR="00C77681" w:rsidRPr="001D6FA5">
        <w:rPr>
          <w:highlight w:val="yellow"/>
          <w:u w:val="double"/>
        </w:rPr>
        <w:t>lobalNet</w:t>
      </w:r>
      <w:proofErr w:type="spellEnd"/>
      <w:r w:rsidR="009066D7" w:rsidRPr="001D6FA5">
        <w:rPr>
          <w:highlight w:val="yellow"/>
        </w:rPr>
        <w:t xml:space="preserve"> </w:t>
      </w:r>
      <w:r w:rsidR="001D6FA5" w:rsidRPr="001D6FA5">
        <w:rPr>
          <w:strike/>
          <w:highlight w:val="yellow"/>
        </w:rPr>
        <w:t>TSE-LAB-NET</w:t>
      </w:r>
      <w:r w:rsidR="001D6FA5" w:rsidRPr="001D6FA5">
        <w:rPr>
          <w:strike/>
        </w:rPr>
        <w:t xml:space="preserve"> </w:t>
      </w:r>
      <w:r w:rsidRPr="00FD132C">
        <w:t xml:space="preserve">to assist those who wish to </w:t>
      </w:r>
      <w:r w:rsidR="00C17F43" w:rsidRPr="00FD132C">
        <w:t>use</w:t>
      </w:r>
      <w:r w:rsidRPr="00FD132C">
        <w:t xml:space="preserve"> this approach instead of </w:t>
      </w:r>
      <w:r w:rsidRPr="005D0345">
        <w:rPr>
          <w:strike/>
        </w:rPr>
        <w:t xml:space="preserve">histopathology and </w:t>
      </w:r>
      <w:r w:rsidRPr="00FD132C">
        <w:t xml:space="preserve">immunohistochemistry or </w:t>
      </w:r>
      <w:r w:rsidR="00242EA8" w:rsidRPr="00FD132C">
        <w:t>W</w:t>
      </w:r>
      <w:r w:rsidR="005C26B5" w:rsidRPr="00FD132C">
        <w:t xml:space="preserve">estern </w:t>
      </w:r>
      <w:r w:rsidR="00242EA8" w:rsidRPr="00FD132C">
        <w:t>immuno</w:t>
      </w:r>
      <w:r w:rsidR="005C26B5" w:rsidRPr="00FD132C">
        <w:t>blotting</w:t>
      </w:r>
      <w:r w:rsidRPr="00FD132C">
        <w:t xml:space="preserve"> for confirmation. The combination</w:t>
      </w:r>
      <w:r w:rsidR="00C17F43" w:rsidRPr="00FD132C">
        <w:t xml:space="preserve"> of tests</w:t>
      </w:r>
      <w:r w:rsidR="00F210F4" w:rsidRPr="00FD132C">
        <w:t xml:space="preserve"> </w:t>
      </w:r>
      <w:r w:rsidRPr="00FD132C">
        <w:t>should include</w:t>
      </w:r>
      <w:r w:rsidR="00F210F4" w:rsidRPr="00FD132C">
        <w:t xml:space="preserve"> </w:t>
      </w:r>
      <w:r w:rsidR="00C17F43" w:rsidRPr="00FD132C">
        <w:t>a W</w:t>
      </w:r>
      <w:r w:rsidRPr="00FD132C">
        <w:t xml:space="preserve">estern blot method </w:t>
      </w:r>
      <w:r w:rsidR="00933EB2" w:rsidRPr="00FD132C">
        <w:t>to</w:t>
      </w:r>
      <w:r w:rsidR="00C17F43" w:rsidRPr="00FD132C">
        <w:t xml:space="preserve"> </w:t>
      </w:r>
      <w:r w:rsidRPr="00FD132C">
        <w:t xml:space="preserve">generate useful complementary data </w:t>
      </w:r>
      <w:r w:rsidR="00933EB2" w:rsidRPr="00FD132C">
        <w:t xml:space="preserve">that will </w:t>
      </w:r>
      <w:r w:rsidRPr="00FD132C">
        <w:t>assist in phenotypic characterisation of the sample in the absence of examination of fixed tissue</w:t>
      </w:r>
      <w:r w:rsidR="00933EB2" w:rsidRPr="00FD132C">
        <w:t>.</w:t>
      </w:r>
      <w:r w:rsidR="00A24C04" w:rsidRPr="00FD132C">
        <w:t xml:space="preserve"> </w:t>
      </w:r>
      <w:r w:rsidR="00933EB2" w:rsidRPr="00FD132C">
        <w:t>T</w:t>
      </w:r>
      <w:r w:rsidR="00A24C04" w:rsidRPr="00FD132C">
        <w:t>he confirmation should be carried out in a National Reference Laboratory</w:t>
      </w:r>
      <w:r w:rsidR="009C3DD0" w:rsidRPr="00FD132C">
        <w:t>.</w:t>
      </w:r>
    </w:p>
    <w:p w14:paraId="7BF8DCD3" w14:textId="7A804AE9" w:rsidR="00C27990" w:rsidRPr="00FD132C" w:rsidRDefault="00C27990" w:rsidP="00071A19">
      <w:pPr>
        <w:pStyle w:val="afourthpara"/>
        <w:rPr>
          <w:lang w:val="en-IE"/>
        </w:rPr>
      </w:pPr>
      <w:r w:rsidRPr="00FD132C">
        <w:t xml:space="preserve">The combination of the two rapid tests can only be used for the confirmation of a BSE case. A negative result by the secondary test is insufficient to define a case as negative following </w:t>
      </w:r>
      <w:r w:rsidRPr="00FD132C">
        <w:lastRenderedPageBreak/>
        <w:t xml:space="preserve">a primary positive result. BSE suspect cases with discordant rapid test results must therefore be investigated further using either the </w:t>
      </w:r>
      <w:r w:rsidR="00201E6D" w:rsidRPr="00FD132C">
        <w:t>W</w:t>
      </w:r>
      <w:r w:rsidR="002777B7" w:rsidRPr="00FD132C">
        <w:t xml:space="preserve">estern </w:t>
      </w:r>
      <w:r w:rsidR="00242EA8" w:rsidRPr="00FD132C">
        <w:t>immuno</w:t>
      </w:r>
      <w:r w:rsidR="002777B7" w:rsidRPr="00FD132C">
        <w:t>blotting</w:t>
      </w:r>
      <w:r w:rsidRPr="00FD132C">
        <w:t xml:space="preserve"> or IHC for the demonstration of </w:t>
      </w:r>
      <w:proofErr w:type="spellStart"/>
      <w:r w:rsidRPr="00FD132C">
        <w:t>PrP</w:t>
      </w:r>
      <w:r w:rsidRPr="004E3697">
        <w:rPr>
          <w:vertAlign w:val="superscript"/>
        </w:rPr>
        <w:t>Sc</w:t>
      </w:r>
      <w:proofErr w:type="spellEnd"/>
      <w:r w:rsidRPr="00FD132C">
        <w:t xml:space="preserve">, or if these methods are not available, </w:t>
      </w:r>
      <w:r w:rsidRPr="005D0345">
        <w:rPr>
          <w:strike/>
        </w:rPr>
        <w:t xml:space="preserve">by histopathology. If histopathology is unable to confirm the initial reactive result, </w:t>
      </w:r>
      <w:r w:rsidRPr="00FD132C">
        <w:t>samples should be submitted to an OIE Reference laboratory for further examination.</w:t>
      </w:r>
    </w:p>
    <w:p w14:paraId="7BF8DCD4" w14:textId="1DF29D8F" w:rsidR="00C27990" w:rsidRPr="00FD132C" w:rsidRDefault="00C27990" w:rsidP="00071A19">
      <w:pPr>
        <w:pStyle w:val="afourthpara"/>
        <w:rPr>
          <w:lang w:val="en-IE"/>
        </w:rPr>
      </w:pPr>
      <w:r w:rsidRPr="00FD132C">
        <w:rPr>
          <w:lang w:val="en-IE"/>
        </w:rPr>
        <w:t xml:space="preserve">Although the test evaluation programmes conducted in Europe were in support of legislation on surveillance for BSE, the consequences are of relevance to other countries. The consequences of false-positive or false-negative results are so great that the introduction of new tests should be supported by thorough evaluation of test performance. Claims by test manufacturers should always be supported by data, ideally evaluated independently. It must be stressed that the process of full validation of all of these diagnostic methods for BSE has been restrained by the lack of a true </w:t>
      </w:r>
      <w:r w:rsidRPr="00A02FF7">
        <w:rPr>
          <w:strike/>
          <w:lang w:val="en-IE"/>
        </w:rPr>
        <w:t>gold standard</w:t>
      </w:r>
      <w:r w:rsidR="00A02FF7">
        <w:rPr>
          <w:strike/>
          <w:lang w:val="en-IE"/>
        </w:rPr>
        <w:t xml:space="preserve"> </w:t>
      </w:r>
      <w:r w:rsidR="003A22C1" w:rsidRPr="00A02FF7">
        <w:rPr>
          <w:u w:val="double"/>
          <w:lang w:val="en-IE"/>
        </w:rPr>
        <w:t>reference method</w:t>
      </w:r>
      <w:r w:rsidRPr="00FD132C">
        <w:rPr>
          <w:lang w:val="en-IE"/>
        </w:rPr>
        <w:t xml:space="preserve"> and the consequent need to apply standards of comparison based on relatively small studies. There is therefore a continuing need for the publication of larger scale studies of assay performance, and none of the data published so far equate with recognised procedures for test validation for other diseases. </w:t>
      </w:r>
    </w:p>
    <w:p w14:paraId="7BF8DCD5" w14:textId="77777777" w:rsidR="00C27990" w:rsidRPr="00FD132C" w:rsidRDefault="002943E5" w:rsidP="002943E5">
      <w:pPr>
        <w:pStyle w:val="11"/>
        <w:rPr>
          <w:lang w:val="en-IE"/>
        </w:rPr>
      </w:pPr>
      <w:r w:rsidRPr="00FD132C">
        <w:rPr>
          <w:lang w:val="en-IE"/>
        </w:rPr>
        <w:t>1.</w:t>
      </w:r>
      <w:r w:rsidR="005757BB" w:rsidRPr="00FD132C">
        <w:rPr>
          <w:lang w:val="en-IE"/>
        </w:rPr>
        <w:t>3</w:t>
      </w:r>
      <w:r w:rsidRPr="00FD132C">
        <w:rPr>
          <w:lang w:val="en-IE"/>
        </w:rPr>
        <w:t>.</w:t>
      </w:r>
      <w:r w:rsidR="00C27990" w:rsidRPr="00FD132C">
        <w:rPr>
          <w:lang w:val="en-IE"/>
        </w:rPr>
        <w:tab/>
        <w:t>Other diagnostic tests</w:t>
      </w:r>
    </w:p>
    <w:p w14:paraId="7BF8DCD6" w14:textId="28915418" w:rsidR="00893068" w:rsidRPr="00FD132C" w:rsidRDefault="00C27990" w:rsidP="002943E5">
      <w:pPr>
        <w:pStyle w:val="11Para"/>
        <w:rPr>
          <w:lang w:val="en-IE"/>
        </w:rPr>
      </w:pPr>
      <w:r w:rsidRPr="00FD132C">
        <w:rPr>
          <w:lang w:val="en-IE"/>
        </w:rPr>
        <w:t xml:space="preserve">BSE infectivity can be shown by </w:t>
      </w:r>
      <w:r w:rsidR="00C17F43" w:rsidRPr="00FD132C">
        <w:rPr>
          <w:lang w:val="en-IE"/>
        </w:rPr>
        <w:t>inoculating</w:t>
      </w:r>
      <w:r w:rsidR="00F210F4" w:rsidRPr="00FD132C">
        <w:rPr>
          <w:lang w:val="en-IE"/>
        </w:rPr>
        <w:t xml:space="preserve"> </w:t>
      </w:r>
      <w:r w:rsidRPr="00FD132C">
        <w:rPr>
          <w:lang w:val="en-IE"/>
        </w:rPr>
        <w:t xml:space="preserve">mice with brain tissue from terminally affected cattle, but bioassay is impractical for routine diagnosis because of the long incubation period. </w:t>
      </w:r>
      <w:r w:rsidR="00C17F43" w:rsidRPr="00FD132C">
        <w:rPr>
          <w:lang w:val="en-IE"/>
        </w:rPr>
        <w:t xml:space="preserve">It is, however, the nearest approach to a </w:t>
      </w:r>
      <w:r w:rsidR="00A02FF7" w:rsidRPr="00A02FF7">
        <w:rPr>
          <w:strike/>
          <w:lang w:val="en-IE"/>
        </w:rPr>
        <w:t>gold standard</w:t>
      </w:r>
      <w:r w:rsidR="00A02FF7">
        <w:rPr>
          <w:strike/>
          <w:lang w:val="en-IE"/>
        </w:rPr>
        <w:t xml:space="preserve"> </w:t>
      </w:r>
      <w:r w:rsidR="00A02FF7" w:rsidRPr="00A02FF7">
        <w:rPr>
          <w:u w:val="double"/>
          <w:lang w:val="en-IE"/>
        </w:rPr>
        <w:t>reference method</w:t>
      </w:r>
      <w:r w:rsidR="00A02FF7" w:rsidRPr="00FD132C">
        <w:rPr>
          <w:lang w:val="en-IE"/>
        </w:rPr>
        <w:t xml:space="preserve"> </w:t>
      </w:r>
      <w:r w:rsidR="00C17F43" w:rsidRPr="00FD132C">
        <w:rPr>
          <w:lang w:val="en-IE"/>
        </w:rPr>
        <w:t xml:space="preserve">for the characterisation of isolates, which has to be based on secondary biological properties in a standardised host, in the absence of </w:t>
      </w:r>
      <w:r w:rsidR="00F247F6" w:rsidRPr="00FD132C">
        <w:rPr>
          <w:lang w:val="en-IE"/>
        </w:rPr>
        <w:t xml:space="preserve">an isolatable physical agent. </w:t>
      </w:r>
      <w:r w:rsidRPr="00FD132C">
        <w:rPr>
          <w:lang w:val="en-IE"/>
        </w:rPr>
        <w:t xml:space="preserve">Transgenic mice, such as those over-expressing the bovine </w:t>
      </w:r>
      <w:proofErr w:type="spellStart"/>
      <w:r w:rsidRPr="00FD132C">
        <w:rPr>
          <w:lang w:val="en-IE"/>
        </w:rPr>
        <w:t>PrP</w:t>
      </w:r>
      <w:proofErr w:type="spellEnd"/>
      <w:r w:rsidRPr="00FD132C">
        <w:rPr>
          <w:lang w:val="en-IE"/>
        </w:rPr>
        <w:t xml:space="preserve"> gene, offer bioassays with reduced incubation periods for BSE, but none as yet represent practical diagnostic tools.</w:t>
      </w:r>
    </w:p>
    <w:p w14:paraId="7BF8DCD7" w14:textId="73E4E8EB" w:rsidR="00CE484B" w:rsidRPr="00FD132C" w:rsidRDefault="00CE484B" w:rsidP="002943E5">
      <w:pPr>
        <w:pStyle w:val="11Para"/>
        <w:rPr>
          <w:lang w:val="en-IE"/>
        </w:rPr>
      </w:pPr>
      <w:r w:rsidRPr="00BF275F">
        <w:rPr>
          <w:lang w:val="en-IE"/>
        </w:rPr>
        <w:t xml:space="preserve">Methods using </w:t>
      </w:r>
      <w:r w:rsidRPr="00BF275F">
        <w:rPr>
          <w:i/>
          <w:lang w:val="en-IE"/>
        </w:rPr>
        <w:t>in</w:t>
      </w:r>
      <w:r w:rsidR="007852B8" w:rsidRPr="00BF275F">
        <w:rPr>
          <w:i/>
          <w:lang w:val="en-IE"/>
        </w:rPr>
        <w:t>-</w:t>
      </w:r>
      <w:r w:rsidRPr="00BF275F">
        <w:rPr>
          <w:i/>
          <w:lang w:val="en-IE"/>
        </w:rPr>
        <w:t>vitro</w:t>
      </w:r>
      <w:r w:rsidRPr="00BF275F">
        <w:rPr>
          <w:lang w:val="en-IE"/>
        </w:rPr>
        <w:t xml:space="preserve"> protein amplification are proving very sensitive for the detection of some </w:t>
      </w:r>
      <w:r w:rsidR="00893068" w:rsidRPr="00BF275F">
        <w:rPr>
          <w:lang w:val="en-IE"/>
        </w:rPr>
        <w:t>prion diseases</w:t>
      </w:r>
      <w:r w:rsidRPr="00BF275F">
        <w:rPr>
          <w:lang w:val="en-IE"/>
        </w:rPr>
        <w:t xml:space="preserve"> (Castilla </w:t>
      </w:r>
      <w:r w:rsidRPr="00BF275F">
        <w:rPr>
          <w:i/>
          <w:lang w:val="en-IE"/>
        </w:rPr>
        <w:t>et al</w:t>
      </w:r>
      <w:r w:rsidR="00FC69B0" w:rsidRPr="00BF275F">
        <w:rPr>
          <w:i/>
          <w:lang w:val="en-IE"/>
        </w:rPr>
        <w:t>.,</w:t>
      </w:r>
      <w:r w:rsidRPr="00BF275F">
        <w:rPr>
          <w:lang w:val="en-IE"/>
        </w:rPr>
        <w:t xml:space="preserve"> 2006; </w:t>
      </w:r>
      <w:proofErr w:type="spellStart"/>
      <w:r w:rsidRPr="00BF275F">
        <w:rPr>
          <w:lang w:val="en-IE"/>
        </w:rPr>
        <w:t>Orru</w:t>
      </w:r>
      <w:proofErr w:type="spellEnd"/>
      <w:r w:rsidRPr="00BF275F">
        <w:rPr>
          <w:lang w:val="en-IE"/>
        </w:rPr>
        <w:t xml:space="preserve"> </w:t>
      </w:r>
      <w:r w:rsidRPr="00BF275F">
        <w:rPr>
          <w:i/>
          <w:lang w:val="en-IE"/>
        </w:rPr>
        <w:t>et al</w:t>
      </w:r>
      <w:r w:rsidR="00FC69B0" w:rsidRPr="00BF275F">
        <w:rPr>
          <w:i/>
          <w:lang w:val="en-IE"/>
        </w:rPr>
        <w:t>.</w:t>
      </w:r>
      <w:r w:rsidRPr="00BF275F">
        <w:rPr>
          <w:i/>
          <w:lang w:val="en-IE"/>
        </w:rPr>
        <w:t>,</w:t>
      </w:r>
      <w:r w:rsidRPr="00BF275F">
        <w:rPr>
          <w:lang w:val="en-IE"/>
        </w:rPr>
        <w:t xml:space="preserve"> 2012), </w:t>
      </w:r>
      <w:r w:rsidR="00786E8E" w:rsidRPr="00BF275F">
        <w:rPr>
          <w:lang w:val="en-IE"/>
        </w:rPr>
        <w:t xml:space="preserve">including C-type BSE (Murayama </w:t>
      </w:r>
      <w:r w:rsidR="00786E8E" w:rsidRPr="00BF275F">
        <w:rPr>
          <w:i/>
          <w:lang w:val="en-IE"/>
        </w:rPr>
        <w:t>et al</w:t>
      </w:r>
      <w:r w:rsidR="00786E8E" w:rsidRPr="00BF275F">
        <w:rPr>
          <w:lang w:val="en-IE"/>
        </w:rPr>
        <w:t xml:space="preserve">., 2010), </w:t>
      </w:r>
      <w:r w:rsidRPr="00BF275F">
        <w:rPr>
          <w:lang w:val="en-IE"/>
        </w:rPr>
        <w:t>but have not yet been formally evaluated for application within statutory surveillance systems, although some have been successfully piloted for surveillance applications in humans (</w:t>
      </w:r>
      <w:proofErr w:type="spellStart"/>
      <w:r w:rsidRPr="00BF275F">
        <w:rPr>
          <w:lang w:val="en-IE"/>
        </w:rPr>
        <w:t>Lacroux</w:t>
      </w:r>
      <w:proofErr w:type="spellEnd"/>
      <w:r w:rsidRPr="00BF275F">
        <w:rPr>
          <w:lang w:val="en-IE"/>
        </w:rPr>
        <w:t xml:space="preserve"> </w:t>
      </w:r>
      <w:r w:rsidRPr="00BF275F">
        <w:rPr>
          <w:i/>
          <w:lang w:val="en-IE"/>
        </w:rPr>
        <w:t>et al</w:t>
      </w:r>
      <w:r w:rsidR="007852B8" w:rsidRPr="00BF275F">
        <w:rPr>
          <w:i/>
          <w:lang w:val="en-IE"/>
        </w:rPr>
        <w:t>.,</w:t>
      </w:r>
      <w:r w:rsidR="007852B8" w:rsidRPr="00BF275F">
        <w:rPr>
          <w:lang w:val="en-IE"/>
        </w:rPr>
        <w:t xml:space="preserve"> </w:t>
      </w:r>
      <w:r w:rsidRPr="00BF275F">
        <w:rPr>
          <w:lang w:val="en-IE"/>
        </w:rPr>
        <w:t xml:space="preserve">2014; </w:t>
      </w:r>
      <w:proofErr w:type="spellStart"/>
      <w:r w:rsidRPr="00BF275F">
        <w:rPr>
          <w:lang w:val="en-IE"/>
        </w:rPr>
        <w:t>Orru</w:t>
      </w:r>
      <w:proofErr w:type="spellEnd"/>
      <w:r w:rsidRPr="00BF275F">
        <w:rPr>
          <w:lang w:val="en-IE"/>
        </w:rPr>
        <w:t xml:space="preserve"> </w:t>
      </w:r>
      <w:r w:rsidRPr="00BF275F">
        <w:rPr>
          <w:i/>
          <w:lang w:val="en-IE"/>
        </w:rPr>
        <w:t>et al</w:t>
      </w:r>
      <w:r w:rsidR="007852B8" w:rsidRPr="00BF275F">
        <w:rPr>
          <w:i/>
          <w:lang w:val="en-IE"/>
        </w:rPr>
        <w:t>.</w:t>
      </w:r>
      <w:r w:rsidRPr="00BF275F">
        <w:rPr>
          <w:i/>
          <w:lang w:val="en-IE"/>
        </w:rPr>
        <w:t>,</w:t>
      </w:r>
      <w:r w:rsidRPr="00BF275F">
        <w:rPr>
          <w:lang w:val="en-IE"/>
        </w:rPr>
        <w:t xml:space="preserve"> 2014).</w:t>
      </w:r>
    </w:p>
    <w:p w14:paraId="7BF8DCD9" w14:textId="77777777" w:rsidR="00132A5C" w:rsidRPr="00FD132C" w:rsidRDefault="002943E5" w:rsidP="002943E5">
      <w:pPr>
        <w:pStyle w:val="11"/>
        <w:rPr>
          <w:lang w:val="en-IE"/>
        </w:rPr>
      </w:pPr>
      <w:r w:rsidRPr="00FD132C">
        <w:rPr>
          <w:lang w:val="en-IE"/>
        </w:rPr>
        <w:t>1.</w:t>
      </w:r>
      <w:r w:rsidR="005757BB" w:rsidRPr="00FD132C">
        <w:rPr>
          <w:lang w:val="en-IE"/>
        </w:rPr>
        <w:t>4</w:t>
      </w:r>
      <w:r w:rsidRPr="00FD132C">
        <w:rPr>
          <w:lang w:val="en-IE"/>
        </w:rPr>
        <w:t>.</w:t>
      </w:r>
      <w:r w:rsidR="00132A5C" w:rsidRPr="00FD132C">
        <w:rPr>
          <w:lang w:val="en-IE"/>
        </w:rPr>
        <w:tab/>
        <w:t>Availability of diagnostic reagents and kits</w:t>
      </w:r>
    </w:p>
    <w:p w14:paraId="7BF8DCDA" w14:textId="663E6DA1" w:rsidR="00132A5C" w:rsidRPr="00FD132C" w:rsidRDefault="00132A5C" w:rsidP="002943E5">
      <w:pPr>
        <w:pStyle w:val="11Para"/>
        <w:rPr>
          <w:lang w:val="en-IE"/>
        </w:rPr>
      </w:pPr>
      <w:r w:rsidRPr="00FD132C">
        <w:rPr>
          <w:lang w:val="en-IE"/>
        </w:rPr>
        <w:t>As discussed previously</w:t>
      </w:r>
      <w:r w:rsidR="0046025D" w:rsidRPr="00FD132C">
        <w:rPr>
          <w:lang w:val="en-IE"/>
        </w:rPr>
        <w:t xml:space="preserve"> (</w:t>
      </w:r>
      <w:r w:rsidR="009F4802" w:rsidRPr="00FD132C">
        <w:rPr>
          <w:lang w:val="en-IE"/>
        </w:rPr>
        <w:t xml:space="preserve">Section </w:t>
      </w:r>
      <w:r w:rsidR="001D6FA5" w:rsidRPr="001D6FA5">
        <w:rPr>
          <w:highlight w:val="yellow"/>
          <w:u w:val="double"/>
          <w:lang w:val="en-IE"/>
        </w:rPr>
        <w:t>B.</w:t>
      </w:r>
      <w:r w:rsidR="0046025D" w:rsidRPr="001D6FA5">
        <w:rPr>
          <w:highlight w:val="yellow"/>
          <w:u w:val="double"/>
          <w:lang w:val="en-IE"/>
        </w:rPr>
        <w:t>1.2.</w:t>
      </w:r>
      <w:r w:rsidR="00995753" w:rsidRPr="001D6FA5">
        <w:rPr>
          <w:highlight w:val="yellow"/>
          <w:u w:val="double"/>
          <w:lang w:val="en-IE"/>
        </w:rPr>
        <w:t>2.3</w:t>
      </w:r>
      <w:r w:rsidR="0046025D" w:rsidRPr="001D6FA5">
        <w:rPr>
          <w:highlight w:val="yellow"/>
          <w:lang w:val="en-IE"/>
        </w:rPr>
        <w:t xml:space="preserve"> </w:t>
      </w:r>
      <w:r w:rsidR="001D6FA5" w:rsidRPr="001D6FA5">
        <w:rPr>
          <w:strike/>
          <w:highlight w:val="yellow"/>
          <w:lang w:val="en-IE"/>
        </w:rPr>
        <w:t>1.2.5</w:t>
      </w:r>
      <w:r w:rsidR="001D6FA5" w:rsidRPr="001D6FA5">
        <w:rPr>
          <w:strike/>
          <w:lang w:val="en-IE"/>
        </w:rPr>
        <w:t xml:space="preserve"> </w:t>
      </w:r>
      <w:r w:rsidR="0046025D" w:rsidRPr="00FD132C">
        <w:rPr>
          <w:lang w:val="en-IE"/>
        </w:rPr>
        <w:t>above)</w:t>
      </w:r>
      <w:r w:rsidRPr="00FD132C">
        <w:rPr>
          <w:lang w:val="en-IE"/>
        </w:rPr>
        <w:t xml:space="preserve">, diagnostic kits have been licensed for use in many countries and reagents are available commercially and from OIE reference and other laboratories with a TSE </w:t>
      </w:r>
      <w:r w:rsidR="00C33CA0" w:rsidRPr="00FD132C">
        <w:rPr>
          <w:lang w:val="en-IE"/>
        </w:rPr>
        <w:t xml:space="preserve">surveillance </w:t>
      </w:r>
      <w:r w:rsidRPr="00FD132C">
        <w:rPr>
          <w:lang w:val="en-IE"/>
        </w:rPr>
        <w:t xml:space="preserve">programme. </w:t>
      </w:r>
      <w:r w:rsidR="0046025D" w:rsidRPr="00FD132C">
        <w:rPr>
          <w:lang w:val="en-IE"/>
        </w:rPr>
        <w:t xml:space="preserve">Laboratories should preferably use kits </w:t>
      </w:r>
      <w:r w:rsidR="008B1562" w:rsidRPr="00FD132C">
        <w:rPr>
          <w:lang w:val="en-IE"/>
        </w:rPr>
        <w:t>listed on the OIE Register</w:t>
      </w:r>
      <w:r w:rsidR="003E4D0C" w:rsidRPr="00A02FF7">
        <w:rPr>
          <w:rStyle w:val="Appelnotedebasdep"/>
          <w:u w:val="double"/>
          <w:lang w:val="en-IE"/>
        </w:rPr>
        <w:footnoteReference w:id="13"/>
      </w:r>
      <w:r w:rsidR="008B1562" w:rsidRPr="00FD132C">
        <w:rPr>
          <w:lang w:val="en-IE"/>
        </w:rPr>
        <w:t>, or else kits that have been fully evaluated and validated by the relevant regulatory bodies</w:t>
      </w:r>
      <w:r w:rsidR="00705752" w:rsidRPr="00A02FF7">
        <w:rPr>
          <w:strike/>
          <w:lang w:val="en-IE"/>
        </w:rPr>
        <w:t xml:space="preserve"> (</w:t>
      </w:r>
      <w:hyperlink r:id="rId15" w:history="1">
        <w:r w:rsidR="006D0B65" w:rsidRPr="00A02FF7">
          <w:rPr>
            <w:rStyle w:val="Lienhypertexte"/>
            <w:strike/>
          </w:rPr>
          <w:t>http://www.oie.int/en/scientific-expertise/registration-of-diagnostic-kits/the-register-of-diagnostic-kits/</w:t>
        </w:r>
      </w:hyperlink>
      <w:r w:rsidR="00705752" w:rsidRPr="00A02FF7">
        <w:rPr>
          <w:strike/>
          <w:lang w:val="en-IE"/>
        </w:rPr>
        <w:t>)</w:t>
      </w:r>
      <w:r w:rsidR="008B1562" w:rsidRPr="00FD132C">
        <w:rPr>
          <w:lang w:val="en-IE"/>
        </w:rPr>
        <w:t>.</w:t>
      </w:r>
    </w:p>
    <w:p w14:paraId="7BF8DCDB" w14:textId="77777777" w:rsidR="00C27990" w:rsidRPr="00FD132C" w:rsidRDefault="00C27990" w:rsidP="00396C7B">
      <w:pPr>
        <w:pStyle w:val="1"/>
        <w:outlineLvl w:val="0"/>
      </w:pPr>
      <w:r w:rsidRPr="00FD132C">
        <w:t>2.</w:t>
      </w:r>
      <w:r w:rsidRPr="00FD132C">
        <w:tab/>
        <w:t>Serological tests</w:t>
      </w:r>
    </w:p>
    <w:p w14:paraId="7BF8DCDC" w14:textId="44300B38" w:rsidR="00C27990" w:rsidRPr="00FD132C" w:rsidRDefault="00C27990">
      <w:pPr>
        <w:pStyle w:val="para1"/>
        <w:spacing w:after="480"/>
      </w:pPr>
      <w:r w:rsidRPr="00FD132C">
        <w:t>The infectious agents of prion diseases do not induce a significant immune response in the host</w:t>
      </w:r>
      <w:r w:rsidR="008B1562" w:rsidRPr="00FD132C">
        <w:t xml:space="preserve"> so serological methods are not applicable</w:t>
      </w:r>
      <w:r w:rsidRPr="00FD132C">
        <w:t>.</w:t>
      </w:r>
    </w:p>
    <w:p w14:paraId="7BF8DCDD" w14:textId="77777777" w:rsidR="00C27990" w:rsidRPr="00FD132C" w:rsidRDefault="00C27990" w:rsidP="00396C7B">
      <w:pPr>
        <w:pStyle w:val="A0"/>
        <w:outlineLvl w:val="0"/>
      </w:pPr>
      <w:r w:rsidRPr="00FD132C">
        <w:t xml:space="preserve">c. </w:t>
      </w:r>
      <w:r w:rsidR="00F210F4" w:rsidRPr="00FD132C">
        <w:t xml:space="preserve"> </w:t>
      </w:r>
      <w:r w:rsidRPr="00FD132C">
        <w:t xml:space="preserve">REQUIREMENTS FOR VACCINES </w:t>
      </w:r>
    </w:p>
    <w:p w14:paraId="7BF8DCDE" w14:textId="148BC629" w:rsidR="00C27990" w:rsidRPr="00FD132C" w:rsidRDefault="00C27990">
      <w:pPr>
        <w:pStyle w:val="paraA0"/>
        <w:spacing w:after="480"/>
        <w:rPr>
          <w:lang w:val="en-IE"/>
        </w:rPr>
      </w:pPr>
      <w:r w:rsidRPr="00FD132C">
        <w:rPr>
          <w:lang w:val="en-IE"/>
        </w:rPr>
        <w:t xml:space="preserve">There are no </w:t>
      </w:r>
      <w:r w:rsidR="00046ADB" w:rsidRPr="00FD132C">
        <w:rPr>
          <w:lang w:val="en-IE"/>
        </w:rPr>
        <w:t>vaccines</w:t>
      </w:r>
      <w:r w:rsidR="00F210F4" w:rsidRPr="00FD132C">
        <w:rPr>
          <w:lang w:val="en-IE"/>
        </w:rPr>
        <w:t xml:space="preserve"> </w:t>
      </w:r>
      <w:r w:rsidRPr="00FD132C">
        <w:rPr>
          <w:lang w:val="en-IE"/>
        </w:rPr>
        <w:t xml:space="preserve">available. </w:t>
      </w:r>
    </w:p>
    <w:p w14:paraId="7BF8DCDF" w14:textId="77777777" w:rsidR="00C27990" w:rsidRPr="00FD132C" w:rsidRDefault="00C27990" w:rsidP="00396C7B">
      <w:pPr>
        <w:pStyle w:val="A0"/>
        <w:spacing w:after="200"/>
        <w:outlineLvl w:val="0"/>
        <w:rPr>
          <w:sz w:val="22"/>
          <w:szCs w:val="22"/>
        </w:rPr>
      </w:pPr>
      <w:r w:rsidRPr="00FD132C">
        <w:rPr>
          <w:sz w:val="22"/>
          <w:szCs w:val="22"/>
        </w:rPr>
        <w:t>REFERENCES</w:t>
      </w:r>
    </w:p>
    <w:p w14:paraId="7BF8DCE1" w14:textId="77777777" w:rsidR="008D4C04" w:rsidRPr="00FD132C" w:rsidRDefault="008D4C04" w:rsidP="007B4344">
      <w:pPr>
        <w:pStyle w:val="Ref"/>
        <w:ind w:left="0" w:firstLine="0"/>
        <w:rPr>
          <w:lang w:val="fr-FR"/>
        </w:rPr>
      </w:pPr>
      <w:r w:rsidRPr="00FD132C">
        <w:rPr>
          <w:smallCaps/>
        </w:rPr>
        <w:t>Arnold M</w:t>
      </w:r>
      <w:r w:rsidR="009066F5" w:rsidRPr="00FD132C">
        <w:rPr>
          <w:smallCaps/>
        </w:rPr>
        <w:t>.</w:t>
      </w:r>
      <w:r w:rsidRPr="00FD132C">
        <w:rPr>
          <w:smallCaps/>
        </w:rPr>
        <w:t>E</w:t>
      </w:r>
      <w:r w:rsidR="009066F5" w:rsidRPr="00FD132C">
        <w:rPr>
          <w:smallCaps/>
        </w:rPr>
        <w:t>.</w:t>
      </w:r>
      <w:r w:rsidRPr="00FD132C">
        <w:rPr>
          <w:smallCaps/>
        </w:rPr>
        <w:t>, Ryan J</w:t>
      </w:r>
      <w:r w:rsidR="009066F5" w:rsidRPr="00FD132C">
        <w:rPr>
          <w:smallCaps/>
        </w:rPr>
        <w:t>.</w:t>
      </w:r>
      <w:r w:rsidRPr="00FD132C">
        <w:rPr>
          <w:smallCaps/>
        </w:rPr>
        <w:t>B</w:t>
      </w:r>
      <w:r w:rsidR="009066F5" w:rsidRPr="00FD132C">
        <w:rPr>
          <w:smallCaps/>
        </w:rPr>
        <w:t>.</w:t>
      </w:r>
      <w:r w:rsidRPr="00FD132C">
        <w:rPr>
          <w:smallCaps/>
        </w:rPr>
        <w:t>M</w:t>
      </w:r>
      <w:r w:rsidR="009066F5" w:rsidRPr="00FD132C">
        <w:rPr>
          <w:smallCaps/>
        </w:rPr>
        <w:t>.</w:t>
      </w:r>
      <w:r w:rsidRPr="00FD132C">
        <w:rPr>
          <w:smallCaps/>
        </w:rPr>
        <w:t xml:space="preserve">, </w:t>
      </w:r>
      <w:proofErr w:type="spellStart"/>
      <w:r w:rsidRPr="00FD132C">
        <w:rPr>
          <w:smallCaps/>
        </w:rPr>
        <w:t>Konold</w:t>
      </w:r>
      <w:proofErr w:type="spellEnd"/>
      <w:r w:rsidRPr="00FD132C">
        <w:rPr>
          <w:smallCaps/>
        </w:rPr>
        <w:t xml:space="preserve"> T</w:t>
      </w:r>
      <w:r w:rsidR="009066F5" w:rsidRPr="00FD132C">
        <w:rPr>
          <w:smallCaps/>
        </w:rPr>
        <w:t>.</w:t>
      </w:r>
      <w:r w:rsidRPr="00FD132C">
        <w:rPr>
          <w:smallCaps/>
        </w:rPr>
        <w:t>, Simmons M</w:t>
      </w:r>
      <w:r w:rsidR="009066F5" w:rsidRPr="00FD132C">
        <w:rPr>
          <w:smallCaps/>
        </w:rPr>
        <w:t>.</w:t>
      </w:r>
      <w:r w:rsidRPr="00FD132C">
        <w:rPr>
          <w:smallCaps/>
        </w:rPr>
        <w:t>M</w:t>
      </w:r>
      <w:r w:rsidR="009066F5" w:rsidRPr="00FD132C">
        <w:rPr>
          <w:smallCaps/>
        </w:rPr>
        <w:t>.</w:t>
      </w:r>
      <w:r w:rsidRPr="00FD132C">
        <w:rPr>
          <w:smallCaps/>
        </w:rPr>
        <w:t>, Spencer Y</w:t>
      </w:r>
      <w:r w:rsidR="009066F5" w:rsidRPr="00FD132C">
        <w:rPr>
          <w:smallCaps/>
        </w:rPr>
        <w:t>.</w:t>
      </w:r>
      <w:r w:rsidRPr="00FD132C">
        <w:rPr>
          <w:smallCaps/>
        </w:rPr>
        <w:t>I</w:t>
      </w:r>
      <w:r w:rsidR="009066F5" w:rsidRPr="00FD132C">
        <w:rPr>
          <w:smallCaps/>
        </w:rPr>
        <w:t>.</w:t>
      </w:r>
      <w:r w:rsidRPr="00FD132C">
        <w:rPr>
          <w:smallCaps/>
        </w:rPr>
        <w:t>, Wear A</w:t>
      </w:r>
      <w:r w:rsidR="009066F5" w:rsidRPr="00FD132C">
        <w:rPr>
          <w:smallCaps/>
        </w:rPr>
        <w:t>.</w:t>
      </w:r>
      <w:r w:rsidRPr="00FD132C">
        <w:rPr>
          <w:smallCaps/>
        </w:rPr>
        <w:t>, Chaplin M</w:t>
      </w:r>
      <w:r w:rsidR="009066F5" w:rsidRPr="00FD132C">
        <w:rPr>
          <w:smallCaps/>
        </w:rPr>
        <w:t>.</w:t>
      </w:r>
      <w:r w:rsidRPr="00FD132C">
        <w:rPr>
          <w:smallCaps/>
        </w:rPr>
        <w:t>, Stack M</w:t>
      </w:r>
      <w:r w:rsidR="009066F5" w:rsidRPr="00FD132C">
        <w:rPr>
          <w:smallCaps/>
        </w:rPr>
        <w:t>.</w:t>
      </w:r>
      <w:r w:rsidRPr="00FD132C">
        <w:rPr>
          <w:smallCaps/>
        </w:rPr>
        <w:t xml:space="preserve">, </w:t>
      </w:r>
      <w:proofErr w:type="spellStart"/>
      <w:r w:rsidRPr="00FD132C">
        <w:rPr>
          <w:smallCaps/>
        </w:rPr>
        <w:t>Czub</w:t>
      </w:r>
      <w:proofErr w:type="spellEnd"/>
      <w:r w:rsidRPr="00FD132C">
        <w:rPr>
          <w:smallCaps/>
        </w:rPr>
        <w:t xml:space="preserve"> S</w:t>
      </w:r>
      <w:r w:rsidR="009066F5" w:rsidRPr="00FD132C">
        <w:rPr>
          <w:smallCaps/>
        </w:rPr>
        <w:t>.</w:t>
      </w:r>
      <w:r w:rsidRPr="00FD132C">
        <w:rPr>
          <w:smallCaps/>
        </w:rPr>
        <w:t>, Mueller R</w:t>
      </w:r>
      <w:r w:rsidR="009066F5" w:rsidRPr="00FD132C">
        <w:rPr>
          <w:smallCaps/>
        </w:rPr>
        <w:t>.</w:t>
      </w:r>
      <w:r w:rsidRPr="00FD132C">
        <w:rPr>
          <w:smallCaps/>
        </w:rPr>
        <w:t>, Webb P</w:t>
      </w:r>
      <w:r w:rsidR="009066F5" w:rsidRPr="00FD132C">
        <w:rPr>
          <w:smallCaps/>
        </w:rPr>
        <w:t>.</w:t>
      </w:r>
      <w:r w:rsidRPr="00FD132C">
        <w:rPr>
          <w:smallCaps/>
        </w:rPr>
        <w:t>R</w:t>
      </w:r>
      <w:r w:rsidR="009066F5" w:rsidRPr="00FD132C">
        <w:rPr>
          <w:smallCaps/>
        </w:rPr>
        <w:t>.</w:t>
      </w:r>
      <w:r w:rsidRPr="00FD132C">
        <w:rPr>
          <w:smallCaps/>
        </w:rPr>
        <w:t>, Davis A</w:t>
      </w:r>
      <w:r w:rsidR="009066F5" w:rsidRPr="00FD132C">
        <w:rPr>
          <w:smallCaps/>
        </w:rPr>
        <w:t>.</w:t>
      </w:r>
      <w:r w:rsidRPr="00FD132C">
        <w:rPr>
          <w:smallCaps/>
        </w:rPr>
        <w:t xml:space="preserve">, </w:t>
      </w:r>
      <w:proofErr w:type="spellStart"/>
      <w:r w:rsidRPr="00FD132C">
        <w:rPr>
          <w:smallCaps/>
        </w:rPr>
        <w:t>Spiropoulos</w:t>
      </w:r>
      <w:proofErr w:type="spellEnd"/>
      <w:r w:rsidRPr="00FD132C">
        <w:rPr>
          <w:smallCaps/>
        </w:rPr>
        <w:t xml:space="preserve"> J</w:t>
      </w:r>
      <w:r w:rsidR="009066F5" w:rsidRPr="00FD132C">
        <w:rPr>
          <w:smallCaps/>
        </w:rPr>
        <w:t>.</w:t>
      </w:r>
      <w:r w:rsidRPr="00FD132C">
        <w:rPr>
          <w:smallCaps/>
        </w:rPr>
        <w:t xml:space="preserve">, </w:t>
      </w:r>
      <w:proofErr w:type="spellStart"/>
      <w:r w:rsidRPr="00FD132C">
        <w:rPr>
          <w:smallCaps/>
        </w:rPr>
        <w:t>Holdaway</w:t>
      </w:r>
      <w:proofErr w:type="spellEnd"/>
      <w:r w:rsidRPr="00FD132C">
        <w:rPr>
          <w:smallCaps/>
        </w:rPr>
        <w:t xml:space="preserve"> J</w:t>
      </w:r>
      <w:r w:rsidR="009066F5" w:rsidRPr="00FD132C">
        <w:rPr>
          <w:smallCaps/>
        </w:rPr>
        <w:t>.</w:t>
      </w:r>
      <w:r w:rsidRPr="00FD132C">
        <w:rPr>
          <w:smallCaps/>
        </w:rPr>
        <w:t>, Hawkins S</w:t>
      </w:r>
      <w:r w:rsidR="009066F5" w:rsidRPr="00FD132C">
        <w:rPr>
          <w:smallCaps/>
        </w:rPr>
        <w:t>.</w:t>
      </w:r>
      <w:r w:rsidRPr="00FD132C">
        <w:rPr>
          <w:smallCaps/>
        </w:rPr>
        <w:t>A</w:t>
      </w:r>
      <w:r w:rsidR="009066F5" w:rsidRPr="00FD132C">
        <w:rPr>
          <w:smallCaps/>
        </w:rPr>
        <w:t>.</w:t>
      </w:r>
      <w:r w:rsidRPr="00FD132C">
        <w:rPr>
          <w:smallCaps/>
        </w:rPr>
        <w:t>C</w:t>
      </w:r>
      <w:r w:rsidR="009066F5" w:rsidRPr="00FD132C">
        <w:rPr>
          <w:smallCaps/>
        </w:rPr>
        <w:t>.</w:t>
      </w:r>
      <w:r w:rsidRPr="00FD132C">
        <w:rPr>
          <w:smallCaps/>
        </w:rPr>
        <w:t>, Austin A</w:t>
      </w:r>
      <w:r w:rsidR="009066F5" w:rsidRPr="00FD132C">
        <w:rPr>
          <w:smallCaps/>
        </w:rPr>
        <w:t>.</w:t>
      </w:r>
      <w:r w:rsidRPr="00FD132C">
        <w:rPr>
          <w:smallCaps/>
        </w:rPr>
        <w:t>R</w:t>
      </w:r>
      <w:r w:rsidR="009066F5" w:rsidRPr="00FD132C">
        <w:rPr>
          <w:smallCaps/>
        </w:rPr>
        <w:t>. &amp;</w:t>
      </w:r>
      <w:r w:rsidRPr="00FD132C">
        <w:rPr>
          <w:smallCaps/>
        </w:rPr>
        <w:t xml:space="preserve"> Wells G</w:t>
      </w:r>
      <w:r w:rsidR="009066F5" w:rsidRPr="00FD132C">
        <w:rPr>
          <w:smallCaps/>
        </w:rPr>
        <w:t>.</w:t>
      </w:r>
      <w:r w:rsidRPr="00FD132C">
        <w:rPr>
          <w:smallCaps/>
        </w:rPr>
        <w:t>A</w:t>
      </w:r>
      <w:r w:rsidR="009066F5" w:rsidRPr="00FD132C">
        <w:rPr>
          <w:smallCaps/>
        </w:rPr>
        <w:t>.</w:t>
      </w:r>
      <w:r w:rsidRPr="00FD132C">
        <w:rPr>
          <w:smallCaps/>
        </w:rPr>
        <w:t>H</w:t>
      </w:r>
      <w:r w:rsidR="009066F5" w:rsidRPr="00FD132C">
        <w:rPr>
          <w:smallCaps/>
        </w:rPr>
        <w:t>.</w:t>
      </w:r>
      <w:r w:rsidRPr="00FD132C">
        <w:rPr>
          <w:smallCaps/>
        </w:rPr>
        <w:t xml:space="preserve"> (</w:t>
      </w:r>
      <w:r w:rsidRPr="00FD132C">
        <w:t>2007)</w:t>
      </w:r>
      <w:r w:rsidR="009066F5" w:rsidRPr="00FD132C">
        <w:t>.</w:t>
      </w:r>
      <w:r w:rsidRPr="00FD132C">
        <w:t xml:space="preserve"> Estimating the temporal relationship between </w:t>
      </w:r>
      <w:proofErr w:type="spellStart"/>
      <w:r w:rsidRPr="00FD132C">
        <w:t>PrP</w:t>
      </w:r>
      <w:r w:rsidR="00FF4CB0" w:rsidRPr="004E3697">
        <w:rPr>
          <w:szCs w:val="14"/>
          <w:vertAlign w:val="superscript"/>
        </w:rPr>
        <w:t>S</w:t>
      </w:r>
      <w:r w:rsidRPr="004E3697">
        <w:rPr>
          <w:szCs w:val="14"/>
          <w:vertAlign w:val="superscript"/>
        </w:rPr>
        <w:t>c</w:t>
      </w:r>
      <w:proofErr w:type="spellEnd"/>
      <w:r w:rsidRPr="00FD132C">
        <w:t xml:space="preserve"> detection and incubation period in experimental bovine spongiform encephalopathy (BSE) of cattle. </w:t>
      </w:r>
      <w:r w:rsidRPr="00FD132C">
        <w:rPr>
          <w:i/>
          <w:lang w:val="fr-FR"/>
        </w:rPr>
        <w:t>J</w:t>
      </w:r>
      <w:r w:rsidR="009066F5" w:rsidRPr="00FD132C">
        <w:rPr>
          <w:i/>
          <w:lang w:val="fr-FR"/>
        </w:rPr>
        <w:t>.</w:t>
      </w:r>
      <w:r w:rsidRPr="00FD132C">
        <w:rPr>
          <w:i/>
          <w:lang w:val="fr-FR"/>
        </w:rPr>
        <w:t xml:space="preserve"> </w:t>
      </w:r>
      <w:proofErr w:type="spellStart"/>
      <w:r w:rsidRPr="00FD132C">
        <w:rPr>
          <w:i/>
          <w:lang w:val="fr-FR"/>
        </w:rPr>
        <w:t>Gen</w:t>
      </w:r>
      <w:proofErr w:type="spellEnd"/>
      <w:r w:rsidR="009066F5" w:rsidRPr="00FD132C">
        <w:rPr>
          <w:i/>
          <w:lang w:val="fr-FR"/>
        </w:rPr>
        <w:t>.</w:t>
      </w:r>
      <w:r w:rsidRPr="00FD132C">
        <w:rPr>
          <w:i/>
          <w:lang w:val="fr-FR"/>
        </w:rPr>
        <w:t xml:space="preserve"> </w:t>
      </w:r>
      <w:proofErr w:type="spellStart"/>
      <w:r w:rsidRPr="00FD132C">
        <w:rPr>
          <w:i/>
          <w:lang w:val="fr-FR"/>
        </w:rPr>
        <w:t>Virol</w:t>
      </w:r>
      <w:proofErr w:type="spellEnd"/>
      <w:r w:rsidR="009066F5" w:rsidRPr="00FD132C">
        <w:rPr>
          <w:i/>
          <w:lang w:val="fr-FR"/>
        </w:rPr>
        <w:t>.,</w:t>
      </w:r>
      <w:r w:rsidRPr="00FD132C">
        <w:rPr>
          <w:i/>
          <w:lang w:val="fr-FR"/>
        </w:rPr>
        <w:t xml:space="preserve"> </w:t>
      </w:r>
      <w:r w:rsidRPr="00FD132C">
        <w:rPr>
          <w:b/>
          <w:lang w:val="fr-FR"/>
        </w:rPr>
        <w:t>88</w:t>
      </w:r>
      <w:r w:rsidR="009066F5" w:rsidRPr="00FD132C">
        <w:rPr>
          <w:lang w:val="fr-FR"/>
        </w:rPr>
        <w:t>,</w:t>
      </w:r>
      <w:r w:rsidRPr="00FD132C">
        <w:rPr>
          <w:lang w:val="fr-FR"/>
        </w:rPr>
        <w:t xml:space="preserve"> 3198</w:t>
      </w:r>
      <w:r w:rsidR="009066F5" w:rsidRPr="00FD132C">
        <w:rPr>
          <w:lang w:val="fr-FR"/>
        </w:rPr>
        <w:t>–</w:t>
      </w:r>
      <w:r w:rsidRPr="00FD132C">
        <w:rPr>
          <w:lang w:val="fr-FR"/>
        </w:rPr>
        <w:t>3208</w:t>
      </w:r>
      <w:r w:rsidR="009066F5" w:rsidRPr="00FD132C">
        <w:rPr>
          <w:lang w:val="fr-FR"/>
        </w:rPr>
        <w:t>.</w:t>
      </w:r>
    </w:p>
    <w:p w14:paraId="7BF8DCE2" w14:textId="77777777" w:rsidR="00194801" w:rsidRPr="006075AA" w:rsidRDefault="00194801" w:rsidP="007B4344">
      <w:pPr>
        <w:pStyle w:val="Ref"/>
        <w:ind w:left="0" w:firstLine="0"/>
        <w:rPr>
          <w:lang w:val="en-IE"/>
        </w:rPr>
      </w:pPr>
      <w:proofErr w:type="spellStart"/>
      <w:r w:rsidRPr="00FD132C">
        <w:rPr>
          <w:smallCaps/>
          <w:lang w:val="fr-FR"/>
        </w:rPr>
        <w:lastRenderedPageBreak/>
        <w:t>Beringue</w:t>
      </w:r>
      <w:proofErr w:type="spellEnd"/>
      <w:r w:rsidRPr="00FD132C">
        <w:rPr>
          <w:smallCaps/>
          <w:lang w:val="fr-FR"/>
        </w:rPr>
        <w:t xml:space="preserve"> V., </w:t>
      </w:r>
      <w:proofErr w:type="spellStart"/>
      <w:r w:rsidRPr="00FD132C">
        <w:rPr>
          <w:smallCaps/>
          <w:lang w:val="fr-FR"/>
        </w:rPr>
        <w:t>Bencsik</w:t>
      </w:r>
      <w:proofErr w:type="spellEnd"/>
      <w:r w:rsidRPr="00FD132C">
        <w:rPr>
          <w:smallCaps/>
          <w:lang w:val="fr-FR"/>
        </w:rPr>
        <w:t xml:space="preserve"> A., Le Dur A., Reine F., Lai T.L., </w:t>
      </w:r>
      <w:proofErr w:type="spellStart"/>
      <w:r w:rsidRPr="00FD132C">
        <w:rPr>
          <w:smallCaps/>
          <w:lang w:val="fr-FR"/>
        </w:rPr>
        <w:t>Chenais</w:t>
      </w:r>
      <w:proofErr w:type="spellEnd"/>
      <w:r w:rsidRPr="00FD132C">
        <w:rPr>
          <w:smallCaps/>
          <w:lang w:val="fr-FR"/>
        </w:rPr>
        <w:t xml:space="preserve"> N., Tilly G., </w:t>
      </w:r>
      <w:proofErr w:type="spellStart"/>
      <w:r w:rsidRPr="00FD132C">
        <w:rPr>
          <w:smallCaps/>
          <w:lang w:val="fr-FR"/>
        </w:rPr>
        <w:t>Biacabe</w:t>
      </w:r>
      <w:proofErr w:type="spellEnd"/>
      <w:r w:rsidRPr="00FD132C">
        <w:rPr>
          <w:smallCaps/>
          <w:lang w:val="fr-FR"/>
        </w:rPr>
        <w:t xml:space="preserve"> A.-G., Baron T., </w:t>
      </w:r>
      <w:proofErr w:type="spellStart"/>
      <w:r w:rsidRPr="00FD132C">
        <w:rPr>
          <w:smallCaps/>
          <w:lang w:val="fr-FR"/>
        </w:rPr>
        <w:t>Vilotte</w:t>
      </w:r>
      <w:proofErr w:type="spellEnd"/>
      <w:r w:rsidRPr="00FD132C">
        <w:rPr>
          <w:smallCaps/>
          <w:lang w:val="fr-FR"/>
        </w:rPr>
        <w:t xml:space="preserve"> J-L. </w:t>
      </w:r>
      <w:r w:rsidR="009066F5" w:rsidRPr="00FD132C">
        <w:rPr>
          <w:smallCaps/>
        </w:rPr>
        <w:t>&amp;</w:t>
      </w:r>
      <w:r w:rsidRPr="00FD132C">
        <w:rPr>
          <w:smallCaps/>
        </w:rPr>
        <w:t xml:space="preserve"> Laude H.</w:t>
      </w:r>
      <w:r w:rsidRPr="00FD132C">
        <w:t xml:space="preserve"> (2006). Isolation from cattle of a prion strain distinct from that causing bovine spongiform encephalopathy. </w:t>
      </w:r>
      <w:proofErr w:type="spellStart"/>
      <w:r w:rsidRPr="006075AA">
        <w:rPr>
          <w:i/>
          <w:iCs/>
          <w:lang w:val="en-IE"/>
        </w:rPr>
        <w:t>PLoS</w:t>
      </w:r>
      <w:proofErr w:type="spellEnd"/>
      <w:r w:rsidRPr="006075AA">
        <w:rPr>
          <w:i/>
          <w:iCs/>
          <w:lang w:val="en-IE"/>
        </w:rPr>
        <w:t xml:space="preserve"> Pathogens</w:t>
      </w:r>
      <w:r w:rsidR="009066F5" w:rsidRPr="006075AA">
        <w:rPr>
          <w:i/>
          <w:iCs/>
          <w:lang w:val="en-IE"/>
        </w:rPr>
        <w:t>,</w:t>
      </w:r>
      <w:r w:rsidRPr="006075AA">
        <w:rPr>
          <w:lang w:val="en-IE"/>
        </w:rPr>
        <w:t xml:space="preserve"> </w:t>
      </w:r>
      <w:r w:rsidRPr="006075AA">
        <w:rPr>
          <w:b/>
          <w:lang w:val="en-IE"/>
        </w:rPr>
        <w:t>2</w:t>
      </w:r>
      <w:r w:rsidRPr="006075AA">
        <w:rPr>
          <w:lang w:val="en-IE"/>
        </w:rPr>
        <w:t>, 956</w:t>
      </w:r>
      <w:r w:rsidR="009066F5" w:rsidRPr="006075AA">
        <w:rPr>
          <w:lang w:val="en-IE"/>
        </w:rPr>
        <w:t>–</w:t>
      </w:r>
      <w:r w:rsidRPr="006075AA">
        <w:rPr>
          <w:lang w:val="en-IE"/>
        </w:rPr>
        <w:t>963.</w:t>
      </w:r>
    </w:p>
    <w:p w14:paraId="1D9E4F2D" w14:textId="77777777" w:rsidR="00EA70AB" w:rsidRPr="00FD132C" w:rsidRDefault="00EA70AB" w:rsidP="00EA70AB">
      <w:pPr>
        <w:pStyle w:val="desc"/>
        <w:shd w:val="clear" w:color="auto" w:fill="FFFFFF"/>
        <w:spacing w:before="0" w:beforeAutospacing="0" w:after="240" w:afterAutospacing="0"/>
        <w:jc w:val="both"/>
        <w:rPr>
          <w:rFonts w:ascii="Arial" w:hAnsi="Arial" w:cs="Arial"/>
          <w:sz w:val="18"/>
          <w:szCs w:val="18"/>
          <w:lang w:val="en-GB"/>
        </w:rPr>
      </w:pPr>
      <w:proofErr w:type="spellStart"/>
      <w:r w:rsidRPr="00DA7C82">
        <w:rPr>
          <w:rFonts w:ascii="Arial" w:hAnsi="Arial" w:cs="Arial"/>
          <w:smallCaps/>
          <w:sz w:val="18"/>
          <w:szCs w:val="18"/>
          <w:lang w:val="en-GB" w:eastAsia="fr-FR"/>
        </w:rPr>
        <w:t>Biacabe</w:t>
      </w:r>
      <w:proofErr w:type="spellEnd"/>
      <w:r w:rsidRPr="00DA7C82">
        <w:rPr>
          <w:rFonts w:ascii="Arial" w:hAnsi="Arial" w:cs="Arial"/>
          <w:smallCaps/>
          <w:sz w:val="18"/>
          <w:szCs w:val="18"/>
          <w:lang w:val="en-GB" w:eastAsia="fr-FR"/>
        </w:rPr>
        <w:t xml:space="preserve"> A.G., </w:t>
      </w:r>
      <w:proofErr w:type="spellStart"/>
      <w:r w:rsidRPr="00DA7C82">
        <w:rPr>
          <w:rFonts w:ascii="Arial" w:hAnsi="Arial" w:cs="Arial"/>
          <w:smallCaps/>
          <w:sz w:val="18"/>
          <w:szCs w:val="18"/>
          <w:lang w:val="en-GB" w:eastAsia="fr-FR"/>
        </w:rPr>
        <w:t>Laplanche</w:t>
      </w:r>
      <w:proofErr w:type="spellEnd"/>
      <w:r w:rsidRPr="00DA7C82">
        <w:rPr>
          <w:rFonts w:ascii="Arial" w:hAnsi="Arial" w:cs="Arial"/>
          <w:smallCaps/>
          <w:sz w:val="18"/>
          <w:szCs w:val="18"/>
          <w:lang w:val="en-GB" w:eastAsia="fr-FR"/>
        </w:rPr>
        <w:t xml:space="preserve"> J.L., Ryder S. &amp; Baron T. (2004). </w:t>
      </w:r>
      <w:r w:rsidRPr="00FD132C">
        <w:rPr>
          <w:rFonts w:ascii="Arial" w:hAnsi="Arial" w:cs="Arial"/>
          <w:sz w:val="18"/>
          <w:szCs w:val="18"/>
          <w:lang w:val="en-US"/>
        </w:rPr>
        <w:t>Distinct molecular phenotypes in bovine prion diseases.</w:t>
      </w:r>
      <w:r w:rsidRPr="00FD132C">
        <w:rPr>
          <w:rFonts w:ascii="Arial" w:hAnsi="Arial" w:cs="Arial"/>
          <w:sz w:val="18"/>
          <w:szCs w:val="18"/>
          <w:lang w:val="en-GB" w:eastAsia="fr-FR"/>
        </w:rPr>
        <w:t xml:space="preserve"> </w:t>
      </w:r>
      <w:r w:rsidRPr="00FD132C">
        <w:rPr>
          <w:rFonts w:ascii="Arial" w:hAnsi="Arial" w:cs="Arial"/>
          <w:i/>
          <w:sz w:val="18"/>
          <w:szCs w:val="18"/>
          <w:lang w:val="en-US"/>
        </w:rPr>
        <w:t>EMBO Rep</w:t>
      </w:r>
      <w:r w:rsidRPr="00FD132C">
        <w:rPr>
          <w:rFonts w:ascii="Arial" w:hAnsi="Arial" w:cs="Arial"/>
          <w:sz w:val="18"/>
          <w:szCs w:val="18"/>
          <w:lang w:val="en-GB" w:eastAsia="fr-FR"/>
        </w:rPr>
        <w:t xml:space="preserve">., </w:t>
      </w:r>
      <w:r w:rsidRPr="00FD132C">
        <w:rPr>
          <w:rFonts w:ascii="Arial" w:hAnsi="Arial" w:cs="Arial"/>
          <w:b/>
          <w:sz w:val="18"/>
          <w:szCs w:val="18"/>
          <w:lang w:val="en-GB" w:eastAsia="fr-FR"/>
        </w:rPr>
        <w:t>5</w:t>
      </w:r>
      <w:r w:rsidRPr="00FD132C">
        <w:rPr>
          <w:rFonts w:ascii="Arial" w:hAnsi="Arial" w:cs="Arial"/>
          <w:sz w:val="18"/>
          <w:szCs w:val="18"/>
          <w:lang w:val="en-GB" w:eastAsia="fr-FR"/>
        </w:rPr>
        <w:t>, 110–115.</w:t>
      </w:r>
    </w:p>
    <w:p w14:paraId="7BF8DCE4" w14:textId="77777777" w:rsidR="00C27990" w:rsidRPr="006075AA" w:rsidRDefault="008D4C04" w:rsidP="007B4344">
      <w:pPr>
        <w:pStyle w:val="Ref"/>
        <w:ind w:left="0" w:firstLine="0"/>
        <w:rPr>
          <w:lang w:val="en-IE"/>
        </w:rPr>
      </w:pPr>
      <w:r w:rsidRPr="00FD132C">
        <w:rPr>
          <w:smallCaps/>
          <w:lang w:val="en-IE"/>
        </w:rPr>
        <w:t>B</w:t>
      </w:r>
      <w:r w:rsidR="00C27990" w:rsidRPr="00FD132C">
        <w:rPr>
          <w:smallCaps/>
          <w:lang w:val="en-IE"/>
        </w:rPr>
        <w:t xml:space="preserve">ruce M.E., Will R.G., Ironside J.W., McConnell I., Drummond D., Suttie A., McCardle L., </w:t>
      </w:r>
      <w:proofErr w:type="spellStart"/>
      <w:r w:rsidR="00C27990" w:rsidRPr="00FD132C">
        <w:rPr>
          <w:smallCaps/>
          <w:lang w:val="en-IE"/>
        </w:rPr>
        <w:t>Chree</w:t>
      </w:r>
      <w:proofErr w:type="spellEnd"/>
      <w:r w:rsidR="00C27990" w:rsidRPr="00FD132C">
        <w:rPr>
          <w:smallCaps/>
          <w:lang w:val="en-IE"/>
        </w:rPr>
        <w:t xml:space="preserve"> A., Hope J., Birkett C., Cousens S., Fraser H. &amp; Bostock C.J.</w:t>
      </w:r>
      <w:r w:rsidR="00C27990" w:rsidRPr="00FD132C">
        <w:rPr>
          <w:lang w:val="en-IE"/>
        </w:rPr>
        <w:t xml:space="preserve"> (1997). Transmissions to mice indicate that ‘new variant’ CJD is caused by the BSE agent. </w:t>
      </w:r>
      <w:r w:rsidR="00C27990" w:rsidRPr="006075AA">
        <w:rPr>
          <w:i/>
          <w:lang w:val="en-IE"/>
        </w:rPr>
        <w:t>Nature,</w:t>
      </w:r>
      <w:r w:rsidR="00C27990" w:rsidRPr="006075AA">
        <w:rPr>
          <w:lang w:val="en-IE"/>
        </w:rPr>
        <w:t xml:space="preserve"> </w:t>
      </w:r>
      <w:r w:rsidR="00C27990" w:rsidRPr="006075AA">
        <w:rPr>
          <w:b/>
          <w:lang w:val="en-IE"/>
        </w:rPr>
        <w:t>389</w:t>
      </w:r>
      <w:r w:rsidR="00C27990" w:rsidRPr="006075AA">
        <w:rPr>
          <w:lang w:val="en-IE"/>
        </w:rPr>
        <w:t>, 498–501.</w:t>
      </w:r>
    </w:p>
    <w:p w14:paraId="7BF8DCE5" w14:textId="77777777" w:rsidR="00C27990" w:rsidRPr="00FD132C" w:rsidRDefault="00C27990" w:rsidP="007B4344">
      <w:pPr>
        <w:pStyle w:val="Ref"/>
        <w:ind w:left="0" w:firstLine="0"/>
        <w:rPr>
          <w:lang w:val="it-IT"/>
        </w:rPr>
      </w:pPr>
      <w:r w:rsidRPr="00FD132C">
        <w:rPr>
          <w:smallCaps/>
          <w:lang w:val="it-IT"/>
        </w:rPr>
        <w:t>Casalone C., Caramelli M, Crescio M.I., Spencer Y.I. &amp; Simmons M.M</w:t>
      </w:r>
      <w:r w:rsidRPr="00FD132C">
        <w:rPr>
          <w:lang w:val="it-IT"/>
        </w:rPr>
        <w:t xml:space="preserve">. (2006). </w:t>
      </w:r>
      <w:r w:rsidRPr="00FD132C">
        <w:rPr>
          <w:lang w:val="en-IE"/>
        </w:rPr>
        <w:t xml:space="preserve">BSE immunohistochemical patterns in the brainstem: a comparison between UK and Italian cases. </w:t>
      </w:r>
      <w:r w:rsidRPr="00FD132C">
        <w:rPr>
          <w:i/>
          <w:iCs/>
          <w:lang w:val="it-IT"/>
        </w:rPr>
        <w:t xml:space="preserve">Acta Neuropathol., </w:t>
      </w:r>
      <w:r w:rsidRPr="00FD132C">
        <w:rPr>
          <w:b/>
          <w:lang w:val="it-IT"/>
        </w:rPr>
        <w:t>111</w:t>
      </w:r>
      <w:r w:rsidRPr="00FD132C">
        <w:rPr>
          <w:lang w:val="it-IT"/>
        </w:rPr>
        <w:t>, 444–449.</w:t>
      </w:r>
    </w:p>
    <w:p w14:paraId="7BF8DCE6" w14:textId="77777777" w:rsidR="00C27990" w:rsidRPr="00FD132C" w:rsidRDefault="00C27990" w:rsidP="007B4344">
      <w:pPr>
        <w:pStyle w:val="Ref"/>
        <w:ind w:left="0" w:firstLine="0"/>
        <w:rPr>
          <w:lang w:val="es-ES"/>
        </w:rPr>
      </w:pPr>
      <w:r w:rsidRPr="00FD132C">
        <w:rPr>
          <w:smallCaps/>
          <w:lang w:val="it-IT"/>
        </w:rPr>
        <w:t>Casalone C., Zanusso G., Acutis P., Ferrari S., Capucci L., Tagliavini F., Monaco S. &amp; Caramelli M</w:t>
      </w:r>
      <w:r w:rsidRPr="00FD132C">
        <w:rPr>
          <w:lang w:val="it-IT"/>
        </w:rPr>
        <w:t xml:space="preserve">. (2004). </w:t>
      </w:r>
      <w:r w:rsidRPr="00FD132C">
        <w:rPr>
          <w:lang w:val="en-IE"/>
        </w:rPr>
        <w:t xml:space="preserve">Identification of a second bovine amyloidotic spongiform encephalopathy: Molecular similarities with sporadic </w:t>
      </w:r>
      <w:proofErr w:type="spellStart"/>
      <w:r w:rsidRPr="00FD132C">
        <w:rPr>
          <w:lang w:val="en-IE"/>
        </w:rPr>
        <w:t>Cruetzfeldt</w:t>
      </w:r>
      <w:proofErr w:type="spellEnd"/>
      <w:r w:rsidRPr="00FD132C">
        <w:rPr>
          <w:lang w:val="en-IE"/>
        </w:rPr>
        <w:t>-Jacob disease</w:t>
      </w:r>
      <w:r w:rsidRPr="00FD132C">
        <w:rPr>
          <w:i/>
          <w:iCs/>
          <w:lang w:val="en-IE"/>
        </w:rPr>
        <w:t xml:space="preserve">. </w:t>
      </w:r>
      <w:proofErr w:type="spellStart"/>
      <w:r w:rsidRPr="00FD132C">
        <w:rPr>
          <w:i/>
          <w:iCs/>
          <w:lang w:val="es-ES"/>
        </w:rPr>
        <w:t>Proc</w:t>
      </w:r>
      <w:proofErr w:type="spellEnd"/>
      <w:r w:rsidRPr="00FD132C">
        <w:rPr>
          <w:i/>
          <w:iCs/>
          <w:lang w:val="es-ES"/>
        </w:rPr>
        <w:t xml:space="preserve">. </w:t>
      </w:r>
      <w:proofErr w:type="spellStart"/>
      <w:r w:rsidRPr="00FD132C">
        <w:rPr>
          <w:i/>
          <w:iCs/>
          <w:lang w:val="es-ES"/>
        </w:rPr>
        <w:t>Natl</w:t>
      </w:r>
      <w:proofErr w:type="spellEnd"/>
      <w:r w:rsidRPr="00FD132C">
        <w:rPr>
          <w:i/>
          <w:iCs/>
          <w:lang w:val="es-ES"/>
        </w:rPr>
        <w:t xml:space="preserve"> Acad. </w:t>
      </w:r>
      <w:proofErr w:type="spellStart"/>
      <w:r w:rsidRPr="00FD132C">
        <w:rPr>
          <w:i/>
          <w:iCs/>
          <w:lang w:val="es-ES"/>
        </w:rPr>
        <w:t>Sci</w:t>
      </w:r>
      <w:proofErr w:type="spellEnd"/>
      <w:r w:rsidRPr="00FD132C">
        <w:rPr>
          <w:i/>
          <w:iCs/>
          <w:lang w:val="es-ES"/>
        </w:rPr>
        <w:t>. USA</w:t>
      </w:r>
      <w:r w:rsidRPr="00FD132C">
        <w:rPr>
          <w:lang w:val="es-ES"/>
        </w:rPr>
        <w:t xml:space="preserve">, </w:t>
      </w:r>
      <w:r w:rsidRPr="00FD132C">
        <w:rPr>
          <w:b/>
          <w:lang w:val="es-ES"/>
        </w:rPr>
        <w:t>101</w:t>
      </w:r>
      <w:r w:rsidRPr="00FD132C">
        <w:rPr>
          <w:lang w:val="es-ES"/>
        </w:rPr>
        <w:t>, 3065–3670.</w:t>
      </w:r>
    </w:p>
    <w:p w14:paraId="1FE05B60" w14:textId="77777777" w:rsidR="00893068" w:rsidRPr="00FD132C" w:rsidRDefault="00893068" w:rsidP="00893068">
      <w:pPr>
        <w:pStyle w:val="Ref"/>
        <w:tabs>
          <w:tab w:val="clear" w:pos="-720"/>
        </w:tabs>
        <w:ind w:left="0" w:firstLine="0"/>
        <w:rPr>
          <w:smallCaps/>
        </w:rPr>
      </w:pPr>
      <w:r w:rsidRPr="00FD132C">
        <w:rPr>
          <w:smallCaps/>
          <w:lang w:val="es-ES"/>
        </w:rPr>
        <w:t xml:space="preserve">Castilla J., </w:t>
      </w:r>
      <w:proofErr w:type="spellStart"/>
      <w:r w:rsidRPr="00FD132C">
        <w:rPr>
          <w:smallCaps/>
          <w:lang w:val="es-ES"/>
        </w:rPr>
        <w:t>Saa</w:t>
      </w:r>
      <w:proofErr w:type="spellEnd"/>
      <w:r w:rsidRPr="00FD132C">
        <w:rPr>
          <w:smallCaps/>
          <w:lang w:val="es-ES"/>
        </w:rPr>
        <w:t xml:space="preserve"> P., Morales R., </w:t>
      </w:r>
      <w:proofErr w:type="spellStart"/>
      <w:r w:rsidRPr="00FD132C">
        <w:rPr>
          <w:smallCaps/>
          <w:lang w:val="es-ES"/>
        </w:rPr>
        <w:t>Abid</w:t>
      </w:r>
      <w:proofErr w:type="spellEnd"/>
      <w:r w:rsidRPr="00FD132C">
        <w:rPr>
          <w:smallCaps/>
          <w:lang w:val="es-ES"/>
        </w:rPr>
        <w:t xml:space="preserve"> K., </w:t>
      </w:r>
      <w:proofErr w:type="spellStart"/>
      <w:r w:rsidRPr="00FD132C">
        <w:rPr>
          <w:smallCaps/>
          <w:lang w:val="es-ES"/>
        </w:rPr>
        <w:t>Maundrell</w:t>
      </w:r>
      <w:proofErr w:type="spellEnd"/>
      <w:r w:rsidRPr="00FD132C">
        <w:rPr>
          <w:smallCaps/>
          <w:lang w:val="es-ES"/>
        </w:rPr>
        <w:t xml:space="preserve"> K. &amp; Soto C. (2006). </w:t>
      </w:r>
      <w:r w:rsidRPr="00FD132C">
        <w:t xml:space="preserve">Protein misfolding cyclic amplification for diagnosis and prion propagation studies. </w:t>
      </w:r>
      <w:r w:rsidRPr="00FD132C">
        <w:rPr>
          <w:i/>
        </w:rPr>
        <w:t xml:space="preserve">Methods </w:t>
      </w:r>
      <w:proofErr w:type="spellStart"/>
      <w:r w:rsidRPr="00FD132C">
        <w:rPr>
          <w:i/>
        </w:rPr>
        <w:t>Enzymol</w:t>
      </w:r>
      <w:proofErr w:type="spellEnd"/>
      <w:r w:rsidRPr="00FD132C">
        <w:t xml:space="preserve">, </w:t>
      </w:r>
      <w:r w:rsidRPr="00FD132C">
        <w:rPr>
          <w:b/>
        </w:rPr>
        <w:t>412</w:t>
      </w:r>
      <w:r w:rsidRPr="00FD132C">
        <w:t>, 3–21.</w:t>
      </w:r>
    </w:p>
    <w:p w14:paraId="7BF8DCE8" w14:textId="77777777" w:rsidR="00C27990" w:rsidRPr="00FD132C" w:rsidRDefault="00C27990" w:rsidP="007B4344">
      <w:pPr>
        <w:pStyle w:val="Ref"/>
        <w:ind w:left="0" w:firstLine="0"/>
        <w:rPr>
          <w:lang w:val="en-US"/>
        </w:rPr>
      </w:pPr>
      <w:proofErr w:type="spellStart"/>
      <w:r w:rsidRPr="00FD132C">
        <w:rPr>
          <w:smallCaps/>
          <w:lang w:val="en-IE"/>
        </w:rPr>
        <w:t>Debeer</w:t>
      </w:r>
      <w:proofErr w:type="spellEnd"/>
      <w:r w:rsidRPr="00FD132C">
        <w:rPr>
          <w:smallCaps/>
          <w:lang w:val="en-IE"/>
        </w:rPr>
        <w:t xml:space="preserve"> S.O.S., Baron T.G.M. &amp; </w:t>
      </w:r>
      <w:proofErr w:type="spellStart"/>
      <w:r w:rsidRPr="00FD132C">
        <w:rPr>
          <w:smallCaps/>
          <w:lang w:val="en-IE"/>
        </w:rPr>
        <w:t>Bencsik</w:t>
      </w:r>
      <w:proofErr w:type="spellEnd"/>
      <w:r w:rsidRPr="00FD132C">
        <w:rPr>
          <w:smallCaps/>
          <w:lang w:val="en-IE"/>
        </w:rPr>
        <w:t xml:space="preserve"> A.A.</w:t>
      </w:r>
      <w:r w:rsidRPr="00FD132C">
        <w:rPr>
          <w:lang w:val="en-IE"/>
        </w:rPr>
        <w:t xml:space="preserve"> (2002). Transmissible spongiform encephalopathy diagnosis using </w:t>
      </w:r>
      <w:proofErr w:type="spellStart"/>
      <w:r w:rsidRPr="00FD132C">
        <w:rPr>
          <w:lang w:val="en-IE"/>
        </w:rPr>
        <w:t>PrP</w:t>
      </w:r>
      <w:proofErr w:type="spellEnd"/>
      <w:r w:rsidRPr="00FD132C">
        <w:rPr>
          <w:lang w:val="en-IE"/>
        </w:rPr>
        <w:t xml:space="preserve"> immunohistochemistry on fixed but previously frozen brain samples. </w:t>
      </w:r>
      <w:r w:rsidRPr="00FD132C">
        <w:rPr>
          <w:i/>
          <w:iCs/>
          <w:lang w:val="en-US"/>
        </w:rPr>
        <w:t xml:space="preserve">J. </w:t>
      </w:r>
      <w:proofErr w:type="spellStart"/>
      <w:r w:rsidRPr="00FD132C">
        <w:rPr>
          <w:i/>
          <w:iCs/>
          <w:lang w:val="en-US"/>
        </w:rPr>
        <w:t>Histochem</w:t>
      </w:r>
      <w:proofErr w:type="spellEnd"/>
      <w:r w:rsidRPr="00FD132C">
        <w:rPr>
          <w:i/>
          <w:iCs/>
          <w:lang w:val="en-US"/>
        </w:rPr>
        <w:t xml:space="preserve">. </w:t>
      </w:r>
      <w:proofErr w:type="spellStart"/>
      <w:r w:rsidRPr="00FD132C">
        <w:rPr>
          <w:i/>
          <w:iCs/>
          <w:lang w:val="en-US"/>
        </w:rPr>
        <w:t>Cytochem</w:t>
      </w:r>
      <w:proofErr w:type="spellEnd"/>
      <w:r w:rsidRPr="00FD132C">
        <w:rPr>
          <w:i/>
          <w:iCs/>
          <w:lang w:val="en-US"/>
        </w:rPr>
        <w:t>.,</w:t>
      </w:r>
      <w:r w:rsidRPr="00FD132C">
        <w:rPr>
          <w:lang w:val="en-US"/>
        </w:rPr>
        <w:t xml:space="preserve"> </w:t>
      </w:r>
      <w:r w:rsidRPr="00FD132C">
        <w:rPr>
          <w:b/>
          <w:lang w:val="en-US"/>
        </w:rPr>
        <w:t>50</w:t>
      </w:r>
      <w:r w:rsidRPr="00FD132C">
        <w:rPr>
          <w:lang w:val="en-US"/>
        </w:rPr>
        <w:t>, 611–616.</w:t>
      </w:r>
    </w:p>
    <w:p w14:paraId="7BF8DCED" w14:textId="7D98CBA6" w:rsidR="00423ED8" w:rsidRPr="00EA70AB" w:rsidRDefault="00F45184" w:rsidP="007B4344">
      <w:pPr>
        <w:pStyle w:val="Ref"/>
        <w:ind w:left="0" w:firstLine="0"/>
        <w:rPr>
          <w:smallCaps/>
          <w:strike/>
          <w:lang w:val="en-US" w:eastAsia="en-US"/>
        </w:rPr>
      </w:pPr>
      <w:r w:rsidRPr="00EA70AB">
        <w:rPr>
          <w:smallCaps/>
          <w:strike/>
          <w:lang w:val="en-US" w:eastAsia="en-US"/>
        </w:rPr>
        <w:t>European Food Safety Authority</w:t>
      </w:r>
      <w:r w:rsidRPr="00EA70AB">
        <w:rPr>
          <w:strike/>
          <w:lang w:val="en-US" w:eastAsia="en-US"/>
        </w:rPr>
        <w:t xml:space="preserve"> (EFSA). </w:t>
      </w:r>
      <w:r w:rsidRPr="00EA70AB">
        <w:rPr>
          <w:smallCaps/>
          <w:strike/>
          <w:lang w:val="en-US" w:eastAsia="en-US"/>
        </w:rPr>
        <w:t xml:space="preserve">(2015). </w:t>
      </w:r>
      <w:r w:rsidR="00FB20FD" w:rsidRPr="00EA70AB">
        <w:rPr>
          <w:smallCaps/>
          <w:strike/>
          <w:lang w:val="en-US" w:eastAsia="en-US"/>
        </w:rPr>
        <w:t xml:space="preserve">EFSA </w:t>
      </w:r>
      <w:r w:rsidR="00FB20FD" w:rsidRPr="00EA70AB">
        <w:rPr>
          <w:strike/>
          <w:lang w:val="en-US" w:eastAsia="en-US"/>
        </w:rPr>
        <w:t>Panel on Biological Hazards</w:t>
      </w:r>
      <w:r w:rsidRPr="00EA70AB">
        <w:rPr>
          <w:strike/>
          <w:lang w:val="en-US" w:eastAsia="en-US"/>
        </w:rPr>
        <w:t>:</w:t>
      </w:r>
      <w:r w:rsidR="00FB20FD" w:rsidRPr="00EA70AB">
        <w:rPr>
          <w:strike/>
          <w:lang w:val="en-US" w:eastAsia="en-US"/>
        </w:rPr>
        <w:t xml:space="preserve"> Scientific Opinion on a request for a review of a scientific publication concerning the zoonotic potential of ovine scrapie prions. </w:t>
      </w:r>
      <w:r w:rsidR="00FB20FD" w:rsidRPr="00EA70AB">
        <w:rPr>
          <w:i/>
          <w:strike/>
          <w:lang w:val="en-US" w:eastAsia="en-US"/>
        </w:rPr>
        <w:t>EFSA J</w:t>
      </w:r>
      <w:r w:rsidR="00611C9A" w:rsidRPr="00EA70AB">
        <w:rPr>
          <w:i/>
          <w:strike/>
          <w:lang w:val="en-US" w:eastAsia="en-US"/>
        </w:rPr>
        <w:t>.,</w:t>
      </w:r>
      <w:r w:rsidR="00FB20FD" w:rsidRPr="00EA70AB">
        <w:rPr>
          <w:strike/>
          <w:lang w:val="en-US" w:eastAsia="en-US"/>
        </w:rPr>
        <w:t xml:space="preserve"> </w:t>
      </w:r>
      <w:r w:rsidR="00FB20FD" w:rsidRPr="00EA70AB">
        <w:rPr>
          <w:b/>
          <w:strike/>
          <w:lang w:val="en-US" w:eastAsia="en-US"/>
        </w:rPr>
        <w:t>13</w:t>
      </w:r>
      <w:r w:rsidR="00611C9A" w:rsidRPr="00EA70AB">
        <w:rPr>
          <w:strike/>
          <w:lang w:val="en-US" w:eastAsia="en-US"/>
        </w:rPr>
        <w:t xml:space="preserve">, </w:t>
      </w:r>
      <w:r w:rsidR="00FB20FD" w:rsidRPr="00EA70AB">
        <w:rPr>
          <w:strike/>
          <w:lang w:val="en-US" w:eastAsia="en-US"/>
        </w:rPr>
        <w:t>4197</w:t>
      </w:r>
      <w:r w:rsidR="00611C9A" w:rsidRPr="00EA70AB">
        <w:rPr>
          <w:strike/>
          <w:lang w:val="en-US" w:eastAsia="en-US"/>
        </w:rPr>
        <w:t>.</w:t>
      </w:r>
    </w:p>
    <w:p w14:paraId="7BF8DCEF" w14:textId="77777777" w:rsidR="00C27990" w:rsidRPr="00FD132C" w:rsidRDefault="00C27990" w:rsidP="007B4344">
      <w:pPr>
        <w:pStyle w:val="Ref"/>
        <w:ind w:left="0" w:firstLine="0"/>
        <w:rPr>
          <w:lang w:val="en-IE"/>
        </w:rPr>
      </w:pPr>
      <w:proofErr w:type="spellStart"/>
      <w:r w:rsidRPr="00FD132C">
        <w:rPr>
          <w:smallCaps/>
          <w:lang w:val="en-IE"/>
        </w:rPr>
        <w:t>Gavier</w:t>
      </w:r>
      <w:proofErr w:type="spellEnd"/>
      <w:r w:rsidRPr="00FD132C">
        <w:rPr>
          <w:smallCaps/>
          <w:lang w:val="en-IE"/>
        </w:rPr>
        <w:t xml:space="preserve">-Widen D., Wells G.A.H., Simmons M.M., </w:t>
      </w:r>
      <w:proofErr w:type="spellStart"/>
      <w:r w:rsidRPr="00FD132C">
        <w:rPr>
          <w:smallCaps/>
          <w:lang w:val="en-IE"/>
        </w:rPr>
        <w:t>Wilesmith</w:t>
      </w:r>
      <w:proofErr w:type="spellEnd"/>
      <w:r w:rsidRPr="00FD132C">
        <w:rPr>
          <w:smallCaps/>
          <w:lang w:val="en-IE"/>
        </w:rPr>
        <w:t xml:space="preserve"> J.W. &amp; Ryan J.B.M.</w:t>
      </w:r>
      <w:r w:rsidRPr="00FD132C">
        <w:rPr>
          <w:lang w:val="en-IE"/>
        </w:rPr>
        <w:t xml:space="preserve"> (2001). Histological observations on the brains of symptomless 7-year-old cattle. </w:t>
      </w:r>
      <w:r w:rsidRPr="00FD132C">
        <w:rPr>
          <w:i/>
          <w:iCs/>
          <w:lang w:val="en-IE"/>
        </w:rPr>
        <w:t>J. Comp. Path.,</w:t>
      </w:r>
      <w:r w:rsidRPr="00FD132C">
        <w:rPr>
          <w:lang w:val="en-IE"/>
        </w:rPr>
        <w:t xml:space="preserve"> </w:t>
      </w:r>
      <w:r w:rsidRPr="00FD132C">
        <w:rPr>
          <w:b/>
          <w:lang w:val="en-IE"/>
        </w:rPr>
        <w:t>124</w:t>
      </w:r>
      <w:r w:rsidRPr="00FD132C">
        <w:rPr>
          <w:lang w:val="en-IE"/>
        </w:rPr>
        <w:t>, 52–59.</w:t>
      </w:r>
    </w:p>
    <w:p w14:paraId="7BF8DCF1" w14:textId="77777777" w:rsidR="00C27990" w:rsidRPr="00FD132C" w:rsidRDefault="00C27990" w:rsidP="007B4344">
      <w:pPr>
        <w:pStyle w:val="Ref"/>
        <w:ind w:left="0" w:firstLine="0"/>
      </w:pPr>
      <w:proofErr w:type="spellStart"/>
      <w:r w:rsidRPr="00FD132C">
        <w:rPr>
          <w:smallCaps/>
          <w:lang w:val="nl-NL"/>
        </w:rPr>
        <w:t>Hayashi</w:t>
      </w:r>
      <w:proofErr w:type="spellEnd"/>
      <w:r w:rsidRPr="00FD132C">
        <w:rPr>
          <w:smallCaps/>
          <w:lang w:val="nl-NL"/>
        </w:rPr>
        <w:t xml:space="preserve"> H., </w:t>
      </w:r>
      <w:proofErr w:type="spellStart"/>
      <w:r w:rsidRPr="00FD132C">
        <w:rPr>
          <w:smallCaps/>
          <w:lang w:val="nl-NL"/>
        </w:rPr>
        <w:t>Takata</w:t>
      </w:r>
      <w:proofErr w:type="spellEnd"/>
      <w:r w:rsidRPr="00FD132C">
        <w:rPr>
          <w:smallCaps/>
          <w:lang w:val="nl-NL"/>
        </w:rPr>
        <w:t xml:space="preserve"> M., </w:t>
      </w:r>
      <w:proofErr w:type="spellStart"/>
      <w:r w:rsidRPr="00FD132C">
        <w:rPr>
          <w:smallCaps/>
          <w:lang w:val="nl-NL"/>
        </w:rPr>
        <w:t>Iwamaru</w:t>
      </w:r>
      <w:proofErr w:type="spellEnd"/>
      <w:r w:rsidRPr="00FD132C">
        <w:rPr>
          <w:smallCaps/>
          <w:lang w:val="nl-NL"/>
        </w:rPr>
        <w:t xml:space="preserve"> Y., </w:t>
      </w:r>
      <w:proofErr w:type="spellStart"/>
      <w:r w:rsidRPr="00FD132C">
        <w:rPr>
          <w:smallCaps/>
          <w:lang w:val="nl-NL"/>
        </w:rPr>
        <w:t>Ushiki</w:t>
      </w:r>
      <w:proofErr w:type="spellEnd"/>
      <w:r w:rsidRPr="00FD132C">
        <w:rPr>
          <w:smallCaps/>
          <w:lang w:val="nl-NL"/>
        </w:rPr>
        <w:t xml:space="preserve"> Y., </w:t>
      </w:r>
      <w:proofErr w:type="spellStart"/>
      <w:r w:rsidRPr="00FD132C">
        <w:rPr>
          <w:smallCaps/>
          <w:lang w:val="nl-NL"/>
        </w:rPr>
        <w:t>Kimura</w:t>
      </w:r>
      <w:proofErr w:type="spellEnd"/>
      <w:r w:rsidRPr="00FD132C">
        <w:rPr>
          <w:smallCaps/>
          <w:lang w:val="nl-NL"/>
        </w:rPr>
        <w:t xml:space="preserve"> K.M., </w:t>
      </w:r>
      <w:proofErr w:type="spellStart"/>
      <w:r w:rsidRPr="00FD132C">
        <w:rPr>
          <w:smallCaps/>
          <w:lang w:val="nl-NL"/>
        </w:rPr>
        <w:t>Tagawa</w:t>
      </w:r>
      <w:proofErr w:type="spellEnd"/>
      <w:r w:rsidRPr="00FD132C">
        <w:rPr>
          <w:smallCaps/>
          <w:lang w:val="nl-NL"/>
        </w:rPr>
        <w:t xml:space="preserve"> Y., </w:t>
      </w:r>
      <w:proofErr w:type="spellStart"/>
      <w:r w:rsidRPr="00FD132C">
        <w:rPr>
          <w:smallCaps/>
          <w:lang w:val="nl-NL"/>
        </w:rPr>
        <w:t>Shinagawa</w:t>
      </w:r>
      <w:proofErr w:type="spellEnd"/>
      <w:r w:rsidRPr="00FD132C">
        <w:rPr>
          <w:smallCaps/>
          <w:lang w:val="nl-NL"/>
        </w:rPr>
        <w:t xml:space="preserve"> M. &amp; Yokoyama T.</w:t>
      </w:r>
      <w:r w:rsidRPr="00FD132C">
        <w:rPr>
          <w:lang w:val="nl-NL"/>
        </w:rPr>
        <w:t xml:space="preserve"> (2004). </w:t>
      </w:r>
      <w:r w:rsidRPr="00FD132C">
        <w:t xml:space="preserve">Effect of tissue deterioration on </w:t>
      </w:r>
      <w:proofErr w:type="spellStart"/>
      <w:r w:rsidRPr="00FD132C">
        <w:t>postmortem</w:t>
      </w:r>
      <w:proofErr w:type="spellEnd"/>
      <w:r w:rsidRPr="00FD132C">
        <w:t xml:space="preserve"> BSE diagnosis by </w:t>
      </w:r>
      <w:proofErr w:type="spellStart"/>
      <w:r w:rsidRPr="00FD132C">
        <w:t>immunobiochemical</w:t>
      </w:r>
      <w:proofErr w:type="spellEnd"/>
      <w:r w:rsidRPr="00FD132C">
        <w:t xml:space="preserve"> detection of an abnormal isoform of prion protein. </w:t>
      </w:r>
      <w:r w:rsidRPr="00FD132C">
        <w:rPr>
          <w:i/>
          <w:iCs/>
        </w:rPr>
        <w:t>J. Vet. Med. Sci.,</w:t>
      </w:r>
      <w:r w:rsidRPr="00FD132C">
        <w:t xml:space="preserve"> </w:t>
      </w:r>
      <w:r w:rsidRPr="00FD132C">
        <w:rPr>
          <w:b/>
        </w:rPr>
        <w:t>66</w:t>
      </w:r>
      <w:r w:rsidRPr="00FD132C">
        <w:t>, 515–520.</w:t>
      </w:r>
    </w:p>
    <w:p w14:paraId="7BF8DCF3" w14:textId="77777777" w:rsidR="00C27990" w:rsidRPr="00FD132C" w:rsidRDefault="00C27990" w:rsidP="007B4344">
      <w:pPr>
        <w:pStyle w:val="Ref"/>
        <w:ind w:left="0" w:firstLine="0"/>
        <w:rPr>
          <w:lang w:val="en-US" w:eastAsia="en-US"/>
        </w:rPr>
      </w:pPr>
      <w:r w:rsidRPr="00FD132C">
        <w:rPr>
          <w:smallCaps/>
          <w:lang w:val="en-US" w:eastAsia="en-US"/>
        </w:rPr>
        <w:t xml:space="preserve">Jacob J.G, </w:t>
      </w:r>
      <w:proofErr w:type="spellStart"/>
      <w:r w:rsidRPr="00FD132C">
        <w:rPr>
          <w:smallCaps/>
          <w:lang w:val="en-US" w:eastAsia="en-US"/>
        </w:rPr>
        <w:t>Langeveld</w:t>
      </w:r>
      <w:proofErr w:type="spellEnd"/>
      <w:r w:rsidRPr="00FD132C">
        <w:rPr>
          <w:smallCaps/>
          <w:lang w:val="en-US" w:eastAsia="en-US"/>
        </w:rPr>
        <w:t xml:space="preserve"> J.P.M., </w:t>
      </w:r>
      <w:proofErr w:type="spellStart"/>
      <w:r w:rsidRPr="00FD132C">
        <w:rPr>
          <w:smallCaps/>
          <w:lang w:val="en-US" w:eastAsia="en-US"/>
        </w:rPr>
        <w:t>Biacabe</w:t>
      </w:r>
      <w:proofErr w:type="spellEnd"/>
      <w:r w:rsidRPr="00FD132C">
        <w:rPr>
          <w:smallCaps/>
          <w:lang w:val="en-US" w:eastAsia="en-US"/>
        </w:rPr>
        <w:t xml:space="preserve"> A.-G., </w:t>
      </w:r>
      <w:proofErr w:type="spellStart"/>
      <w:r w:rsidRPr="00FD132C">
        <w:rPr>
          <w:smallCaps/>
          <w:lang w:val="en-US" w:eastAsia="en-US"/>
        </w:rPr>
        <w:t>Acutis</w:t>
      </w:r>
      <w:proofErr w:type="spellEnd"/>
      <w:r w:rsidRPr="00FD132C">
        <w:rPr>
          <w:smallCaps/>
          <w:lang w:val="en-US" w:eastAsia="en-US"/>
        </w:rPr>
        <w:t xml:space="preserve"> P.-L., </w:t>
      </w:r>
      <w:proofErr w:type="spellStart"/>
      <w:r w:rsidRPr="00FD132C">
        <w:rPr>
          <w:smallCaps/>
          <w:lang w:val="en-US" w:eastAsia="en-US"/>
        </w:rPr>
        <w:t>Polak</w:t>
      </w:r>
      <w:proofErr w:type="spellEnd"/>
      <w:r w:rsidRPr="00FD132C">
        <w:rPr>
          <w:smallCaps/>
          <w:lang w:val="en-US" w:eastAsia="en-US"/>
        </w:rPr>
        <w:t xml:space="preserve"> M.P., </w:t>
      </w:r>
      <w:proofErr w:type="spellStart"/>
      <w:r w:rsidRPr="00FD132C">
        <w:rPr>
          <w:smallCaps/>
          <w:lang w:val="en-US" w:eastAsia="en-US"/>
        </w:rPr>
        <w:t>Gavier</w:t>
      </w:r>
      <w:proofErr w:type="spellEnd"/>
      <w:r w:rsidRPr="00FD132C">
        <w:rPr>
          <w:smallCaps/>
          <w:lang w:val="en-US" w:eastAsia="en-US"/>
        </w:rPr>
        <w:t xml:space="preserve">-Widen D., </w:t>
      </w:r>
      <w:proofErr w:type="spellStart"/>
      <w:r w:rsidRPr="00FD132C">
        <w:rPr>
          <w:smallCaps/>
          <w:lang w:val="en-US" w:eastAsia="en-US"/>
        </w:rPr>
        <w:t>Buschmann</w:t>
      </w:r>
      <w:proofErr w:type="spellEnd"/>
      <w:r w:rsidRPr="00FD132C">
        <w:rPr>
          <w:smallCaps/>
          <w:lang w:val="en-US" w:eastAsia="en-US"/>
        </w:rPr>
        <w:t xml:space="preserve"> A., </w:t>
      </w:r>
      <w:proofErr w:type="spellStart"/>
      <w:r w:rsidRPr="00FD132C">
        <w:rPr>
          <w:smallCaps/>
          <w:lang w:val="en-US" w:eastAsia="en-US"/>
        </w:rPr>
        <w:t>Caramelli</w:t>
      </w:r>
      <w:proofErr w:type="spellEnd"/>
      <w:r w:rsidRPr="00FD132C">
        <w:rPr>
          <w:smallCaps/>
          <w:lang w:val="en-US" w:eastAsia="en-US"/>
        </w:rPr>
        <w:t xml:space="preserve"> M., </w:t>
      </w:r>
      <w:proofErr w:type="spellStart"/>
      <w:r w:rsidRPr="00FD132C">
        <w:rPr>
          <w:smallCaps/>
          <w:lang w:val="en-US" w:eastAsia="en-US"/>
        </w:rPr>
        <w:t>Casalone</w:t>
      </w:r>
      <w:proofErr w:type="spellEnd"/>
      <w:r w:rsidRPr="00FD132C">
        <w:rPr>
          <w:smallCaps/>
          <w:lang w:val="en-US" w:eastAsia="en-US"/>
        </w:rPr>
        <w:t xml:space="preserve"> C., Mazza M., </w:t>
      </w:r>
      <w:proofErr w:type="spellStart"/>
      <w:r w:rsidRPr="00FD132C">
        <w:rPr>
          <w:smallCaps/>
          <w:lang w:val="en-US" w:eastAsia="en-US"/>
        </w:rPr>
        <w:t>Groschup</w:t>
      </w:r>
      <w:proofErr w:type="spellEnd"/>
      <w:r w:rsidRPr="00FD132C">
        <w:rPr>
          <w:smallCaps/>
          <w:lang w:val="en-US" w:eastAsia="en-US"/>
        </w:rPr>
        <w:t xml:space="preserve"> M., </w:t>
      </w:r>
      <w:proofErr w:type="spellStart"/>
      <w:r w:rsidRPr="00FD132C">
        <w:rPr>
          <w:smallCaps/>
          <w:lang w:val="en-US" w:eastAsia="en-US"/>
        </w:rPr>
        <w:t>Erkens</w:t>
      </w:r>
      <w:proofErr w:type="spellEnd"/>
      <w:r w:rsidRPr="00FD132C">
        <w:rPr>
          <w:smallCaps/>
          <w:lang w:val="en-US" w:eastAsia="en-US"/>
        </w:rPr>
        <w:t xml:space="preserve"> J.H.F., </w:t>
      </w:r>
      <w:proofErr w:type="spellStart"/>
      <w:r w:rsidRPr="00FD132C">
        <w:rPr>
          <w:smallCaps/>
          <w:lang w:val="en-US" w:eastAsia="en-US"/>
        </w:rPr>
        <w:t>Davidse</w:t>
      </w:r>
      <w:proofErr w:type="spellEnd"/>
      <w:r w:rsidRPr="00FD132C">
        <w:rPr>
          <w:smallCaps/>
          <w:lang w:val="en-US" w:eastAsia="en-US"/>
        </w:rPr>
        <w:t xml:space="preserve"> A., Van </w:t>
      </w:r>
      <w:proofErr w:type="spellStart"/>
      <w:r w:rsidRPr="00FD132C">
        <w:rPr>
          <w:smallCaps/>
          <w:lang w:val="en-US" w:eastAsia="en-US"/>
        </w:rPr>
        <w:t>Zijderveld</w:t>
      </w:r>
      <w:proofErr w:type="spellEnd"/>
      <w:r w:rsidRPr="00FD132C">
        <w:rPr>
          <w:smallCaps/>
          <w:lang w:val="en-US" w:eastAsia="en-US"/>
        </w:rPr>
        <w:t xml:space="preserve"> F.G. &amp; Baron T.</w:t>
      </w:r>
      <w:r w:rsidRPr="00FD132C">
        <w:rPr>
          <w:lang w:val="en-US" w:eastAsia="en-US"/>
        </w:rPr>
        <w:t xml:space="preserve"> (2007). Molecular discrimination of atypical Bovine Spongiform Encephalopathy strains in a geographical region spanning a wide area in Europe. </w:t>
      </w:r>
      <w:r w:rsidRPr="00FD132C">
        <w:rPr>
          <w:i/>
          <w:iCs/>
          <w:lang w:val="en-US" w:eastAsia="en-US"/>
        </w:rPr>
        <w:t>J. Clin. Microbiol.,</w:t>
      </w:r>
      <w:r w:rsidRPr="00FD132C">
        <w:rPr>
          <w:lang w:val="en-US" w:eastAsia="en-US"/>
        </w:rPr>
        <w:t xml:space="preserve"> </w:t>
      </w:r>
      <w:r w:rsidRPr="00FD132C">
        <w:rPr>
          <w:b/>
          <w:lang w:val="en-US" w:eastAsia="en-US"/>
        </w:rPr>
        <w:t>45</w:t>
      </w:r>
      <w:r w:rsidRPr="00FD132C">
        <w:rPr>
          <w:lang w:val="en-US" w:eastAsia="en-US"/>
        </w:rPr>
        <w:t>, 1821–1829.</w:t>
      </w:r>
    </w:p>
    <w:p w14:paraId="7BF8DCF4" w14:textId="77777777" w:rsidR="00FB52B3" w:rsidRPr="00FD132C" w:rsidRDefault="00FB52B3" w:rsidP="00E87E02">
      <w:pPr>
        <w:pStyle w:val="Ref"/>
        <w:ind w:left="0" w:firstLine="0"/>
      </w:pPr>
      <w:proofErr w:type="spellStart"/>
      <w:r w:rsidRPr="00FD132C">
        <w:rPr>
          <w:smallCaps/>
        </w:rPr>
        <w:t>Konold</w:t>
      </w:r>
      <w:proofErr w:type="spellEnd"/>
      <w:r w:rsidRPr="00FD132C">
        <w:rPr>
          <w:smallCaps/>
        </w:rPr>
        <w:t xml:space="preserve"> T</w:t>
      </w:r>
      <w:r w:rsidR="00611C9A" w:rsidRPr="00FD132C">
        <w:rPr>
          <w:smallCaps/>
        </w:rPr>
        <w:t>.</w:t>
      </w:r>
      <w:r w:rsidRPr="00FD132C">
        <w:rPr>
          <w:smallCaps/>
        </w:rPr>
        <w:t>, Bone G</w:t>
      </w:r>
      <w:r w:rsidR="00611C9A" w:rsidRPr="00FD132C">
        <w:rPr>
          <w:smallCaps/>
        </w:rPr>
        <w:t>.</w:t>
      </w:r>
      <w:r w:rsidRPr="00FD132C">
        <w:rPr>
          <w:smallCaps/>
        </w:rPr>
        <w:t>E</w:t>
      </w:r>
      <w:r w:rsidR="00611C9A" w:rsidRPr="00FD132C">
        <w:rPr>
          <w:smallCaps/>
        </w:rPr>
        <w:t>.</w:t>
      </w:r>
      <w:r w:rsidRPr="00FD132C">
        <w:rPr>
          <w:smallCaps/>
        </w:rPr>
        <w:t>, Clifford D</w:t>
      </w:r>
      <w:r w:rsidR="00611C9A" w:rsidRPr="00FD132C">
        <w:rPr>
          <w:smallCaps/>
        </w:rPr>
        <w:t>.</w:t>
      </w:r>
      <w:r w:rsidRPr="00FD132C">
        <w:rPr>
          <w:smallCaps/>
        </w:rPr>
        <w:t>, Chaplin M</w:t>
      </w:r>
      <w:r w:rsidR="00611C9A" w:rsidRPr="00FD132C">
        <w:rPr>
          <w:smallCaps/>
        </w:rPr>
        <w:t>.</w:t>
      </w:r>
      <w:r w:rsidRPr="00FD132C">
        <w:rPr>
          <w:smallCaps/>
        </w:rPr>
        <w:t>J</w:t>
      </w:r>
      <w:r w:rsidR="00611C9A" w:rsidRPr="00FD132C">
        <w:rPr>
          <w:smallCaps/>
        </w:rPr>
        <w:t>.</w:t>
      </w:r>
      <w:r w:rsidRPr="00FD132C">
        <w:rPr>
          <w:smallCaps/>
        </w:rPr>
        <w:t xml:space="preserve">, </w:t>
      </w:r>
      <w:proofErr w:type="spellStart"/>
      <w:r w:rsidRPr="00FD132C">
        <w:rPr>
          <w:smallCaps/>
        </w:rPr>
        <w:t>Cawthraw</w:t>
      </w:r>
      <w:proofErr w:type="spellEnd"/>
      <w:r w:rsidRPr="00FD132C">
        <w:rPr>
          <w:smallCaps/>
        </w:rPr>
        <w:t xml:space="preserve"> S</w:t>
      </w:r>
      <w:r w:rsidR="00611C9A" w:rsidRPr="00FD132C">
        <w:rPr>
          <w:smallCaps/>
        </w:rPr>
        <w:t>.</w:t>
      </w:r>
      <w:r w:rsidRPr="00FD132C">
        <w:rPr>
          <w:smallCaps/>
        </w:rPr>
        <w:t>, Stack M</w:t>
      </w:r>
      <w:r w:rsidR="00611C9A" w:rsidRPr="00FD132C">
        <w:rPr>
          <w:smallCaps/>
        </w:rPr>
        <w:t>.</w:t>
      </w:r>
      <w:r w:rsidRPr="00FD132C">
        <w:rPr>
          <w:smallCaps/>
        </w:rPr>
        <w:t>J</w:t>
      </w:r>
      <w:r w:rsidR="00611C9A" w:rsidRPr="00FD132C">
        <w:rPr>
          <w:smallCaps/>
        </w:rPr>
        <w:t>. &amp;</w:t>
      </w:r>
      <w:r w:rsidRPr="00FD132C">
        <w:rPr>
          <w:smallCaps/>
        </w:rPr>
        <w:t xml:space="preserve"> Simmons M</w:t>
      </w:r>
      <w:r w:rsidR="00611C9A" w:rsidRPr="00FD132C">
        <w:rPr>
          <w:smallCaps/>
        </w:rPr>
        <w:t>.</w:t>
      </w:r>
      <w:r w:rsidRPr="00FD132C">
        <w:rPr>
          <w:smallCaps/>
        </w:rPr>
        <w:t>M</w:t>
      </w:r>
      <w:r w:rsidR="00611C9A" w:rsidRPr="00FD132C">
        <w:rPr>
          <w:smallCaps/>
        </w:rPr>
        <w:t>.</w:t>
      </w:r>
      <w:r w:rsidRPr="00FD132C">
        <w:t xml:space="preserve"> (2012)</w:t>
      </w:r>
      <w:r w:rsidR="00611C9A" w:rsidRPr="00FD132C">
        <w:t>.</w:t>
      </w:r>
      <w:r w:rsidRPr="00FD132C">
        <w:t xml:space="preserve"> Experimental H-type and L-type bovine spongiform encephalopathy in cattle: observation of two clinical syndromes and diagnostic challenges. </w:t>
      </w:r>
      <w:r w:rsidRPr="00FD132C">
        <w:rPr>
          <w:i/>
        </w:rPr>
        <w:t>BMC Vet</w:t>
      </w:r>
      <w:r w:rsidR="00611C9A" w:rsidRPr="00FD132C">
        <w:rPr>
          <w:i/>
        </w:rPr>
        <w:t>.</w:t>
      </w:r>
      <w:r w:rsidRPr="00FD132C">
        <w:rPr>
          <w:i/>
        </w:rPr>
        <w:t xml:space="preserve"> Res</w:t>
      </w:r>
      <w:r w:rsidR="00611C9A" w:rsidRPr="00FD132C">
        <w:t>.</w:t>
      </w:r>
      <w:r w:rsidRPr="00FD132C">
        <w:t xml:space="preserve"> </w:t>
      </w:r>
      <w:r w:rsidRPr="00FD132C">
        <w:rPr>
          <w:b/>
        </w:rPr>
        <w:t>8</w:t>
      </w:r>
      <w:r w:rsidR="00611C9A" w:rsidRPr="00FD132C">
        <w:t xml:space="preserve">, </w:t>
      </w:r>
      <w:r w:rsidRPr="00FD132C">
        <w:t>22</w:t>
      </w:r>
      <w:r w:rsidR="00611C9A" w:rsidRPr="00FD132C">
        <w:t>.</w:t>
      </w:r>
    </w:p>
    <w:p w14:paraId="7BF8DCF5" w14:textId="77777777" w:rsidR="00D16D1A" w:rsidRPr="00FD132C" w:rsidRDefault="00D16D1A" w:rsidP="00D16D1A">
      <w:pPr>
        <w:pStyle w:val="Ref"/>
        <w:ind w:left="0" w:firstLine="0"/>
      </w:pPr>
      <w:proofErr w:type="spellStart"/>
      <w:r w:rsidRPr="00FD132C">
        <w:rPr>
          <w:smallCaps/>
        </w:rPr>
        <w:t>Konold</w:t>
      </w:r>
      <w:proofErr w:type="spellEnd"/>
      <w:r w:rsidRPr="00FD132C">
        <w:rPr>
          <w:smallCaps/>
        </w:rPr>
        <w:t xml:space="preserve"> T., Bone G., Ryder S., Hawkins S.A., </w:t>
      </w:r>
      <w:proofErr w:type="spellStart"/>
      <w:r w:rsidRPr="00FD132C">
        <w:rPr>
          <w:smallCaps/>
        </w:rPr>
        <w:t>Courtin</w:t>
      </w:r>
      <w:proofErr w:type="spellEnd"/>
      <w:r w:rsidRPr="00FD132C">
        <w:rPr>
          <w:smallCaps/>
        </w:rPr>
        <w:t xml:space="preserve"> F. &amp; </w:t>
      </w:r>
      <w:proofErr w:type="spellStart"/>
      <w:r w:rsidRPr="00FD132C">
        <w:rPr>
          <w:smallCaps/>
        </w:rPr>
        <w:t>Berthelin</w:t>
      </w:r>
      <w:proofErr w:type="spellEnd"/>
      <w:r w:rsidRPr="00FD132C">
        <w:rPr>
          <w:smallCaps/>
        </w:rPr>
        <w:t>-Baker C. (</w:t>
      </w:r>
      <w:r w:rsidRPr="00FD132C">
        <w:t xml:space="preserve">2004). Clinical findings in 78 suspected cases of bovine spongiform encephalopathy in Great Britain. </w:t>
      </w:r>
      <w:r w:rsidRPr="00FD132C">
        <w:rPr>
          <w:i/>
          <w:iCs/>
        </w:rPr>
        <w:t>Vet. Rec</w:t>
      </w:r>
      <w:r w:rsidRPr="00FD132C">
        <w:t xml:space="preserve">., </w:t>
      </w:r>
      <w:r w:rsidRPr="00FD132C">
        <w:rPr>
          <w:b/>
        </w:rPr>
        <w:t>155</w:t>
      </w:r>
      <w:r w:rsidRPr="00FD132C">
        <w:t>, 659–666.</w:t>
      </w:r>
    </w:p>
    <w:p w14:paraId="7BF8DCF6" w14:textId="77777777" w:rsidR="00FB52B3" w:rsidRPr="00FD132C" w:rsidRDefault="001B6123" w:rsidP="007B4344">
      <w:pPr>
        <w:pStyle w:val="Ref"/>
        <w:ind w:left="0" w:firstLine="0"/>
        <w:rPr>
          <w:bCs/>
          <w:iCs/>
          <w:color w:val="000000"/>
          <w:lang w:val="fr-FR"/>
        </w:rPr>
      </w:pPr>
      <w:proofErr w:type="spellStart"/>
      <w:r w:rsidRPr="00FD132C">
        <w:rPr>
          <w:smallCaps/>
        </w:rPr>
        <w:t>Konold</w:t>
      </w:r>
      <w:proofErr w:type="spellEnd"/>
      <w:r w:rsidRPr="00FD132C">
        <w:rPr>
          <w:smallCaps/>
        </w:rPr>
        <w:t xml:space="preserve"> T</w:t>
      </w:r>
      <w:r w:rsidR="00611C9A" w:rsidRPr="00FD132C">
        <w:rPr>
          <w:smallCaps/>
        </w:rPr>
        <w:t>.</w:t>
      </w:r>
      <w:r w:rsidRPr="00FD132C">
        <w:rPr>
          <w:smallCaps/>
        </w:rPr>
        <w:t>, Phelan L</w:t>
      </w:r>
      <w:r w:rsidR="00611C9A" w:rsidRPr="00FD132C">
        <w:rPr>
          <w:smallCaps/>
        </w:rPr>
        <w:t>.</w:t>
      </w:r>
      <w:r w:rsidRPr="00FD132C">
        <w:rPr>
          <w:smallCaps/>
        </w:rPr>
        <w:t>J</w:t>
      </w:r>
      <w:r w:rsidR="00611C9A" w:rsidRPr="00FD132C">
        <w:rPr>
          <w:smallCaps/>
        </w:rPr>
        <w:t>.</w:t>
      </w:r>
      <w:r w:rsidRPr="00FD132C">
        <w:rPr>
          <w:smallCaps/>
        </w:rPr>
        <w:t>, Clifford D</w:t>
      </w:r>
      <w:r w:rsidR="00611C9A" w:rsidRPr="00FD132C">
        <w:rPr>
          <w:smallCaps/>
        </w:rPr>
        <w:t>.</w:t>
      </w:r>
      <w:r w:rsidRPr="00FD132C">
        <w:rPr>
          <w:smallCaps/>
        </w:rPr>
        <w:t>, Chaplin M</w:t>
      </w:r>
      <w:r w:rsidR="00611C9A" w:rsidRPr="00FD132C">
        <w:rPr>
          <w:smallCaps/>
        </w:rPr>
        <w:t>.</w:t>
      </w:r>
      <w:r w:rsidRPr="00FD132C">
        <w:rPr>
          <w:smallCaps/>
        </w:rPr>
        <w:t>J</w:t>
      </w:r>
      <w:r w:rsidR="00611C9A" w:rsidRPr="00FD132C">
        <w:rPr>
          <w:smallCaps/>
        </w:rPr>
        <w:t>.</w:t>
      </w:r>
      <w:r w:rsidRPr="00FD132C">
        <w:rPr>
          <w:smallCaps/>
        </w:rPr>
        <w:t xml:space="preserve">, </w:t>
      </w:r>
      <w:proofErr w:type="spellStart"/>
      <w:r w:rsidRPr="00FD132C">
        <w:rPr>
          <w:smallCaps/>
        </w:rPr>
        <w:t>Cawthraw</w:t>
      </w:r>
      <w:proofErr w:type="spellEnd"/>
      <w:r w:rsidRPr="00FD132C">
        <w:rPr>
          <w:smallCaps/>
        </w:rPr>
        <w:t xml:space="preserve"> S</w:t>
      </w:r>
      <w:r w:rsidR="00611C9A" w:rsidRPr="00FD132C">
        <w:rPr>
          <w:smallCaps/>
        </w:rPr>
        <w:t>.</w:t>
      </w:r>
      <w:r w:rsidRPr="00FD132C">
        <w:rPr>
          <w:smallCaps/>
        </w:rPr>
        <w:t>, Stack M</w:t>
      </w:r>
      <w:r w:rsidR="00611C9A" w:rsidRPr="00FD132C">
        <w:rPr>
          <w:smallCaps/>
        </w:rPr>
        <w:t>.</w:t>
      </w:r>
      <w:r w:rsidRPr="00FD132C">
        <w:rPr>
          <w:smallCaps/>
        </w:rPr>
        <w:t>J</w:t>
      </w:r>
      <w:r w:rsidR="00611C9A" w:rsidRPr="00FD132C">
        <w:rPr>
          <w:smallCaps/>
        </w:rPr>
        <w:t>. &amp;</w:t>
      </w:r>
      <w:r w:rsidRPr="00FD132C">
        <w:rPr>
          <w:smallCaps/>
        </w:rPr>
        <w:t xml:space="preserve"> Simmons M</w:t>
      </w:r>
      <w:r w:rsidR="00611C9A" w:rsidRPr="00FD132C">
        <w:rPr>
          <w:smallCaps/>
        </w:rPr>
        <w:t>.</w:t>
      </w:r>
      <w:r w:rsidRPr="00FD132C">
        <w:rPr>
          <w:smallCaps/>
        </w:rPr>
        <w:t>M</w:t>
      </w:r>
      <w:r w:rsidR="00611C9A" w:rsidRPr="00FD132C">
        <w:rPr>
          <w:smallCaps/>
        </w:rPr>
        <w:t>.</w:t>
      </w:r>
      <w:r w:rsidRPr="00FD132C">
        <w:rPr>
          <w:smallCaps/>
        </w:rPr>
        <w:t xml:space="preserve"> (</w:t>
      </w:r>
      <w:r w:rsidRPr="00FD132C">
        <w:rPr>
          <w:bCs/>
          <w:iCs/>
          <w:color w:val="000000"/>
        </w:rPr>
        <w:t>2014). The pathological and molecular but not clinical phenotypes are maintained after second passage of experimental atypical bovine spongiform encephalopathy in cattle</w:t>
      </w:r>
      <w:r w:rsidR="00611C9A" w:rsidRPr="00FD132C">
        <w:rPr>
          <w:bCs/>
          <w:iCs/>
          <w:color w:val="000000"/>
        </w:rPr>
        <w:t xml:space="preserve">. </w:t>
      </w:r>
      <w:r w:rsidRPr="00FD132C">
        <w:rPr>
          <w:bCs/>
          <w:i/>
          <w:iCs/>
          <w:color w:val="000000"/>
          <w:lang w:val="fr-FR"/>
        </w:rPr>
        <w:t xml:space="preserve">BMC </w:t>
      </w:r>
      <w:proofErr w:type="spellStart"/>
      <w:r w:rsidRPr="00FD132C">
        <w:rPr>
          <w:bCs/>
          <w:i/>
          <w:iCs/>
          <w:color w:val="000000"/>
          <w:lang w:val="fr-FR"/>
        </w:rPr>
        <w:t>Vet</w:t>
      </w:r>
      <w:proofErr w:type="spellEnd"/>
      <w:r w:rsidR="00611C9A" w:rsidRPr="00FD132C">
        <w:rPr>
          <w:bCs/>
          <w:i/>
          <w:iCs/>
          <w:color w:val="000000"/>
          <w:lang w:val="fr-FR"/>
        </w:rPr>
        <w:t>.</w:t>
      </w:r>
      <w:r w:rsidRPr="00FD132C">
        <w:rPr>
          <w:bCs/>
          <w:i/>
          <w:iCs/>
          <w:color w:val="000000"/>
          <w:lang w:val="fr-FR"/>
        </w:rPr>
        <w:t xml:space="preserve"> </w:t>
      </w:r>
      <w:proofErr w:type="spellStart"/>
      <w:r w:rsidRPr="00FD132C">
        <w:rPr>
          <w:bCs/>
          <w:i/>
          <w:iCs/>
          <w:color w:val="000000"/>
          <w:lang w:val="fr-FR"/>
        </w:rPr>
        <w:t>Res</w:t>
      </w:r>
      <w:proofErr w:type="spellEnd"/>
      <w:r w:rsidR="00611C9A" w:rsidRPr="00FD132C">
        <w:rPr>
          <w:bCs/>
          <w:iCs/>
          <w:color w:val="000000"/>
          <w:lang w:val="fr-FR"/>
        </w:rPr>
        <w:t>.</w:t>
      </w:r>
      <w:r w:rsidRPr="00FD132C">
        <w:rPr>
          <w:bCs/>
          <w:iCs/>
          <w:color w:val="000000"/>
          <w:lang w:val="fr-FR"/>
        </w:rPr>
        <w:t xml:space="preserve"> </w:t>
      </w:r>
      <w:r w:rsidRPr="00FD132C">
        <w:rPr>
          <w:b/>
          <w:bCs/>
          <w:iCs/>
          <w:color w:val="000000"/>
          <w:lang w:val="fr-FR"/>
        </w:rPr>
        <w:t>10</w:t>
      </w:r>
      <w:r w:rsidR="00611C9A" w:rsidRPr="00FD132C">
        <w:rPr>
          <w:bCs/>
          <w:iCs/>
          <w:color w:val="000000"/>
          <w:lang w:val="fr-FR"/>
        </w:rPr>
        <w:t>,</w:t>
      </w:r>
      <w:r w:rsidRPr="00FD132C">
        <w:rPr>
          <w:bCs/>
          <w:iCs/>
          <w:color w:val="000000"/>
          <w:lang w:val="fr-FR"/>
        </w:rPr>
        <w:t xml:space="preserve"> 243.</w:t>
      </w:r>
    </w:p>
    <w:p w14:paraId="267F7710" w14:textId="2DB892C1" w:rsidR="00893068" w:rsidRPr="00FD132C" w:rsidRDefault="00893068" w:rsidP="00893068">
      <w:pPr>
        <w:pStyle w:val="authors1"/>
        <w:spacing w:before="0" w:after="240" w:line="240" w:lineRule="auto"/>
        <w:ind w:left="0"/>
        <w:jc w:val="both"/>
        <w:rPr>
          <w:rFonts w:ascii="Arial" w:hAnsi="Arial" w:cs="Arial"/>
          <w:sz w:val="18"/>
          <w:szCs w:val="18"/>
          <w:lang w:val="en-IE"/>
        </w:rPr>
      </w:pPr>
      <w:proofErr w:type="spellStart"/>
      <w:r w:rsidRPr="00FD132C">
        <w:rPr>
          <w:rStyle w:val="journalname"/>
          <w:rFonts w:ascii="Arial" w:hAnsi="Arial" w:cs="Arial"/>
          <w:smallCaps/>
          <w:snapToGrid w:val="0"/>
          <w:sz w:val="18"/>
          <w:szCs w:val="18"/>
          <w:lang w:val="fr-FR"/>
        </w:rPr>
        <w:t>Lacroux</w:t>
      </w:r>
      <w:proofErr w:type="spellEnd"/>
      <w:r w:rsidRPr="00FD132C">
        <w:rPr>
          <w:rStyle w:val="journalname"/>
          <w:rFonts w:ascii="Arial" w:hAnsi="Arial" w:cs="Arial"/>
          <w:smallCaps/>
          <w:snapToGrid w:val="0"/>
          <w:sz w:val="18"/>
          <w:szCs w:val="18"/>
          <w:lang w:val="fr-FR"/>
        </w:rPr>
        <w:t xml:space="preserve"> C., </w:t>
      </w:r>
      <w:proofErr w:type="spellStart"/>
      <w:r w:rsidRPr="00FD132C">
        <w:rPr>
          <w:rStyle w:val="journalname"/>
          <w:rFonts w:ascii="Arial" w:hAnsi="Arial" w:cs="Arial"/>
          <w:smallCaps/>
          <w:snapToGrid w:val="0"/>
          <w:sz w:val="18"/>
          <w:szCs w:val="18"/>
          <w:lang w:val="fr-FR"/>
        </w:rPr>
        <w:t>Comoy</w:t>
      </w:r>
      <w:proofErr w:type="spellEnd"/>
      <w:r w:rsidRPr="00FD132C">
        <w:rPr>
          <w:rStyle w:val="journalname"/>
          <w:rFonts w:ascii="Arial" w:hAnsi="Arial" w:cs="Arial"/>
          <w:smallCaps/>
          <w:snapToGrid w:val="0"/>
          <w:sz w:val="18"/>
          <w:szCs w:val="18"/>
          <w:lang w:val="fr-FR"/>
        </w:rPr>
        <w:t xml:space="preserve"> E., </w:t>
      </w:r>
      <w:proofErr w:type="spellStart"/>
      <w:r w:rsidRPr="00FD132C">
        <w:rPr>
          <w:rStyle w:val="journalname"/>
          <w:rFonts w:ascii="Arial" w:hAnsi="Arial" w:cs="Arial"/>
          <w:smallCaps/>
          <w:snapToGrid w:val="0"/>
          <w:sz w:val="18"/>
          <w:szCs w:val="18"/>
          <w:lang w:val="fr-FR"/>
        </w:rPr>
        <w:t>Moudjou</w:t>
      </w:r>
      <w:proofErr w:type="spellEnd"/>
      <w:r w:rsidRPr="00FD132C">
        <w:rPr>
          <w:rStyle w:val="journalname"/>
          <w:rFonts w:ascii="Arial" w:hAnsi="Arial" w:cs="Arial"/>
          <w:smallCaps/>
          <w:snapToGrid w:val="0"/>
          <w:sz w:val="18"/>
          <w:szCs w:val="18"/>
          <w:lang w:val="fr-FR"/>
        </w:rPr>
        <w:t xml:space="preserve"> M., Perret-</w:t>
      </w:r>
      <w:proofErr w:type="spellStart"/>
      <w:r w:rsidRPr="00FD132C">
        <w:rPr>
          <w:rStyle w:val="journalname"/>
          <w:rFonts w:ascii="Arial" w:hAnsi="Arial" w:cs="Arial"/>
          <w:smallCaps/>
          <w:snapToGrid w:val="0"/>
          <w:sz w:val="18"/>
          <w:szCs w:val="18"/>
          <w:lang w:val="fr-FR"/>
        </w:rPr>
        <w:t>Liaudet</w:t>
      </w:r>
      <w:proofErr w:type="spellEnd"/>
      <w:r w:rsidRPr="00FD132C">
        <w:rPr>
          <w:rStyle w:val="journalname"/>
          <w:rFonts w:ascii="Arial" w:hAnsi="Arial" w:cs="Arial"/>
          <w:smallCaps/>
          <w:snapToGrid w:val="0"/>
          <w:sz w:val="18"/>
          <w:szCs w:val="18"/>
          <w:lang w:val="fr-FR"/>
        </w:rPr>
        <w:t xml:space="preserve"> A., Lugan S., </w:t>
      </w:r>
      <w:proofErr w:type="spellStart"/>
      <w:r w:rsidRPr="00FD132C">
        <w:rPr>
          <w:rStyle w:val="journalname"/>
          <w:rFonts w:ascii="Arial" w:hAnsi="Arial" w:cs="Arial"/>
          <w:smallCaps/>
          <w:snapToGrid w:val="0"/>
          <w:sz w:val="18"/>
          <w:szCs w:val="18"/>
          <w:lang w:val="fr-FR"/>
        </w:rPr>
        <w:t>Litaise</w:t>
      </w:r>
      <w:proofErr w:type="spellEnd"/>
      <w:r w:rsidRPr="00FD132C">
        <w:rPr>
          <w:rStyle w:val="journalname"/>
          <w:rFonts w:ascii="Arial" w:hAnsi="Arial" w:cs="Arial"/>
          <w:smallCaps/>
          <w:snapToGrid w:val="0"/>
          <w:sz w:val="18"/>
          <w:szCs w:val="18"/>
          <w:lang w:val="fr-FR"/>
        </w:rPr>
        <w:t xml:space="preserve"> C., Simmons H., Jas-Duval C., Lantier I., </w:t>
      </w:r>
      <w:proofErr w:type="spellStart"/>
      <w:r w:rsidRPr="00FD132C">
        <w:rPr>
          <w:rStyle w:val="journalname"/>
          <w:rFonts w:ascii="Arial" w:hAnsi="Arial" w:cs="Arial"/>
          <w:smallCaps/>
          <w:snapToGrid w:val="0"/>
          <w:sz w:val="18"/>
          <w:szCs w:val="18"/>
          <w:lang w:val="fr-FR"/>
        </w:rPr>
        <w:t>Béringue</w:t>
      </w:r>
      <w:proofErr w:type="spellEnd"/>
      <w:r w:rsidRPr="00FD132C">
        <w:rPr>
          <w:rStyle w:val="journalname"/>
          <w:rFonts w:ascii="Arial" w:hAnsi="Arial" w:cs="Arial"/>
          <w:smallCaps/>
          <w:snapToGrid w:val="0"/>
          <w:sz w:val="18"/>
          <w:szCs w:val="18"/>
          <w:lang w:val="fr-FR"/>
        </w:rPr>
        <w:t xml:space="preserve"> V., </w:t>
      </w:r>
      <w:proofErr w:type="spellStart"/>
      <w:r w:rsidRPr="00FD132C">
        <w:rPr>
          <w:rStyle w:val="journalname"/>
          <w:rFonts w:ascii="Arial" w:hAnsi="Arial" w:cs="Arial"/>
          <w:smallCaps/>
          <w:snapToGrid w:val="0"/>
          <w:sz w:val="18"/>
          <w:szCs w:val="18"/>
          <w:lang w:val="fr-FR"/>
        </w:rPr>
        <w:t>Groschup</w:t>
      </w:r>
      <w:proofErr w:type="spellEnd"/>
      <w:r w:rsidRPr="00FD132C">
        <w:rPr>
          <w:rStyle w:val="journalname"/>
          <w:rFonts w:ascii="Arial" w:hAnsi="Arial" w:cs="Arial"/>
          <w:smallCaps/>
          <w:snapToGrid w:val="0"/>
          <w:sz w:val="18"/>
          <w:szCs w:val="18"/>
          <w:lang w:val="fr-FR"/>
        </w:rPr>
        <w:t xml:space="preserve"> M., Fichet G., Costes P., </w:t>
      </w:r>
      <w:proofErr w:type="spellStart"/>
      <w:r w:rsidRPr="00FD132C">
        <w:rPr>
          <w:rStyle w:val="journalname"/>
          <w:rFonts w:ascii="Arial" w:hAnsi="Arial" w:cs="Arial"/>
          <w:smallCaps/>
          <w:snapToGrid w:val="0"/>
          <w:sz w:val="18"/>
          <w:szCs w:val="18"/>
          <w:lang w:val="fr-FR"/>
        </w:rPr>
        <w:t>Streichenberger</w:t>
      </w:r>
      <w:proofErr w:type="spellEnd"/>
      <w:r w:rsidRPr="00FD132C">
        <w:rPr>
          <w:rStyle w:val="journalname"/>
          <w:rFonts w:ascii="Arial" w:hAnsi="Arial" w:cs="Arial"/>
          <w:smallCaps/>
          <w:snapToGrid w:val="0"/>
          <w:sz w:val="18"/>
          <w:szCs w:val="18"/>
          <w:lang w:val="fr-FR"/>
        </w:rPr>
        <w:t xml:space="preserve"> N., Lantier F., </w:t>
      </w:r>
      <w:proofErr w:type="spellStart"/>
      <w:r w:rsidRPr="00FD132C">
        <w:rPr>
          <w:rStyle w:val="journalname"/>
          <w:rFonts w:ascii="Arial" w:hAnsi="Arial" w:cs="Arial"/>
          <w:smallCaps/>
          <w:snapToGrid w:val="0"/>
          <w:sz w:val="18"/>
          <w:szCs w:val="18"/>
          <w:lang w:val="fr-FR"/>
        </w:rPr>
        <w:t>Deslys</w:t>
      </w:r>
      <w:proofErr w:type="spellEnd"/>
      <w:r w:rsidRPr="00FD132C">
        <w:rPr>
          <w:rStyle w:val="journalname"/>
          <w:rFonts w:ascii="Arial" w:hAnsi="Arial" w:cs="Arial"/>
          <w:smallCaps/>
          <w:snapToGrid w:val="0"/>
          <w:sz w:val="18"/>
          <w:szCs w:val="18"/>
          <w:lang w:val="fr-FR"/>
        </w:rPr>
        <w:t xml:space="preserve"> J.P., </w:t>
      </w:r>
      <w:proofErr w:type="spellStart"/>
      <w:r w:rsidRPr="00FD132C">
        <w:rPr>
          <w:rStyle w:val="journalname"/>
          <w:rFonts w:ascii="Arial" w:hAnsi="Arial" w:cs="Arial"/>
          <w:smallCaps/>
          <w:snapToGrid w:val="0"/>
          <w:sz w:val="18"/>
          <w:szCs w:val="18"/>
          <w:lang w:val="fr-FR"/>
        </w:rPr>
        <w:t>Vilette</w:t>
      </w:r>
      <w:proofErr w:type="spellEnd"/>
      <w:r w:rsidRPr="00FD132C">
        <w:rPr>
          <w:rStyle w:val="journalname"/>
          <w:rFonts w:ascii="Arial" w:hAnsi="Arial" w:cs="Arial"/>
          <w:smallCaps/>
          <w:snapToGrid w:val="0"/>
          <w:sz w:val="18"/>
          <w:szCs w:val="18"/>
          <w:lang w:val="fr-FR"/>
        </w:rPr>
        <w:t xml:space="preserve"> D. &amp; </w:t>
      </w:r>
      <w:proofErr w:type="spellStart"/>
      <w:r w:rsidRPr="00FD132C">
        <w:rPr>
          <w:rStyle w:val="journalname"/>
          <w:rFonts w:ascii="Arial" w:hAnsi="Arial" w:cs="Arial"/>
          <w:smallCaps/>
          <w:snapToGrid w:val="0"/>
          <w:sz w:val="18"/>
          <w:szCs w:val="18"/>
          <w:lang w:val="fr-FR"/>
        </w:rPr>
        <w:t>Andréoletti</w:t>
      </w:r>
      <w:proofErr w:type="spellEnd"/>
      <w:r w:rsidRPr="00FD132C">
        <w:rPr>
          <w:rStyle w:val="journalname"/>
          <w:rFonts w:ascii="Arial" w:hAnsi="Arial" w:cs="Arial"/>
          <w:smallCaps/>
          <w:snapToGrid w:val="0"/>
          <w:sz w:val="18"/>
          <w:szCs w:val="18"/>
          <w:lang w:val="fr-FR"/>
        </w:rPr>
        <w:t xml:space="preserve"> O. </w:t>
      </w:r>
      <w:r w:rsidRPr="00FD132C">
        <w:rPr>
          <w:rStyle w:val="journalname"/>
          <w:rFonts w:ascii="Arial" w:hAnsi="Arial" w:cs="Arial"/>
          <w:sz w:val="18"/>
          <w:szCs w:val="18"/>
          <w:lang w:val="fr-FR"/>
        </w:rPr>
        <w:t xml:space="preserve">(2014). </w:t>
      </w:r>
      <w:r w:rsidRPr="00FD132C">
        <w:rPr>
          <w:rStyle w:val="journalname"/>
          <w:rFonts w:ascii="Arial" w:hAnsi="Arial" w:cs="Arial"/>
          <w:sz w:val="18"/>
          <w:szCs w:val="18"/>
          <w:lang w:val="en-IE"/>
        </w:rPr>
        <w:t xml:space="preserve">Preclinical detection of variant CJD and BSE prions in blood. </w:t>
      </w:r>
      <w:proofErr w:type="spellStart"/>
      <w:r w:rsidRPr="00FD132C">
        <w:rPr>
          <w:rStyle w:val="journalname"/>
          <w:rFonts w:ascii="Arial" w:hAnsi="Arial" w:cs="Arial"/>
          <w:i/>
          <w:sz w:val="18"/>
          <w:szCs w:val="18"/>
          <w:lang w:val="en-IE"/>
        </w:rPr>
        <w:t>PLoS</w:t>
      </w:r>
      <w:proofErr w:type="spellEnd"/>
      <w:r w:rsidRPr="00FD132C">
        <w:rPr>
          <w:rStyle w:val="journalname"/>
          <w:rFonts w:ascii="Arial" w:hAnsi="Arial" w:cs="Arial"/>
          <w:i/>
          <w:sz w:val="18"/>
          <w:szCs w:val="18"/>
          <w:lang w:val="en-IE"/>
        </w:rPr>
        <w:t xml:space="preserve"> </w:t>
      </w:r>
      <w:proofErr w:type="spellStart"/>
      <w:r w:rsidRPr="00FD132C">
        <w:rPr>
          <w:rStyle w:val="journalname"/>
          <w:rFonts w:ascii="Arial" w:hAnsi="Arial" w:cs="Arial"/>
          <w:i/>
          <w:sz w:val="18"/>
          <w:szCs w:val="18"/>
          <w:lang w:val="en-IE"/>
        </w:rPr>
        <w:t>Pathog</w:t>
      </w:r>
      <w:proofErr w:type="spellEnd"/>
      <w:r w:rsidRPr="00FD132C">
        <w:rPr>
          <w:rStyle w:val="journalname"/>
          <w:rFonts w:ascii="Arial" w:hAnsi="Arial" w:cs="Arial"/>
          <w:i/>
          <w:sz w:val="18"/>
          <w:szCs w:val="18"/>
          <w:lang w:val="en-IE"/>
        </w:rPr>
        <w:t>.,</w:t>
      </w:r>
      <w:r w:rsidRPr="00FD132C">
        <w:rPr>
          <w:rStyle w:val="journalname"/>
          <w:rFonts w:ascii="Arial" w:hAnsi="Arial" w:cs="Arial"/>
          <w:sz w:val="18"/>
          <w:szCs w:val="18"/>
          <w:lang w:val="en-IE"/>
        </w:rPr>
        <w:t xml:space="preserve"> </w:t>
      </w:r>
      <w:r w:rsidRPr="00FD132C">
        <w:rPr>
          <w:rStyle w:val="journalname"/>
          <w:rFonts w:ascii="Arial" w:hAnsi="Arial" w:cs="Arial"/>
          <w:b/>
          <w:sz w:val="18"/>
          <w:szCs w:val="18"/>
          <w:lang w:val="en-IE"/>
        </w:rPr>
        <w:t>10</w:t>
      </w:r>
      <w:r w:rsidRPr="00FD132C">
        <w:rPr>
          <w:rStyle w:val="journalname"/>
          <w:rFonts w:ascii="Arial" w:hAnsi="Arial" w:cs="Arial"/>
          <w:sz w:val="18"/>
          <w:szCs w:val="18"/>
          <w:lang w:val="en-IE"/>
        </w:rPr>
        <w:t>:e1004202.</w:t>
      </w:r>
    </w:p>
    <w:p w14:paraId="7BF8DCF7" w14:textId="1A7ED8B0" w:rsidR="008D4C04" w:rsidRPr="00FD132C" w:rsidRDefault="008D4C04" w:rsidP="0074223C">
      <w:pPr>
        <w:pStyle w:val="Ref"/>
        <w:ind w:left="0" w:firstLine="0"/>
        <w:rPr>
          <w:lang w:eastAsia="en-GB"/>
        </w:rPr>
      </w:pPr>
      <w:r w:rsidRPr="00FD132C">
        <w:rPr>
          <w:smallCaps/>
          <w:lang w:eastAsia="en-GB"/>
        </w:rPr>
        <w:t>Lombardi G</w:t>
      </w:r>
      <w:r w:rsidR="004D2915" w:rsidRPr="00FD132C">
        <w:rPr>
          <w:smallCaps/>
          <w:lang w:eastAsia="en-GB"/>
        </w:rPr>
        <w:t>.</w:t>
      </w:r>
      <w:r w:rsidRPr="00FD132C">
        <w:rPr>
          <w:smallCaps/>
          <w:lang w:eastAsia="en-GB"/>
        </w:rPr>
        <w:t xml:space="preserve">, </w:t>
      </w:r>
      <w:proofErr w:type="spellStart"/>
      <w:r w:rsidRPr="00FD132C">
        <w:rPr>
          <w:smallCaps/>
          <w:lang w:eastAsia="en-GB"/>
        </w:rPr>
        <w:t>Casalone</w:t>
      </w:r>
      <w:proofErr w:type="spellEnd"/>
      <w:r w:rsidRPr="00FD132C">
        <w:rPr>
          <w:smallCaps/>
          <w:lang w:eastAsia="en-GB"/>
        </w:rPr>
        <w:t xml:space="preserve"> C</w:t>
      </w:r>
      <w:r w:rsidR="004D2915" w:rsidRPr="00FD132C">
        <w:rPr>
          <w:smallCaps/>
          <w:lang w:eastAsia="en-GB"/>
        </w:rPr>
        <w:t>.</w:t>
      </w:r>
      <w:r w:rsidRPr="00FD132C">
        <w:rPr>
          <w:smallCaps/>
          <w:lang w:eastAsia="en-GB"/>
        </w:rPr>
        <w:t>, D</w:t>
      </w:r>
      <w:r w:rsidR="004D2915" w:rsidRPr="00FD132C">
        <w:rPr>
          <w:smallCaps/>
          <w:lang w:eastAsia="en-GB"/>
        </w:rPr>
        <w:t>’</w:t>
      </w:r>
      <w:r w:rsidRPr="00FD132C">
        <w:rPr>
          <w:smallCaps/>
          <w:lang w:eastAsia="en-GB"/>
        </w:rPr>
        <w:t>Angelo A</w:t>
      </w:r>
      <w:r w:rsidR="004D2915" w:rsidRPr="00FD132C">
        <w:rPr>
          <w:smallCaps/>
          <w:lang w:eastAsia="en-GB"/>
        </w:rPr>
        <w:t>.</w:t>
      </w:r>
      <w:r w:rsidRPr="00FD132C">
        <w:rPr>
          <w:smallCaps/>
          <w:lang w:eastAsia="en-GB"/>
        </w:rPr>
        <w:t xml:space="preserve">, </w:t>
      </w:r>
      <w:proofErr w:type="spellStart"/>
      <w:r w:rsidRPr="00FD132C">
        <w:rPr>
          <w:smallCaps/>
          <w:lang w:eastAsia="en-GB"/>
        </w:rPr>
        <w:t>Gelmetti</w:t>
      </w:r>
      <w:proofErr w:type="spellEnd"/>
      <w:r w:rsidRPr="00FD132C">
        <w:rPr>
          <w:smallCaps/>
          <w:lang w:eastAsia="en-GB"/>
        </w:rPr>
        <w:t xml:space="preserve"> D</w:t>
      </w:r>
      <w:r w:rsidR="004D2915" w:rsidRPr="00FD132C">
        <w:rPr>
          <w:smallCaps/>
          <w:lang w:eastAsia="en-GB"/>
        </w:rPr>
        <w:t>.</w:t>
      </w:r>
      <w:r w:rsidRPr="00FD132C">
        <w:rPr>
          <w:smallCaps/>
          <w:lang w:eastAsia="en-GB"/>
        </w:rPr>
        <w:t xml:space="preserve">, </w:t>
      </w:r>
      <w:proofErr w:type="spellStart"/>
      <w:r w:rsidRPr="00FD132C">
        <w:rPr>
          <w:smallCaps/>
          <w:lang w:eastAsia="en-GB"/>
        </w:rPr>
        <w:t>Torcoli</w:t>
      </w:r>
      <w:proofErr w:type="spellEnd"/>
      <w:r w:rsidRPr="00FD132C">
        <w:rPr>
          <w:smallCaps/>
          <w:lang w:eastAsia="en-GB"/>
        </w:rPr>
        <w:t xml:space="preserve"> G</w:t>
      </w:r>
      <w:r w:rsidR="004D2915" w:rsidRPr="00FD132C">
        <w:rPr>
          <w:smallCaps/>
          <w:lang w:eastAsia="en-GB"/>
        </w:rPr>
        <w:t>.</w:t>
      </w:r>
      <w:r w:rsidRPr="00FD132C">
        <w:rPr>
          <w:smallCaps/>
          <w:lang w:eastAsia="en-GB"/>
        </w:rPr>
        <w:t>, Barbieri I</w:t>
      </w:r>
      <w:r w:rsidR="004D2915" w:rsidRPr="00FD132C">
        <w:rPr>
          <w:smallCaps/>
          <w:lang w:eastAsia="en-GB"/>
        </w:rPr>
        <w:t>.</w:t>
      </w:r>
      <w:r w:rsidRPr="00FD132C">
        <w:rPr>
          <w:smallCaps/>
          <w:lang w:eastAsia="en-GB"/>
        </w:rPr>
        <w:t>, Corona C</w:t>
      </w:r>
      <w:r w:rsidR="004D2915" w:rsidRPr="00FD132C">
        <w:rPr>
          <w:smallCaps/>
          <w:lang w:eastAsia="en-GB"/>
        </w:rPr>
        <w:t>.</w:t>
      </w:r>
      <w:r w:rsidRPr="00FD132C">
        <w:rPr>
          <w:smallCaps/>
          <w:lang w:eastAsia="en-GB"/>
        </w:rPr>
        <w:t xml:space="preserve">, </w:t>
      </w:r>
      <w:proofErr w:type="spellStart"/>
      <w:r w:rsidRPr="00FD132C">
        <w:rPr>
          <w:smallCaps/>
          <w:lang w:eastAsia="en-GB"/>
        </w:rPr>
        <w:t>Fasoli</w:t>
      </w:r>
      <w:proofErr w:type="spellEnd"/>
      <w:r w:rsidRPr="00FD132C">
        <w:rPr>
          <w:smallCaps/>
          <w:lang w:eastAsia="en-GB"/>
        </w:rPr>
        <w:t xml:space="preserve"> E</w:t>
      </w:r>
      <w:r w:rsidR="004D2915" w:rsidRPr="00FD132C">
        <w:rPr>
          <w:smallCaps/>
          <w:lang w:eastAsia="en-GB"/>
        </w:rPr>
        <w:t>.</w:t>
      </w:r>
      <w:r w:rsidRPr="00FD132C">
        <w:rPr>
          <w:smallCaps/>
          <w:lang w:eastAsia="en-GB"/>
        </w:rPr>
        <w:t xml:space="preserve">, </w:t>
      </w:r>
      <w:proofErr w:type="spellStart"/>
      <w:r w:rsidRPr="00FD132C">
        <w:rPr>
          <w:smallCaps/>
          <w:lang w:eastAsia="en-GB"/>
        </w:rPr>
        <w:t>Farinazzo</w:t>
      </w:r>
      <w:proofErr w:type="spellEnd"/>
      <w:r w:rsidRPr="00FD132C">
        <w:rPr>
          <w:smallCaps/>
          <w:lang w:eastAsia="en-GB"/>
        </w:rPr>
        <w:t xml:space="preserve"> A</w:t>
      </w:r>
      <w:r w:rsidR="004D2915" w:rsidRPr="00FD132C">
        <w:rPr>
          <w:smallCaps/>
          <w:lang w:eastAsia="en-GB"/>
        </w:rPr>
        <w:t>.</w:t>
      </w:r>
      <w:r w:rsidRPr="00FD132C">
        <w:rPr>
          <w:smallCaps/>
          <w:lang w:eastAsia="en-GB"/>
        </w:rPr>
        <w:t xml:space="preserve">, </w:t>
      </w:r>
      <w:proofErr w:type="spellStart"/>
      <w:r w:rsidRPr="00FD132C">
        <w:rPr>
          <w:smallCaps/>
          <w:lang w:eastAsia="en-GB"/>
        </w:rPr>
        <w:t>Fiorini</w:t>
      </w:r>
      <w:proofErr w:type="spellEnd"/>
      <w:r w:rsidRPr="00FD132C">
        <w:rPr>
          <w:smallCaps/>
          <w:lang w:eastAsia="en-GB"/>
        </w:rPr>
        <w:t xml:space="preserve"> M</w:t>
      </w:r>
      <w:r w:rsidR="004D2915" w:rsidRPr="00FD132C">
        <w:rPr>
          <w:smallCaps/>
          <w:lang w:eastAsia="en-GB"/>
        </w:rPr>
        <w:t>.</w:t>
      </w:r>
      <w:r w:rsidRPr="00FD132C">
        <w:rPr>
          <w:smallCaps/>
          <w:lang w:eastAsia="en-GB"/>
        </w:rPr>
        <w:t>, Gelati M</w:t>
      </w:r>
      <w:r w:rsidR="004D2915" w:rsidRPr="00FD132C">
        <w:rPr>
          <w:smallCaps/>
          <w:lang w:eastAsia="en-GB"/>
        </w:rPr>
        <w:t>.</w:t>
      </w:r>
      <w:r w:rsidRPr="00FD132C">
        <w:rPr>
          <w:smallCaps/>
          <w:lang w:eastAsia="en-GB"/>
        </w:rPr>
        <w:t xml:space="preserve">, </w:t>
      </w:r>
      <w:proofErr w:type="spellStart"/>
      <w:r w:rsidRPr="00FD132C">
        <w:rPr>
          <w:smallCaps/>
          <w:lang w:eastAsia="en-GB"/>
        </w:rPr>
        <w:t>Iulini</w:t>
      </w:r>
      <w:proofErr w:type="spellEnd"/>
      <w:r w:rsidRPr="00FD132C">
        <w:rPr>
          <w:smallCaps/>
          <w:lang w:eastAsia="en-GB"/>
        </w:rPr>
        <w:t xml:space="preserve"> B</w:t>
      </w:r>
      <w:r w:rsidR="004D2915" w:rsidRPr="00FD132C">
        <w:rPr>
          <w:smallCaps/>
          <w:lang w:eastAsia="en-GB"/>
        </w:rPr>
        <w:t>.</w:t>
      </w:r>
      <w:r w:rsidRPr="00FD132C">
        <w:rPr>
          <w:smallCaps/>
          <w:lang w:eastAsia="en-GB"/>
        </w:rPr>
        <w:t xml:space="preserve">, </w:t>
      </w:r>
      <w:proofErr w:type="spellStart"/>
      <w:r w:rsidRPr="00FD132C">
        <w:rPr>
          <w:smallCaps/>
          <w:lang w:eastAsia="en-GB"/>
        </w:rPr>
        <w:t>Tagliavini</w:t>
      </w:r>
      <w:proofErr w:type="spellEnd"/>
      <w:r w:rsidRPr="00FD132C">
        <w:rPr>
          <w:smallCaps/>
          <w:lang w:eastAsia="en-GB"/>
        </w:rPr>
        <w:t xml:space="preserve"> F</w:t>
      </w:r>
      <w:r w:rsidR="004D2915" w:rsidRPr="00FD132C">
        <w:rPr>
          <w:smallCaps/>
          <w:lang w:eastAsia="en-GB"/>
        </w:rPr>
        <w:t>.</w:t>
      </w:r>
      <w:r w:rsidRPr="00FD132C">
        <w:rPr>
          <w:smallCaps/>
          <w:lang w:eastAsia="en-GB"/>
        </w:rPr>
        <w:t>, Ferrari S</w:t>
      </w:r>
      <w:r w:rsidR="004D2915" w:rsidRPr="00FD132C">
        <w:rPr>
          <w:smallCaps/>
          <w:lang w:eastAsia="en-GB"/>
        </w:rPr>
        <w:t>.</w:t>
      </w:r>
      <w:r w:rsidRPr="00FD132C">
        <w:rPr>
          <w:smallCaps/>
          <w:lang w:eastAsia="en-GB"/>
        </w:rPr>
        <w:t xml:space="preserve">, </w:t>
      </w:r>
      <w:proofErr w:type="spellStart"/>
      <w:r w:rsidRPr="00FD132C">
        <w:rPr>
          <w:smallCaps/>
          <w:lang w:eastAsia="en-GB"/>
        </w:rPr>
        <w:t>Caramelli</w:t>
      </w:r>
      <w:proofErr w:type="spellEnd"/>
      <w:r w:rsidRPr="00FD132C">
        <w:rPr>
          <w:smallCaps/>
          <w:lang w:eastAsia="en-GB"/>
        </w:rPr>
        <w:t xml:space="preserve"> M</w:t>
      </w:r>
      <w:r w:rsidR="004D2915" w:rsidRPr="00FD132C">
        <w:rPr>
          <w:smallCaps/>
          <w:lang w:eastAsia="en-GB"/>
        </w:rPr>
        <w:t>.</w:t>
      </w:r>
      <w:r w:rsidRPr="00FD132C">
        <w:rPr>
          <w:smallCaps/>
          <w:lang w:eastAsia="en-GB"/>
        </w:rPr>
        <w:t>, Monaco S</w:t>
      </w:r>
      <w:r w:rsidR="004D2915" w:rsidRPr="00FD132C">
        <w:rPr>
          <w:smallCaps/>
          <w:lang w:eastAsia="en-GB"/>
        </w:rPr>
        <w:t>.</w:t>
      </w:r>
      <w:r w:rsidRPr="00FD132C">
        <w:rPr>
          <w:smallCaps/>
          <w:lang w:eastAsia="en-GB"/>
        </w:rPr>
        <w:t>, Capucci L</w:t>
      </w:r>
      <w:r w:rsidR="004D2915" w:rsidRPr="00FD132C">
        <w:rPr>
          <w:smallCaps/>
          <w:lang w:eastAsia="en-GB"/>
        </w:rPr>
        <w:t>.</w:t>
      </w:r>
      <w:r w:rsidRPr="00FD132C">
        <w:rPr>
          <w:smallCaps/>
          <w:lang w:eastAsia="en-GB"/>
        </w:rPr>
        <w:t xml:space="preserve"> </w:t>
      </w:r>
      <w:r w:rsidR="004D2915" w:rsidRPr="00FD132C">
        <w:rPr>
          <w:smallCaps/>
          <w:lang w:eastAsia="en-GB"/>
        </w:rPr>
        <w:t>&amp;</w:t>
      </w:r>
      <w:r w:rsidRPr="00FD132C">
        <w:rPr>
          <w:smallCaps/>
          <w:lang w:eastAsia="en-GB"/>
        </w:rPr>
        <w:t xml:space="preserve"> </w:t>
      </w:r>
      <w:proofErr w:type="spellStart"/>
      <w:r w:rsidRPr="00FD132C">
        <w:rPr>
          <w:smallCaps/>
          <w:lang w:eastAsia="en-GB"/>
        </w:rPr>
        <w:t>Zanusso</w:t>
      </w:r>
      <w:proofErr w:type="spellEnd"/>
      <w:r w:rsidRPr="00FD132C">
        <w:rPr>
          <w:smallCaps/>
          <w:lang w:eastAsia="en-GB"/>
        </w:rPr>
        <w:t xml:space="preserve"> G</w:t>
      </w:r>
      <w:r w:rsidR="004D2915" w:rsidRPr="00FD132C">
        <w:rPr>
          <w:smallCaps/>
          <w:lang w:eastAsia="en-GB"/>
        </w:rPr>
        <w:t>.</w:t>
      </w:r>
      <w:r w:rsidRPr="00FD132C">
        <w:rPr>
          <w:lang w:eastAsia="en-GB"/>
        </w:rPr>
        <w:t xml:space="preserve"> (2008)</w:t>
      </w:r>
      <w:r w:rsidR="004D2915" w:rsidRPr="00FD132C">
        <w:rPr>
          <w:lang w:eastAsia="en-GB"/>
        </w:rPr>
        <w:t>.</w:t>
      </w:r>
      <w:r w:rsidRPr="00FD132C">
        <w:rPr>
          <w:lang w:eastAsia="en-GB"/>
        </w:rPr>
        <w:t xml:space="preserve"> </w:t>
      </w:r>
      <w:r w:rsidRPr="00FD132C">
        <w:rPr>
          <w:bCs/>
          <w:lang w:eastAsia="en-GB"/>
        </w:rPr>
        <w:t xml:space="preserve">Intraspecies </w:t>
      </w:r>
      <w:r w:rsidR="004D2915" w:rsidRPr="00FD132C">
        <w:rPr>
          <w:bCs/>
          <w:lang w:eastAsia="en-GB"/>
        </w:rPr>
        <w:t>t</w:t>
      </w:r>
      <w:r w:rsidRPr="00FD132C">
        <w:rPr>
          <w:bCs/>
          <w:lang w:eastAsia="en-GB"/>
        </w:rPr>
        <w:t xml:space="preserve">ransmission of BASE </w:t>
      </w:r>
      <w:r w:rsidR="004D2915" w:rsidRPr="00FD132C">
        <w:rPr>
          <w:bCs/>
          <w:lang w:eastAsia="en-GB"/>
        </w:rPr>
        <w:t xml:space="preserve">induces clinical dullness </w:t>
      </w:r>
      <w:r w:rsidRPr="00FD132C">
        <w:rPr>
          <w:bCs/>
          <w:lang w:eastAsia="en-GB"/>
        </w:rPr>
        <w:t xml:space="preserve">and </w:t>
      </w:r>
      <w:r w:rsidR="004D2915" w:rsidRPr="00FD132C">
        <w:rPr>
          <w:bCs/>
          <w:lang w:eastAsia="en-GB"/>
        </w:rPr>
        <w:t>amyotrophic changes.</w:t>
      </w:r>
      <w:r w:rsidR="004D2915" w:rsidRPr="00FD132C">
        <w:rPr>
          <w:lang w:eastAsia="en-GB"/>
        </w:rPr>
        <w:t xml:space="preserve"> </w:t>
      </w:r>
      <w:proofErr w:type="spellStart"/>
      <w:r w:rsidRPr="00FD132C">
        <w:rPr>
          <w:i/>
          <w:lang w:eastAsia="en-GB"/>
        </w:rPr>
        <w:t>PLoS</w:t>
      </w:r>
      <w:proofErr w:type="spellEnd"/>
      <w:r w:rsidRPr="00FD132C">
        <w:rPr>
          <w:i/>
          <w:lang w:eastAsia="en-GB"/>
        </w:rPr>
        <w:t xml:space="preserve"> Pathog</w:t>
      </w:r>
      <w:r w:rsidR="00EA21E5" w:rsidRPr="00FD132C">
        <w:rPr>
          <w:i/>
          <w:lang w:eastAsia="en-GB"/>
        </w:rPr>
        <w:t>ens,</w:t>
      </w:r>
      <w:r w:rsidRPr="00FD132C">
        <w:rPr>
          <w:lang w:eastAsia="en-GB"/>
        </w:rPr>
        <w:t xml:space="preserve"> </w:t>
      </w:r>
      <w:r w:rsidRPr="00FD132C">
        <w:rPr>
          <w:b/>
          <w:lang w:eastAsia="en-GB"/>
        </w:rPr>
        <w:t>4</w:t>
      </w:r>
      <w:r w:rsidR="005810E6">
        <w:rPr>
          <w:lang w:eastAsia="en-GB"/>
        </w:rPr>
        <w:t>,</w:t>
      </w:r>
      <w:r w:rsidRPr="00FD132C">
        <w:rPr>
          <w:lang w:eastAsia="en-GB"/>
        </w:rPr>
        <w:t xml:space="preserve"> e1000075</w:t>
      </w:r>
      <w:r w:rsidR="004D2915" w:rsidRPr="00FD132C">
        <w:rPr>
          <w:lang w:eastAsia="en-GB"/>
        </w:rPr>
        <w:t>.</w:t>
      </w:r>
    </w:p>
    <w:p w14:paraId="7BF8DCF8" w14:textId="77777777" w:rsidR="00C27990" w:rsidRPr="00FD132C" w:rsidRDefault="00C27990" w:rsidP="0074223C">
      <w:pPr>
        <w:pStyle w:val="Ref"/>
        <w:ind w:left="0" w:firstLine="0"/>
      </w:pPr>
      <w:proofErr w:type="spellStart"/>
      <w:r w:rsidRPr="00FD132C">
        <w:rPr>
          <w:smallCaps/>
        </w:rPr>
        <w:t>Monleon</w:t>
      </w:r>
      <w:proofErr w:type="spellEnd"/>
      <w:r w:rsidRPr="00FD132C">
        <w:rPr>
          <w:smallCaps/>
        </w:rPr>
        <w:t xml:space="preserve"> E., </w:t>
      </w:r>
      <w:proofErr w:type="spellStart"/>
      <w:r w:rsidRPr="00FD132C">
        <w:rPr>
          <w:smallCaps/>
        </w:rPr>
        <w:t>Monzon</w:t>
      </w:r>
      <w:proofErr w:type="spellEnd"/>
      <w:r w:rsidRPr="00FD132C">
        <w:rPr>
          <w:smallCaps/>
        </w:rPr>
        <w:t xml:space="preserve"> M., </w:t>
      </w:r>
      <w:proofErr w:type="spellStart"/>
      <w:r w:rsidRPr="00FD132C">
        <w:rPr>
          <w:smallCaps/>
        </w:rPr>
        <w:t>Hortells</w:t>
      </w:r>
      <w:proofErr w:type="spellEnd"/>
      <w:r w:rsidRPr="00FD132C">
        <w:rPr>
          <w:smallCaps/>
        </w:rPr>
        <w:t xml:space="preserve"> P., Vargas A., </w:t>
      </w:r>
      <w:proofErr w:type="spellStart"/>
      <w:r w:rsidRPr="00FD132C">
        <w:rPr>
          <w:smallCaps/>
        </w:rPr>
        <w:t>Badiola</w:t>
      </w:r>
      <w:proofErr w:type="spellEnd"/>
      <w:r w:rsidRPr="00FD132C">
        <w:rPr>
          <w:smallCaps/>
        </w:rPr>
        <w:t xml:space="preserve"> J.J.</w:t>
      </w:r>
      <w:r w:rsidRPr="00FD132C">
        <w:t xml:space="preserve"> (2003). Detection of </w:t>
      </w:r>
      <w:proofErr w:type="spellStart"/>
      <w:r w:rsidRPr="00FD132C">
        <w:t>PrP</w:t>
      </w:r>
      <w:r w:rsidR="00FF4CB0" w:rsidRPr="004E3697">
        <w:rPr>
          <w:szCs w:val="14"/>
          <w:vertAlign w:val="superscript"/>
        </w:rPr>
        <w:t>S</w:t>
      </w:r>
      <w:r w:rsidRPr="004E3697">
        <w:rPr>
          <w:szCs w:val="14"/>
          <w:vertAlign w:val="superscript"/>
        </w:rPr>
        <w:t>c</w:t>
      </w:r>
      <w:proofErr w:type="spellEnd"/>
      <w:r w:rsidRPr="00FD132C">
        <w:t xml:space="preserve"> in samples presenting a very advanced degree of autolysis (BSE liquid state) by immunocytochemistry. </w:t>
      </w:r>
      <w:r w:rsidRPr="00FD132C">
        <w:rPr>
          <w:i/>
          <w:iCs/>
        </w:rPr>
        <w:t xml:space="preserve">J. </w:t>
      </w:r>
      <w:proofErr w:type="spellStart"/>
      <w:r w:rsidRPr="00FD132C">
        <w:rPr>
          <w:i/>
          <w:iCs/>
        </w:rPr>
        <w:t>Histochem</w:t>
      </w:r>
      <w:proofErr w:type="spellEnd"/>
      <w:r w:rsidRPr="00FD132C">
        <w:rPr>
          <w:i/>
          <w:iCs/>
        </w:rPr>
        <w:t xml:space="preserve">. </w:t>
      </w:r>
      <w:proofErr w:type="spellStart"/>
      <w:r w:rsidRPr="00FD132C">
        <w:rPr>
          <w:i/>
          <w:iCs/>
        </w:rPr>
        <w:t>Cytochem</w:t>
      </w:r>
      <w:proofErr w:type="spellEnd"/>
      <w:r w:rsidRPr="00FD132C">
        <w:t xml:space="preserve">., </w:t>
      </w:r>
      <w:r w:rsidRPr="00FD132C">
        <w:rPr>
          <w:b/>
        </w:rPr>
        <w:t>51</w:t>
      </w:r>
      <w:r w:rsidRPr="00FD132C">
        <w:t>, 15–18.</w:t>
      </w:r>
    </w:p>
    <w:p w14:paraId="258EB1A5" w14:textId="77777777" w:rsidR="00786E8E" w:rsidRPr="000B704C" w:rsidRDefault="00786E8E" w:rsidP="00786E8E">
      <w:pPr>
        <w:pStyle w:val="Ref"/>
        <w:ind w:left="0" w:firstLine="0"/>
        <w:rPr>
          <w:smallCaps/>
          <w:lang w:val="en-IE" w:eastAsia="ja-JP"/>
        </w:rPr>
      </w:pPr>
      <w:r w:rsidRPr="000B704C">
        <w:rPr>
          <w:rFonts w:hint="eastAsia"/>
          <w:smallCaps/>
          <w:lang w:val="en-IE" w:eastAsia="ja-JP"/>
        </w:rPr>
        <w:lastRenderedPageBreak/>
        <w:t xml:space="preserve">Murayama Y., Yoshioka M., </w:t>
      </w:r>
      <w:proofErr w:type="spellStart"/>
      <w:r w:rsidRPr="000B704C">
        <w:rPr>
          <w:rFonts w:hint="eastAsia"/>
          <w:smallCaps/>
          <w:lang w:val="en-IE" w:eastAsia="ja-JP"/>
        </w:rPr>
        <w:t>Masujin</w:t>
      </w:r>
      <w:proofErr w:type="spellEnd"/>
      <w:r w:rsidRPr="000B704C">
        <w:rPr>
          <w:rFonts w:hint="eastAsia"/>
          <w:smallCaps/>
          <w:lang w:val="en-IE" w:eastAsia="ja-JP"/>
        </w:rPr>
        <w:t xml:space="preserve"> K.,</w:t>
      </w:r>
      <w:r w:rsidRPr="000B704C">
        <w:rPr>
          <w:smallCaps/>
          <w:lang w:val="en-IE" w:eastAsia="ja-JP"/>
        </w:rPr>
        <w:t xml:space="preserve"> Okada H., </w:t>
      </w:r>
      <w:proofErr w:type="spellStart"/>
      <w:r w:rsidRPr="000B704C">
        <w:rPr>
          <w:smallCaps/>
          <w:lang w:val="en-IE" w:eastAsia="ja-JP"/>
        </w:rPr>
        <w:t>Iwamaru</w:t>
      </w:r>
      <w:proofErr w:type="spellEnd"/>
      <w:r w:rsidRPr="000B704C">
        <w:rPr>
          <w:smallCaps/>
          <w:lang w:val="en-IE" w:eastAsia="ja-JP"/>
        </w:rPr>
        <w:t xml:space="preserve"> Y., Imamura M., Matsuura Y., Fukuda S., </w:t>
      </w:r>
      <w:proofErr w:type="spellStart"/>
      <w:r w:rsidRPr="000B704C">
        <w:rPr>
          <w:smallCaps/>
          <w:lang w:val="en-IE" w:eastAsia="ja-JP"/>
        </w:rPr>
        <w:t>Onoe</w:t>
      </w:r>
      <w:proofErr w:type="spellEnd"/>
      <w:r w:rsidRPr="000B704C">
        <w:rPr>
          <w:smallCaps/>
          <w:lang w:val="en-IE" w:eastAsia="ja-JP"/>
        </w:rPr>
        <w:t xml:space="preserve"> S., Yokoyama T. &amp; </w:t>
      </w:r>
      <w:proofErr w:type="spellStart"/>
      <w:r w:rsidRPr="000B704C">
        <w:rPr>
          <w:smallCaps/>
          <w:lang w:val="en-IE" w:eastAsia="ja-JP"/>
        </w:rPr>
        <w:t>Mohri</w:t>
      </w:r>
      <w:proofErr w:type="spellEnd"/>
      <w:r w:rsidRPr="000B704C">
        <w:rPr>
          <w:smallCaps/>
          <w:lang w:val="en-IE" w:eastAsia="ja-JP"/>
        </w:rPr>
        <w:t xml:space="preserve"> S. (2010). </w:t>
      </w:r>
      <w:proofErr w:type="spellStart"/>
      <w:r w:rsidRPr="000B704C">
        <w:t>Sulfated</w:t>
      </w:r>
      <w:proofErr w:type="spellEnd"/>
      <w:r w:rsidRPr="000B704C">
        <w:t xml:space="preserve"> </w:t>
      </w:r>
      <w:proofErr w:type="spellStart"/>
      <w:r w:rsidRPr="000B704C">
        <w:t>dextrans</w:t>
      </w:r>
      <w:proofErr w:type="spellEnd"/>
      <w:r w:rsidRPr="000B704C">
        <w:t xml:space="preserve"> enhance </w:t>
      </w:r>
      <w:r w:rsidRPr="00786E8E">
        <w:rPr>
          <w:i/>
        </w:rPr>
        <w:t>in vitro</w:t>
      </w:r>
      <w:r w:rsidRPr="000B704C">
        <w:t xml:space="preserve"> amplification of bovine spongiform encephalopathy </w:t>
      </w:r>
      <w:proofErr w:type="spellStart"/>
      <w:r w:rsidRPr="000B704C">
        <w:t>PrP</w:t>
      </w:r>
      <w:proofErr w:type="spellEnd"/>
      <w:r w:rsidRPr="000B704C">
        <w:t xml:space="preserve">(Sc) and enable ultrasensitive detection of bovine </w:t>
      </w:r>
      <w:proofErr w:type="spellStart"/>
      <w:r w:rsidRPr="000B704C">
        <w:t>PrP</w:t>
      </w:r>
      <w:proofErr w:type="spellEnd"/>
      <w:r w:rsidRPr="000B704C">
        <w:t xml:space="preserve">(Sc). </w:t>
      </w:r>
      <w:proofErr w:type="spellStart"/>
      <w:r w:rsidRPr="000B704C">
        <w:rPr>
          <w:i/>
        </w:rPr>
        <w:t>PLoS</w:t>
      </w:r>
      <w:proofErr w:type="spellEnd"/>
      <w:r w:rsidRPr="000B704C">
        <w:rPr>
          <w:i/>
        </w:rPr>
        <w:t xml:space="preserve"> One</w:t>
      </w:r>
      <w:r w:rsidRPr="000B704C">
        <w:t xml:space="preserve">, </w:t>
      </w:r>
      <w:r w:rsidRPr="000B704C">
        <w:rPr>
          <w:b/>
        </w:rPr>
        <w:t>5</w:t>
      </w:r>
      <w:r w:rsidRPr="000B704C">
        <w:t>, e13152.</w:t>
      </w:r>
    </w:p>
    <w:p w14:paraId="7BF8DCFA" w14:textId="77777777" w:rsidR="00E063FD" w:rsidRPr="00FD132C" w:rsidRDefault="00E063FD" w:rsidP="00E063FD">
      <w:pPr>
        <w:pStyle w:val="Ref"/>
        <w:ind w:left="0" w:firstLine="0"/>
        <w:rPr>
          <w:bCs/>
          <w:lang w:val="en-IE"/>
        </w:rPr>
      </w:pPr>
      <w:r w:rsidRPr="00FD132C">
        <w:rPr>
          <w:smallCaps/>
        </w:rPr>
        <w:t xml:space="preserve">Okada H., </w:t>
      </w:r>
      <w:proofErr w:type="spellStart"/>
      <w:r w:rsidRPr="00FD132C">
        <w:rPr>
          <w:smallCaps/>
        </w:rPr>
        <w:t>Iwamaru</w:t>
      </w:r>
      <w:proofErr w:type="spellEnd"/>
      <w:r w:rsidRPr="00FD132C">
        <w:rPr>
          <w:smallCaps/>
        </w:rPr>
        <w:t xml:space="preserve"> Y., Imamura M., </w:t>
      </w:r>
      <w:proofErr w:type="spellStart"/>
      <w:r w:rsidRPr="00FD132C">
        <w:rPr>
          <w:smallCaps/>
        </w:rPr>
        <w:t>Masujin</w:t>
      </w:r>
      <w:proofErr w:type="spellEnd"/>
      <w:r w:rsidRPr="00FD132C">
        <w:rPr>
          <w:smallCaps/>
        </w:rPr>
        <w:t xml:space="preserve"> K., Matsuura Y., Shimizu Y., Kasai K., </w:t>
      </w:r>
      <w:proofErr w:type="spellStart"/>
      <w:r w:rsidRPr="00FD132C">
        <w:rPr>
          <w:smallCaps/>
        </w:rPr>
        <w:t>Mohri</w:t>
      </w:r>
      <w:proofErr w:type="spellEnd"/>
      <w:r w:rsidRPr="00FD132C">
        <w:rPr>
          <w:smallCaps/>
        </w:rPr>
        <w:t xml:space="preserve"> S., Yokoyama T. &amp; </w:t>
      </w:r>
      <w:proofErr w:type="spellStart"/>
      <w:r w:rsidRPr="00FD132C">
        <w:rPr>
          <w:smallCaps/>
        </w:rPr>
        <w:t>Czub</w:t>
      </w:r>
      <w:proofErr w:type="spellEnd"/>
      <w:r w:rsidRPr="00FD132C">
        <w:rPr>
          <w:smallCaps/>
        </w:rPr>
        <w:t xml:space="preserve"> S. (2011). </w:t>
      </w:r>
      <w:r w:rsidRPr="00FD132C">
        <w:rPr>
          <w:bCs/>
          <w:lang w:val="en-IE"/>
        </w:rPr>
        <w:t xml:space="preserve">Experimental H-type bovine spongiform encephalopathy characterized by plaques and glial- and stellate-type prion protein deposits. </w:t>
      </w:r>
      <w:r w:rsidRPr="00FD132C">
        <w:rPr>
          <w:bCs/>
          <w:i/>
          <w:lang w:val="en-IE"/>
        </w:rPr>
        <w:t>Vet</w:t>
      </w:r>
      <w:r w:rsidR="00611C9A" w:rsidRPr="00FD132C">
        <w:rPr>
          <w:bCs/>
          <w:i/>
          <w:lang w:val="en-IE"/>
        </w:rPr>
        <w:t>.</w:t>
      </w:r>
      <w:r w:rsidRPr="00FD132C">
        <w:rPr>
          <w:bCs/>
          <w:i/>
          <w:lang w:val="en-IE"/>
        </w:rPr>
        <w:t xml:space="preserve"> Res.,</w:t>
      </w:r>
      <w:r w:rsidRPr="00FD132C">
        <w:rPr>
          <w:bCs/>
          <w:lang w:val="en-IE"/>
        </w:rPr>
        <w:t xml:space="preserve"> </w:t>
      </w:r>
      <w:r w:rsidRPr="00FD132C">
        <w:rPr>
          <w:b/>
          <w:bCs/>
          <w:lang w:val="en-IE"/>
        </w:rPr>
        <w:t>42</w:t>
      </w:r>
      <w:r w:rsidR="00611C9A" w:rsidRPr="00FD132C">
        <w:rPr>
          <w:bCs/>
          <w:lang w:val="en-IE"/>
        </w:rPr>
        <w:t xml:space="preserve">, </w:t>
      </w:r>
      <w:r w:rsidRPr="00FD132C">
        <w:rPr>
          <w:bCs/>
          <w:lang w:val="en-IE"/>
        </w:rPr>
        <w:t>79. doi:10.1186/1297-9716-42-79</w:t>
      </w:r>
    </w:p>
    <w:p w14:paraId="277DD4C3" w14:textId="2F761CE5" w:rsidR="00893068" w:rsidRPr="00FD132C" w:rsidRDefault="00893068" w:rsidP="00893068">
      <w:pPr>
        <w:spacing w:after="240" w:line="240" w:lineRule="auto"/>
        <w:rPr>
          <w:rFonts w:ascii="Arial" w:hAnsi="Arial" w:cs="Arial"/>
          <w:sz w:val="18"/>
          <w:lang w:eastAsia="en-GB"/>
        </w:rPr>
      </w:pPr>
      <w:proofErr w:type="spellStart"/>
      <w:r w:rsidRPr="00FD132C">
        <w:rPr>
          <w:rFonts w:ascii="Arial" w:hAnsi="Arial" w:cs="Arial"/>
          <w:smallCaps/>
          <w:sz w:val="18"/>
          <w:lang w:eastAsia="en-GB"/>
        </w:rPr>
        <w:t>Orr</w:t>
      </w:r>
      <w:r w:rsidR="00EA70AB">
        <w:rPr>
          <w:rFonts w:ascii="Arial" w:hAnsi="Arial" w:cs="Arial"/>
          <w:smallCaps/>
          <w:sz w:val="18"/>
          <w:lang w:eastAsia="en-GB"/>
        </w:rPr>
        <w:t>u</w:t>
      </w:r>
      <w:proofErr w:type="spellEnd"/>
      <w:r w:rsidRPr="00FD132C">
        <w:rPr>
          <w:rFonts w:ascii="Arial" w:hAnsi="Arial" w:cs="Arial"/>
          <w:smallCaps/>
          <w:sz w:val="18"/>
          <w:lang w:eastAsia="en-GB"/>
        </w:rPr>
        <w:t xml:space="preserve"> C.D., </w:t>
      </w:r>
      <w:proofErr w:type="spellStart"/>
      <w:r w:rsidRPr="00FD132C">
        <w:rPr>
          <w:rFonts w:ascii="Arial" w:hAnsi="Arial" w:cs="Arial"/>
          <w:smallCaps/>
          <w:sz w:val="18"/>
          <w:lang w:eastAsia="en-GB"/>
        </w:rPr>
        <w:t>Bongianni</w:t>
      </w:r>
      <w:proofErr w:type="spellEnd"/>
      <w:r w:rsidRPr="00FD132C">
        <w:rPr>
          <w:rFonts w:ascii="Arial" w:hAnsi="Arial" w:cs="Arial"/>
          <w:smallCaps/>
          <w:sz w:val="18"/>
          <w:lang w:eastAsia="en-GB"/>
        </w:rPr>
        <w:t xml:space="preserve"> M., </w:t>
      </w:r>
      <w:proofErr w:type="spellStart"/>
      <w:r w:rsidRPr="00FD132C">
        <w:rPr>
          <w:rFonts w:ascii="Arial" w:hAnsi="Arial" w:cs="Arial"/>
          <w:smallCaps/>
          <w:sz w:val="18"/>
          <w:lang w:eastAsia="en-GB"/>
        </w:rPr>
        <w:t>Tonoli</w:t>
      </w:r>
      <w:proofErr w:type="spellEnd"/>
      <w:r w:rsidRPr="00FD132C">
        <w:rPr>
          <w:rFonts w:ascii="Arial" w:hAnsi="Arial" w:cs="Arial"/>
          <w:smallCaps/>
          <w:sz w:val="18"/>
          <w:lang w:eastAsia="en-GB"/>
        </w:rPr>
        <w:t xml:space="preserve"> G., Ferrari S., Hughson A.G., </w:t>
      </w:r>
      <w:proofErr w:type="spellStart"/>
      <w:r w:rsidRPr="00FD132C">
        <w:rPr>
          <w:rFonts w:ascii="Arial" w:hAnsi="Arial" w:cs="Arial"/>
          <w:smallCaps/>
          <w:sz w:val="18"/>
          <w:lang w:eastAsia="en-GB"/>
        </w:rPr>
        <w:t>Groveman</w:t>
      </w:r>
      <w:proofErr w:type="spellEnd"/>
      <w:r w:rsidRPr="00FD132C">
        <w:rPr>
          <w:rFonts w:ascii="Arial" w:hAnsi="Arial" w:cs="Arial"/>
          <w:smallCaps/>
          <w:sz w:val="18"/>
          <w:lang w:eastAsia="en-GB"/>
        </w:rPr>
        <w:t xml:space="preserve"> B.R., </w:t>
      </w:r>
      <w:proofErr w:type="spellStart"/>
      <w:r w:rsidRPr="00FD132C">
        <w:rPr>
          <w:rFonts w:ascii="Arial" w:hAnsi="Arial" w:cs="Arial"/>
          <w:smallCaps/>
          <w:sz w:val="18"/>
          <w:lang w:eastAsia="en-GB"/>
        </w:rPr>
        <w:t>Fiorini</w:t>
      </w:r>
      <w:proofErr w:type="spellEnd"/>
      <w:r w:rsidRPr="00FD132C">
        <w:rPr>
          <w:rFonts w:ascii="Arial" w:hAnsi="Arial" w:cs="Arial"/>
          <w:smallCaps/>
          <w:sz w:val="18"/>
          <w:lang w:eastAsia="en-GB"/>
        </w:rPr>
        <w:t xml:space="preserve"> M., </w:t>
      </w:r>
      <w:proofErr w:type="spellStart"/>
      <w:r w:rsidRPr="00FD132C">
        <w:rPr>
          <w:rFonts w:ascii="Arial" w:hAnsi="Arial" w:cs="Arial"/>
          <w:smallCaps/>
          <w:sz w:val="18"/>
          <w:lang w:eastAsia="en-GB"/>
        </w:rPr>
        <w:t>Pocchiari</w:t>
      </w:r>
      <w:proofErr w:type="spellEnd"/>
      <w:r w:rsidRPr="00FD132C">
        <w:rPr>
          <w:rFonts w:ascii="Arial" w:hAnsi="Arial" w:cs="Arial"/>
          <w:smallCaps/>
          <w:sz w:val="18"/>
          <w:lang w:eastAsia="en-GB"/>
        </w:rPr>
        <w:t xml:space="preserve"> M., Monaco S., </w:t>
      </w:r>
      <w:proofErr w:type="spellStart"/>
      <w:r w:rsidRPr="00FD132C">
        <w:rPr>
          <w:rFonts w:ascii="Arial" w:hAnsi="Arial" w:cs="Arial"/>
          <w:smallCaps/>
          <w:sz w:val="18"/>
          <w:lang w:eastAsia="en-GB"/>
        </w:rPr>
        <w:t>Caughey</w:t>
      </w:r>
      <w:proofErr w:type="spellEnd"/>
      <w:r w:rsidRPr="00FD132C">
        <w:rPr>
          <w:rFonts w:ascii="Arial" w:hAnsi="Arial" w:cs="Arial"/>
          <w:smallCaps/>
          <w:sz w:val="18"/>
          <w:lang w:eastAsia="en-GB"/>
        </w:rPr>
        <w:t xml:space="preserve"> B. &amp; </w:t>
      </w:r>
      <w:proofErr w:type="spellStart"/>
      <w:r w:rsidRPr="00FD132C">
        <w:rPr>
          <w:rFonts w:ascii="Arial" w:hAnsi="Arial" w:cs="Arial"/>
          <w:smallCaps/>
          <w:sz w:val="18"/>
          <w:lang w:eastAsia="en-GB"/>
        </w:rPr>
        <w:t>Zanusso</w:t>
      </w:r>
      <w:proofErr w:type="spellEnd"/>
      <w:r w:rsidRPr="00FD132C">
        <w:rPr>
          <w:rFonts w:ascii="Arial" w:hAnsi="Arial" w:cs="Arial"/>
          <w:smallCaps/>
          <w:sz w:val="18"/>
          <w:lang w:eastAsia="en-GB"/>
        </w:rPr>
        <w:t xml:space="preserve"> G.</w:t>
      </w:r>
      <w:r w:rsidRPr="00FD132C">
        <w:rPr>
          <w:rFonts w:ascii="Arial" w:hAnsi="Arial" w:cs="Arial"/>
          <w:sz w:val="18"/>
          <w:lang w:eastAsia="en-GB"/>
        </w:rPr>
        <w:t xml:space="preserve"> (2014). A test for Creutzfeldt-Jakob disease using nasal brushings. </w:t>
      </w:r>
      <w:r w:rsidRPr="00FD132C">
        <w:rPr>
          <w:rFonts w:ascii="Arial" w:hAnsi="Arial" w:cs="Arial"/>
          <w:i/>
          <w:sz w:val="18"/>
          <w:lang w:eastAsia="en-GB"/>
        </w:rPr>
        <w:t>N. Engl. J. Med</w:t>
      </w:r>
      <w:r w:rsidRPr="00FD132C">
        <w:rPr>
          <w:rFonts w:ascii="Arial" w:hAnsi="Arial" w:cs="Arial"/>
          <w:sz w:val="18"/>
          <w:lang w:eastAsia="en-GB"/>
        </w:rPr>
        <w:t xml:space="preserve">., </w:t>
      </w:r>
      <w:r w:rsidRPr="00FD132C">
        <w:rPr>
          <w:rFonts w:ascii="Arial" w:hAnsi="Arial" w:cs="Arial"/>
          <w:b/>
          <w:sz w:val="18"/>
          <w:lang w:eastAsia="en-GB"/>
        </w:rPr>
        <w:t>371</w:t>
      </w:r>
      <w:r w:rsidRPr="00FD132C">
        <w:rPr>
          <w:rFonts w:ascii="Arial" w:hAnsi="Arial" w:cs="Arial"/>
          <w:sz w:val="18"/>
          <w:lang w:eastAsia="en-GB"/>
        </w:rPr>
        <w:t>, 519–529.</w:t>
      </w:r>
    </w:p>
    <w:p w14:paraId="6780B133" w14:textId="4FD650F2" w:rsidR="00893068" w:rsidRPr="00FD132C" w:rsidRDefault="00893068" w:rsidP="00893068">
      <w:pPr>
        <w:spacing w:after="240" w:line="240" w:lineRule="auto"/>
        <w:rPr>
          <w:rFonts w:ascii="Arial" w:hAnsi="Arial" w:cs="Arial"/>
          <w:sz w:val="18"/>
          <w:lang w:eastAsia="en-GB"/>
        </w:rPr>
      </w:pPr>
      <w:proofErr w:type="spellStart"/>
      <w:r w:rsidRPr="00FD132C">
        <w:rPr>
          <w:rFonts w:ascii="Arial" w:hAnsi="Arial" w:cs="Arial"/>
          <w:smallCaps/>
          <w:sz w:val="18"/>
          <w:lang w:eastAsia="en-GB"/>
        </w:rPr>
        <w:t>Orr</w:t>
      </w:r>
      <w:r w:rsidR="00EA70AB">
        <w:rPr>
          <w:rFonts w:ascii="Arial" w:hAnsi="Arial" w:cs="Arial"/>
          <w:smallCaps/>
          <w:sz w:val="18"/>
          <w:lang w:eastAsia="en-GB"/>
        </w:rPr>
        <w:t>u</w:t>
      </w:r>
      <w:proofErr w:type="spellEnd"/>
      <w:r w:rsidRPr="00FD132C">
        <w:rPr>
          <w:rFonts w:ascii="Arial" w:hAnsi="Arial" w:cs="Arial"/>
          <w:smallCaps/>
          <w:sz w:val="18"/>
          <w:lang w:eastAsia="en-GB"/>
        </w:rPr>
        <w:t xml:space="preserve"> C.D., </w:t>
      </w:r>
      <w:proofErr w:type="spellStart"/>
      <w:r w:rsidRPr="00FD132C">
        <w:rPr>
          <w:rFonts w:ascii="Arial" w:hAnsi="Arial" w:cs="Arial"/>
          <w:smallCaps/>
          <w:sz w:val="18"/>
          <w:lang w:eastAsia="en-GB"/>
        </w:rPr>
        <w:t>Wilham</w:t>
      </w:r>
      <w:proofErr w:type="spellEnd"/>
      <w:r w:rsidRPr="00FD132C">
        <w:rPr>
          <w:rFonts w:ascii="Arial" w:hAnsi="Arial" w:cs="Arial"/>
          <w:smallCaps/>
          <w:sz w:val="18"/>
          <w:lang w:eastAsia="en-GB"/>
        </w:rPr>
        <w:t xml:space="preserve"> J.M., </w:t>
      </w:r>
      <w:proofErr w:type="spellStart"/>
      <w:r w:rsidRPr="00FD132C">
        <w:rPr>
          <w:rFonts w:ascii="Arial" w:hAnsi="Arial" w:cs="Arial"/>
          <w:smallCaps/>
          <w:sz w:val="18"/>
          <w:lang w:eastAsia="en-GB"/>
        </w:rPr>
        <w:t>Vascellari</w:t>
      </w:r>
      <w:proofErr w:type="spellEnd"/>
      <w:r w:rsidRPr="00FD132C">
        <w:rPr>
          <w:rFonts w:ascii="Arial" w:hAnsi="Arial" w:cs="Arial"/>
          <w:smallCaps/>
          <w:sz w:val="18"/>
          <w:lang w:eastAsia="en-GB"/>
        </w:rPr>
        <w:t xml:space="preserve"> S., Hughson A.G. &amp; </w:t>
      </w:r>
      <w:proofErr w:type="spellStart"/>
      <w:r w:rsidRPr="00FD132C">
        <w:rPr>
          <w:rFonts w:ascii="Arial" w:hAnsi="Arial" w:cs="Arial"/>
          <w:smallCaps/>
          <w:sz w:val="18"/>
          <w:lang w:eastAsia="en-GB"/>
        </w:rPr>
        <w:t>Caughey</w:t>
      </w:r>
      <w:proofErr w:type="spellEnd"/>
      <w:r w:rsidRPr="00FD132C">
        <w:rPr>
          <w:rFonts w:ascii="Arial" w:hAnsi="Arial" w:cs="Arial"/>
          <w:smallCaps/>
          <w:sz w:val="18"/>
          <w:lang w:eastAsia="en-GB"/>
        </w:rPr>
        <w:t xml:space="preserve"> B.</w:t>
      </w:r>
      <w:r w:rsidRPr="00FD132C">
        <w:rPr>
          <w:rFonts w:ascii="Arial" w:hAnsi="Arial" w:cs="Arial"/>
          <w:sz w:val="18"/>
          <w:lang w:eastAsia="en-GB"/>
        </w:rPr>
        <w:t xml:space="preserve"> (2012). New generation </w:t>
      </w:r>
      <w:proofErr w:type="spellStart"/>
      <w:r w:rsidRPr="00FD132C">
        <w:rPr>
          <w:rFonts w:ascii="Arial" w:hAnsi="Arial" w:cs="Arial"/>
          <w:sz w:val="18"/>
          <w:lang w:eastAsia="en-GB"/>
        </w:rPr>
        <w:t>QuIC</w:t>
      </w:r>
      <w:proofErr w:type="spellEnd"/>
      <w:r w:rsidRPr="00FD132C">
        <w:rPr>
          <w:rFonts w:ascii="Arial" w:hAnsi="Arial" w:cs="Arial"/>
          <w:sz w:val="18"/>
          <w:lang w:eastAsia="en-GB"/>
        </w:rPr>
        <w:t xml:space="preserve"> assays for prion seeding activity. </w:t>
      </w:r>
      <w:r w:rsidRPr="00FD132C">
        <w:rPr>
          <w:rFonts w:ascii="Arial" w:hAnsi="Arial" w:cs="Arial"/>
          <w:i/>
          <w:sz w:val="18"/>
          <w:lang w:eastAsia="en-GB"/>
        </w:rPr>
        <w:t>Prion</w:t>
      </w:r>
      <w:r w:rsidRPr="00FD132C">
        <w:rPr>
          <w:rFonts w:ascii="Arial" w:hAnsi="Arial" w:cs="Arial"/>
          <w:sz w:val="18"/>
          <w:lang w:eastAsia="en-GB"/>
        </w:rPr>
        <w:t xml:space="preserve">, </w:t>
      </w:r>
      <w:r w:rsidRPr="00FD132C">
        <w:rPr>
          <w:rFonts w:ascii="Arial" w:hAnsi="Arial" w:cs="Arial"/>
          <w:b/>
          <w:sz w:val="18"/>
          <w:lang w:eastAsia="en-GB"/>
        </w:rPr>
        <w:t>6</w:t>
      </w:r>
      <w:r w:rsidRPr="00FD132C">
        <w:rPr>
          <w:rFonts w:ascii="Arial" w:hAnsi="Arial" w:cs="Arial"/>
          <w:sz w:val="18"/>
          <w:lang w:eastAsia="en-GB"/>
        </w:rPr>
        <w:t xml:space="preserve">, 147–152. </w:t>
      </w:r>
      <w:proofErr w:type="spellStart"/>
      <w:r w:rsidRPr="00FD132C">
        <w:rPr>
          <w:rFonts w:ascii="Arial" w:hAnsi="Arial" w:cs="Arial"/>
          <w:sz w:val="18"/>
          <w:lang w:eastAsia="en-GB"/>
        </w:rPr>
        <w:t>doi</w:t>
      </w:r>
      <w:proofErr w:type="spellEnd"/>
      <w:r w:rsidRPr="00FD132C">
        <w:rPr>
          <w:rFonts w:ascii="Arial" w:hAnsi="Arial" w:cs="Arial"/>
          <w:sz w:val="18"/>
          <w:lang w:eastAsia="en-GB"/>
        </w:rPr>
        <w:t xml:space="preserve">: 10.4161/pri.19430. </w:t>
      </w:r>
    </w:p>
    <w:p w14:paraId="7BF8DCFB" w14:textId="77777777" w:rsidR="00C27990" w:rsidRPr="00FD132C" w:rsidRDefault="00C27990" w:rsidP="0074223C">
      <w:pPr>
        <w:pStyle w:val="Ref"/>
        <w:ind w:left="0" w:firstLine="0"/>
        <w:rPr>
          <w:lang w:val="en-IE"/>
        </w:rPr>
      </w:pPr>
      <w:r w:rsidRPr="00FD132C">
        <w:rPr>
          <w:smallCaps/>
          <w:lang w:val="en-IE"/>
        </w:rPr>
        <w:t>Prince M.J., Bailey J.A., Barrowman P.R., Bishop K.J., Campbell G.R. &amp; Wood J.M.</w:t>
      </w:r>
      <w:r w:rsidRPr="00FD132C">
        <w:rPr>
          <w:lang w:val="en-IE"/>
        </w:rPr>
        <w:t xml:space="preserve"> (2003). Bovine spongiform encephalopathy. </w:t>
      </w:r>
      <w:r w:rsidRPr="00FD132C">
        <w:rPr>
          <w:i/>
          <w:lang w:val="en-IE"/>
        </w:rPr>
        <w:t xml:space="preserve">Rev. sci. tech. Off. int. </w:t>
      </w:r>
      <w:proofErr w:type="spellStart"/>
      <w:r w:rsidRPr="00FD132C">
        <w:rPr>
          <w:i/>
          <w:lang w:val="en-IE"/>
        </w:rPr>
        <w:t>Epiz</w:t>
      </w:r>
      <w:proofErr w:type="spellEnd"/>
      <w:r w:rsidRPr="00FD132C">
        <w:rPr>
          <w:i/>
          <w:lang w:val="en-IE"/>
        </w:rPr>
        <w:t>.,</w:t>
      </w:r>
      <w:r w:rsidRPr="00FD132C">
        <w:rPr>
          <w:lang w:val="en-IE"/>
        </w:rPr>
        <w:t xml:space="preserve"> </w:t>
      </w:r>
      <w:r w:rsidRPr="00FD132C">
        <w:rPr>
          <w:b/>
          <w:lang w:val="en-IE"/>
        </w:rPr>
        <w:t>22</w:t>
      </w:r>
      <w:r w:rsidRPr="00FD132C">
        <w:rPr>
          <w:lang w:val="en-IE"/>
        </w:rPr>
        <w:t>, 37–60 (English); 61–82 (French); 83–102 (Spanish).</w:t>
      </w:r>
    </w:p>
    <w:p w14:paraId="7BF8DCFC" w14:textId="77777777" w:rsidR="00C27990" w:rsidRPr="00FD132C" w:rsidRDefault="00C27990" w:rsidP="0074223C">
      <w:pPr>
        <w:pStyle w:val="Ref"/>
        <w:ind w:left="0" w:firstLine="0"/>
        <w:rPr>
          <w:lang w:val="en-IE"/>
        </w:rPr>
      </w:pPr>
      <w:r w:rsidRPr="00FD132C">
        <w:rPr>
          <w:smallCaps/>
          <w:lang w:val="en-IE"/>
        </w:rPr>
        <w:t xml:space="preserve">Schaller O., </w:t>
      </w:r>
      <w:proofErr w:type="spellStart"/>
      <w:r w:rsidRPr="00FD132C">
        <w:rPr>
          <w:smallCaps/>
          <w:lang w:val="en-IE"/>
        </w:rPr>
        <w:t>Fatzer</w:t>
      </w:r>
      <w:proofErr w:type="spellEnd"/>
      <w:r w:rsidRPr="00FD132C">
        <w:rPr>
          <w:smallCaps/>
          <w:lang w:val="en-IE"/>
        </w:rPr>
        <w:t xml:space="preserve"> R., Stack M., Clark J., Cooley W., </w:t>
      </w:r>
      <w:proofErr w:type="spellStart"/>
      <w:r w:rsidRPr="00FD132C">
        <w:rPr>
          <w:smallCaps/>
          <w:lang w:val="en-IE"/>
        </w:rPr>
        <w:t>Biffiger</w:t>
      </w:r>
      <w:proofErr w:type="spellEnd"/>
      <w:r w:rsidRPr="00FD132C">
        <w:rPr>
          <w:smallCaps/>
          <w:lang w:val="en-IE"/>
        </w:rPr>
        <w:t xml:space="preserve"> K., </w:t>
      </w:r>
      <w:proofErr w:type="spellStart"/>
      <w:r w:rsidRPr="00FD132C">
        <w:rPr>
          <w:smallCaps/>
          <w:lang w:val="en-IE"/>
        </w:rPr>
        <w:t>Egli</w:t>
      </w:r>
      <w:proofErr w:type="spellEnd"/>
      <w:r w:rsidRPr="00FD132C">
        <w:rPr>
          <w:smallCaps/>
          <w:lang w:val="en-IE"/>
        </w:rPr>
        <w:t xml:space="preserve"> S., </w:t>
      </w:r>
      <w:proofErr w:type="spellStart"/>
      <w:r w:rsidRPr="00FD132C">
        <w:rPr>
          <w:smallCaps/>
          <w:lang w:val="en-IE"/>
        </w:rPr>
        <w:t>Doherr</w:t>
      </w:r>
      <w:proofErr w:type="spellEnd"/>
      <w:r w:rsidRPr="00FD132C">
        <w:rPr>
          <w:smallCaps/>
          <w:lang w:val="en-IE"/>
        </w:rPr>
        <w:t xml:space="preserve"> M., </w:t>
      </w:r>
      <w:proofErr w:type="spellStart"/>
      <w:r w:rsidRPr="00FD132C">
        <w:rPr>
          <w:smallCaps/>
          <w:lang w:val="en-IE"/>
        </w:rPr>
        <w:t>Vandevelde</w:t>
      </w:r>
      <w:proofErr w:type="spellEnd"/>
      <w:r w:rsidRPr="00FD132C">
        <w:rPr>
          <w:smallCaps/>
          <w:lang w:val="en-IE"/>
        </w:rPr>
        <w:t xml:space="preserve"> M., Heim D., </w:t>
      </w:r>
      <w:proofErr w:type="spellStart"/>
      <w:r w:rsidRPr="00FD132C">
        <w:rPr>
          <w:smallCaps/>
          <w:lang w:val="en-IE"/>
        </w:rPr>
        <w:t>Oesch</w:t>
      </w:r>
      <w:proofErr w:type="spellEnd"/>
      <w:r w:rsidRPr="00FD132C">
        <w:rPr>
          <w:smallCaps/>
          <w:lang w:val="en-IE"/>
        </w:rPr>
        <w:t xml:space="preserve"> B. &amp; Moser</w:t>
      </w:r>
      <w:r w:rsidRPr="00FD132C">
        <w:rPr>
          <w:lang w:val="en-IE"/>
        </w:rPr>
        <w:t xml:space="preserve"> M. (1999). Validation of a Western immunoblotting procedure for bovine </w:t>
      </w:r>
      <w:proofErr w:type="spellStart"/>
      <w:r w:rsidRPr="00FD132C">
        <w:rPr>
          <w:lang w:val="en-IE"/>
        </w:rPr>
        <w:t>PrP</w:t>
      </w:r>
      <w:r w:rsidRPr="004E3697">
        <w:rPr>
          <w:vertAlign w:val="superscript"/>
          <w:lang w:val="en-IE"/>
        </w:rPr>
        <w:t>Sc</w:t>
      </w:r>
      <w:proofErr w:type="spellEnd"/>
      <w:r w:rsidRPr="00FD132C">
        <w:rPr>
          <w:lang w:val="en-IE"/>
        </w:rPr>
        <w:t xml:space="preserve"> detection and its use as a rapid surveillance method for the diagnosis of bovine spongiform </w:t>
      </w:r>
      <w:proofErr w:type="spellStart"/>
      <w:r w:rsidRPr="00FD132C">
        <w:rPr>
          <w:lang w:val="en-IE"/>
        </w:rPr>
        <w:t>encepahlopathy</w:t>
      </w:r>
      <w:proofErr w:type="spellEnd"/>
      <w:r w:rsidRPr="00FD132C">
        <w:rPr>
          <w:lang w:val="en-IE"/>
        </w:rPr>
        <w:t xml:space="preserve"> (BSE). </w:t>
      </w:r>
      <w:r w:rsidRPr="00FD132C">
        <w:rPr>
          <w:i/>
          <w:lang w:val="en-IE"/>
        </w:rPr>
        <w:t xml:space="preserve">Acta </w:t>
      </w:r>
      <w:proofErr w:type="spellStart"/>
      <w:r w:rsidRPr="00FD132C">
        <w:rPr>
          <w:i/>
          <w:lang w:val="en-IE"/>
        </w:rPr>
        <w:t>Neuropathol</w:t>
      </w:r>
      <w:proofErr w:type="spellEnd"/>
      <w:r w:rsidRPr="00FD132C">
        <w:rPr>
          <w:i/>
          <w:lang w:val="en-IE"/>
        </w:rPr>
        <w:t xml:space="preserve">. </w:t>
      </w:r>
      <w:r w:rsidRPr="00FD132C">
        <w:rPr>
          <w:iCs/>
          <w:lang w:val="en-IE"/>
        </w:rPr>
        <w:t>(</w:t>
      </w:r>
      <w:proofErr w:type="spellStart"/>
      <w:r w:rsidRPr="00FD132C">
        <w:rPr>
          <w:i/>
          <w:lang w:val="en-IE"/>
        </w:rPr>
        <w:t>Berl</w:t>
      </w:r>
      <w:proofErr w:type="spellEnd"/>
      <w:r w:rsidRPr="00FD132C">
        <w:rPr>
          <w:i/>
          <w:lang w:val="en-IE"/>
        </w:rPr>
        <w:t>.</w:t>
      </w:r>
      <w:r w:rsidRPr="00FD132C">
        <w:rPr>
          <w:iCs/>
          <w:lang w:val="en-IE"/>
        </w:rPr>
        <w:t>),</w:t>
      </w:r>
      <w:r w:rsidRPr="00FD132C">
        <w:rPr>
          <w:lang w:val="en-IE"/>
        </w:rPr>
        <w:t xml:space="preserve"> </w:t>
      </w:r>
      <w:r w:rsidRPr="00FD132C">
        <w:rPr>
          <w:b/>
          <w:lang w:val="en-IE"/>
        </w:rPr>
        <w:t>98</w:t>
      </w:r>
      <w:r w:rsidRPr="00FD132C">
        <w:rPr>
          <w:lang w:val="en-IE"/>
        </w:rPr>
        <w:t>, 437–443.</w:t>
      </w:r>
    </w:p>
    <w:p w14:paraId="7BF8DCFD" w14:textId="77777777" w:rsidR="000C3EC9" w:rsidRPr="00FD132C" w:rsidRDefault="000C3EC9" w:rsidP="0074223C">
      <w:pPr>
        <w:pStyle w:val="Ref"/>
        <w:ind w:left="0" w:firstLine="0"/>
        <w:rPr>
          <w:lang w:val="en-IE"/>
        </w:rPr>
      </w:pPr>
      <w:r w:rsidRPr="00FD132C">
        <w:rPr>
          <w:smallCaps/>
          <w:lang w:val="en-IE"/>
        </w:rPr>
        <w:t>Stack M.J.</w:t>
      </w:r>
      <w:r w:rsidRPr="00FD132C">
        <w:rPr>
          <w:lang w:val="en-IE"/>
        </w:rPr>
        <w:t xml:space="preserve"> </w:t>
      </w:r>
      <w:r w:rsidR="00611C9A" w:rsidRPr="00FD132C">
        <w:rPr>
          <w:lang w:val="en-IE"/>
        </w:rPr>
        <w:t xml:space="preserve">(2004). </w:t>
      </w:r>
      <w:r w:rsidRPr="00FD132C">
        <w:rPr>
          <w:lang w:val="en-IE"/>
        </w:rPr>
        <w:t xml:space="preserve">Western immunoblotting techniques for the study of transmissible spongiform encephalopathies </w:t>
      </w:r>
      <w:r w:rsidRPr="00FD132C">
        <w:rPr>
          <w:i/>
          <w:lang w:val="en-IE"/>
        </w:rPr>
        <w:t>In:</w:t>
      </w:r>
      <w:r w:rsidRPr="00FD132C">
        <w:rPr>
          <w:lang w:val="en-IE"/>
        </w:rPr>
        <w:t xml:space="preserve"> Techniques in </w:t>
      </w:r>
      <w:r w:rsidR="00611C9A" w:rsidRPr="00FD132C">
        <w:rPr>
          <w:lang w:val="en-IE"/>
        </w:rPr>
        <w:t>Prion Research</w:t>
      </w:r>
      <w:r w:rsidRPr="00FD132C">
        <w:rPr>
          <w:lang w:val="en-IE"/>
        </w:rPr>
        <w:t xml:space="preserve">, Lehmann S. </w:t>
      </w:r>
      <w:r w:rsidR="001364FA" w:rsidRPr="00FD132C">
        <w:rPr>
          <w:lang w:val="en-IE"/>
        </w:rPr>
        <w:t xml:space="preserve">&amp; </w:t>
      </w:r>
      <w:r w:rsidRPr="00FD132C">
        <w:rPr>
          <w:lang w:val="en-IE"/>
        </w:rPr>
        <w:t>Grassi J.</w:t>
      </w:r>
      <w:r w:rsidR="001364FA" w:rsidRPr="00FD132C">
        <w:rPr>
          <w:lang w:val="en-IE"/>
        </w:rPr>
        <w:t>,</w:t>
      </w:r>
      <w:r w:rsidRPr="00FD132C">
        <w:rPr>
          <w:lang w:val="en-IE"/>
        </w:rPr>
        <w:t xml:space="preserve"> </w:t>
      </w:r>
      <w:r w:rsidR="00611C9A" w:rsidRPr="00FD132C">
        <w:rPr>
          <w:lang w:val="en-IE"/>
        </w:rPr>
        <w:t xml:space="preserve">eds. </w:t>
      </w:r>
      <w:proofErr w:type="spellStart"/>
      <w:r w:rsidR="001364FA" w:rsidRPr="00FD132C">
        <w:rPr>
          <w:lang w:val="en-IE"/>
        </w:rPr>
        <w:t>Birkhauser</w:t>
      </w:r>
      <w:proofErr w:type="spellEnd"/>
      <w:r w:rsidR="001364FA" w:rsidRPr="00FD132C">
        <w:rPr>
          <w:lang w:val="en-IE"/>
        </w:rPr>
        <w:t xml:space="preserve">, </w:t>
      </w:r>
      <w:r w:rsidRPr="00FD132C">
        <w:rPr>
          <w:lang w:val="en-IE"/>
        </w:rPr>
        <w:t>Basel</w:t>
      </w:r>
      <w:r w:rsidR="001364FA" w:rsidRPr="00FD132C">
        <w:rPr>
          <w:lang w:val="en-IE"/>
        </w:rPr>
        <w:t>, Switzerland</w:t>
      </w:r>
      <w:r w:rsidRPr="00FD132C">
        <w:rPr>
          <w:lang w:val="en-IE"/>
        </w:rPr>
        <w:t>. ISBN 3-7643-2415-5</w:t>
      </w:r>
    </w:p>
    <w:p w14:paraId="7BF8DCFE" w14:textId="77777777" w:rsidR="00C27990" w:rsidRPr="00FD132C" w:rsidRDefault="00C27990" w:rsidP="0074223C">
      <w:pPr>
        <w:pStyle w:val="Ref"/>
        <w:ind w:left="0" w:firstLine="0"/>
        <w:rPr>
          <w:lang w:val="en-IE"/>
        </w:rPr>
      </w:pPr>
      <w:r w:rsidRPr="00FD132C">
        <w:rPr>
          <w:smallCaps/>
          <w:lang w:val="en-IE"/>
        </w:rPr>
        <w:t xml:space="preserve">Simmons M.M., Harris P., Jeffrey M., Meek S.C., </w:t>
      </w:r>
      <w:proofErr w:type="spellStart"/>
      <w:r w:rsidRPr="00FD132C">
        <w:rPr>
          <w:smallCaps/>
          <w:lang w:val="en-IE"/>
        </w:rPr>
        <w:t>Blamire</w:t>
      </w:r>
      <w:proofErr w:type="spellEnd"/>
      <w:r w:rsidRPr="00FD132C">
        <w:rPr>
          <w:smallCaps/>
          <w:lang w:val="en-IE"/>
        </w:rPr>
        <w:t xml:space="preserve"> I.W.H. &amp; Wells G.A.H.</w:t>
      </w:r>
      <w:r w:rsidRPr="00FD132C">
        <w:rPr>
          <w:lang w:val="en-IE"/>
        </w:rPr>
        <w:t xml:space="preserve"> (1996). BSE in Great Britain: consistency of the </w:t>
      </w:r>
      <w:proofErr w:type="spellStart"/>
      <w:r w:rsidRPr="00FD132C">
        <w:rPr>
          <w:lang w:val="en-IE"/>
        </w:rPr>
        <w:t>neurohistopathological</w:t>
      </w:r>
      <w:proofErr w:type="spellEnd"/>
      <w:r w:rsidRPr="00FD132C">
        <w:rPr>
          <w:lang w:val="en-IE"/>
        </w:rPr>
        <w:t xml:space="preserve"> findings in two random annual samples of clinically suspect cases</w:t>
      </w:r>
      <w:r w:rsidRPr="00FD132C">
        <w:rPr>
          <w:i/>
          <w:lang w:val="en-IE"/>
        </w:rPr>
        <w:t>. Vet. Rec.</w:t>
      </w:r>
      <w:r w:rsidRPr="00FD132C">
        <w:rPr>
          <w:lang w:val="en-IE"/>
        </w:rPr>
        <w:t xml:space="preserve">, </w:t>
      </w:r>
      <w:r w:rsidRPr="00FD132C">
        <w:rPr>
          <w:b/>
          <w:lang w:val="en-IE"/>
        </w:rPr>
        <w:t>138</w:t>
      </w:r>
      <w:r w:rsidRPr="00FD132C">
        <w:rPr>
          <w:lang w:val="en-IE"/>
        </w:rPr>
        <w:t>, 175–177.</w:t>
      </w:r>
    </w:p>
    <w:p w14:paraId="7BF8DCFF" w14:textId="77777777" w:rsidR="00C27990" w:rsidRPr="00FD132C" w:rsidRDefault="00C27990" w:rsidP="0074223C">
      <w:pPr>
        <w:pStyle w:val="Ref"/>
        <w:ind w:left="0" w:firstLine="0"/>
      </w:pPr>
      <w:r w:rsidRPr="00FD132C">
        <w:rPr>
          <w:smallCaps/>
        </w:rPr>
        <w:t xml:space="preserve">Wells G.A.H. &amp; </w:t>
      </w:r>
      <w:proofErr w:type="spellStart"/>
      <w:r w:rsidRPr="00FD132C">
        <w:rPr>
          <w:smallCaps/>
        </w:rPr>
        <w:t>Wilesmith</w:t>
      </w:r>
      <w:proofErr w:type="spellEnd"/>
      <w:r w:rsidRPr="00FD132C">
        <w:rPr>
          <w:smallCaps/>
        </w:rPr>
        <w:t xml:space="preserve"> J.W.</w:t>
      </w:r>
      <w:r w:rsidRPr="00FD132C">
        <w:t xml:space="preserve"> (1995). </w:t>
      </w:r>
      <w:r w:rsidRPr="00FD132C">
        <w:rPr>
          <w:lang w:val="en-IE"/>
        </w:rPr>
        <w:t xml:space="preserve">The neuropathology and epidemiology of bovine spongiform encephalopathy. </w:t>
      </w:r>
      <w:r w:rsidRPr="00FD132C">
        <w:rPr>
          <w:i/>
          <w:lang w:val="en-IE"/>
        </w:rPr>
        <w:t xml:space="preserve">Brain </w:t>
      </w:r>
      <w:proofErr w:type="spellStart"/>
      <w:r w:rsidRPr="00FD132C">
        <w:rPr>
          <w:i/>
          <w:lang w:val="en-IE"/>
        </w:rPr>
        <w:t>Pathol</w:t>
      </w:r>
      <w:proofErr w:type="spellEnd"/>
      <w:r w:rsidRPr="00FD132C">
        <w:rPr>
          <w:lang w:val="en-IE"/>
        </w:rPr>
        <w:t xml:space="preserve">., </w:t>
      </w:r>
      <w:r w:rsidRPr="00FD132C">
        <w:rPr>
          <w:b/>
          <w:lang w:val="en-IE"/>
        </w:rPr>
        <w:t>5</w:t>
      </w:r>
      <w:r w:rsidRPr="00FD132C">
        <w:rPr>
          <w:lang w:val="en-IE"/>
        </w:rPr>
        <w:t>, 91–103.</w:t>
      </w:r>
      <w:r w:rsidRPr="00FD132C">
        <w:t xml:space="preserve"> </w:t>
      </w:r>
    </w:p>
    <w:p w14:paraId="7BF8DD00" w14:textId="77777777" w:rsidR="00C27990" w:rsidRPr="00FD132C" w:rsidRDefault="00C27990" w:rsidP="0074223C">
      <w:pPr>
        <w:pStyle w:val="Ref"/>
        <w:ind w:left="0" w:firstLine="0"/>
        <w:rPr>
          <w:lang w:val="en-IE"/>
        </w:rPr>
      </w:pPr>
      <w:proofErr w:type="spellStart"/>
      <w:r w:rsidRPr="00FD132C">
        <w:rPr>
          <w:smallCaps/>
          <w:lang w:val="en-IE"/>
        </w:rPr>
        <w:t>Wilesmith</w:t>
      </w:r>
      <w:proofErr w:type="spellEnd"/>
      <w:r w:rsidRPr="00FD132C">
        <w:rPr>
          <w:smallCaps/>
          <w:lang w:val="en-IE"/>
        </w:rPr>
        <w:t xml:space="preserve"> J.W., </w:t>
      </w:r>
      <w:proofErr w:type="spellStart"/>
      <w:r w:rsidRPr="00FD132C">
        <w:rPr>
          <w:smallCaps/>
          <w:lang w:val="en-IE"/>
        </w:rPr>
        <w:t>Hoinville</w:t>
      </w:r>
      <w:proofErr w:type="spellEnd"/>
      <w:r w:rsidRPr="00FD132C">
        <w:rPr>
          <w:smallCaps/>
          <w:lang w:val="en-IE"/>
        </w:rPr>
        <w:t xml:space="preserve"> L.J., Ryan J.B.M. &amp; Sayers A.R.</w:t>
      </w:r>
      <w:r w:rsidRPr="00FD132C">
        <w:rPr>
          <w:lang w:val="en-IE"/>
        </w:rPr>
        <w:t xml:space="preserve"> (1992). Bovine spongiform encephalopathy: aspects of the clinical picture and analyses of possible changes 1986–1990. </w:t>
      </w:r>
      <w:r w:rsidRPr="00FD132C">
        <w:rPr>
          <w:i/>
          <w:lang w:val="en-IE"/>
        </w:rPr>
        <w:t xml:space="preserve">Vet. Rec., </w:t>
      </w:r>
      <w:r w:rsidRPr="005810E6">
        <w:rPr>
          <w:b/>
          <w:lang w:val="en-IE"/>
        </w:rPr>
        <w:t>130</w:t>
      </w:r>
      <w:r w:rsidRPr="00FD132C">
        <w:rPr>
          <w:lang w:val="en-IE"/>
        </w:rPr>
        <w:t>, 197–201.</w:t>
      </w:r>
    </w:p>
    <w:p w14:paraId="7BF8DD02" w14:textId="77777777" w:rsidR="00C27990" w:rsidRPr="00FD132C" w:rsidRDefault="00C27990" w:rsidP="00BA220A">
      <w:pPr>
        <w:pStyle w:val="rtoiles"/>
        <w:spacing w:before="120" w:after="120"/>
        <w:rPr>
          <w:lang w:val="en-IE"/>
        </w:rPr>
      </w:pPr>
      <w:bookmarkStart w:id="1" w:name="resmicr"/>
      <w:r w:rsidRPr="00FD132C">
        <w:rPr>
          <w:lang w:val="en-IE"/>
        </w:rPr>
        <w:t>*</w:t>
      </w:r>
      <w:r w:rsidRPr="00FD132C">
        <w:rPr>
          <w:lang w:val="en-IE"/>
        </w:rPr>
        <w:br/>
        <w:t>*</w:t>
      </w:r>
      <w:r w:rsidR="00F210F4" w:rsidRPr="00FD132C">
        <w:rPr>
          <w:lang w:val="en-IE"/>
        </w:rPr>
        <w:t xml:space="preserve">   </w:t>
      </w:r>
      <w:r w:rsidRPr="00FD132C">
        <w:rPr>
          <w:lang w:val="en-IE"/>
        </w:rPr>
        <w:t>*</w:t>
      </w:r>
    </w:p>
    <w:bookmarkEnd w:id="1"/>
    <w:p w14:paraId="7BF8DD04" w14:textId="702F3D5A" w:rsidR="00D246A5" w:rsidRDefault="00D246A5" w:rsidP="00893068">
      <w:pPr>
        <w:pStyle w:val="Reflabnote"/>
        <w:rPr>
          <w:lang w:val="en-IE"/>
        </w:rPr>
      </w:pPr>
      <w:r w:rsidRPr="00FD132C">
        <w:rPr>
          <w:b/>
          <w:bCs/>
          <w:lang w:val="en-IE"/>
        </w:rPr>
        <w:t>NB:</w:t>
      </w:r>
      <w:r w:rsidRPr="00FD132C">
        <w:t xml:space="preserve"> There are OIE Reference Laboratories for </w:t>
      </w:r>
      <w:r w:rsidRPr="00FD132C">
        <w:rPr>
          <w:lang w:val="en-IE"/>
        </w:rPr>
        <w:t>Bovine spongiform encephalopathy</w:t>
      </w:r>
      <w:r w:rsidRPr="00FD132C">
        <w:br/>
        <w:t xml:space="preserve">(see Table in </w:t>
      </w:r>
      <w:r w:rsidR="00A10461" w:rsidRPr="00FD132C">
        <w:t>Part 4</w:t>
      </w:r>
      <w:r w:rsidRPr="00FD132C">
        <w:t xml:space="preserve"> of this </w:t>
      </w:r>
      <w:r w:rsidRPr="00FD132C">
        <w:rPr>
          <w:i/>
        </w:rPr>
        <w:t xml:space="preserve">Terrestrial Manual </w:t>
      </w:r>
      <w:r w:rsidRPr="00FD132C">
        <w:t xml:space="preserve">or consult the OIE Web site for the most up-to-date list: </w:t>
      </w:r>
      <w:hyperlink r:id="rId16" w:history="1">
        <w:r w:rsidR="004E3697" w:rsidRPr="00974521">
          <w:rPr>
            <w:rStyle w:val="Lienhypertexte"/>
          </w:rPr>
          <w:t>http://www.oie.int/en/scientific-expertise/reference-laboratories/list-of-laboratories</w:t>
        </w:r>
      </w:hyperlink>
      <w:r w:rsidR="004E3697">
        <w:t>/)</w:t>
      </w:r>
      <w:r w:rsidR="004E3697" w:rsidRPr="004E3697">
        <w:t xml:space="preserve"> </w:t>
      </w:r>
      <w:r w:rsidR="004E3697">
        <w:br/>
      </w:r>
      <w:r w:rsidRPr="00FD132C">
        <w:t xml:space="preserve">Please contact the OIE Reference Laboratories for any further information on </w:t>
      </w:r>
      <w:r w:rsidRPr="00FD132C">
        <w:br/>
        <w:t xml:space="preserve">diagnostic tests and reagents for </w:t>
      </w:r>
      <w:r w:rsidRPr="00FD132C">
        <w:rPr>
          <w:lang w:val="en-IE"/>
        </w:rPr>
        <w:t>bovine spongiform encephalopathy</w:t>
      </w:r>
    </w:p>
    <w:p w14:paraId="50375CFB" w14:textId="7A0AF29B" w:rsidR="004E3697" w:rsidRPr="00EB224B" w:rsidRDefault="004E3697" w:rsidP="004E3697">
      <w:pPr>
        <w:spacing w:before="240" w:after="240" w:line="240" w:lineRule="auto"/>
        <w:jc w:val="center"/>
        <w:rPr>
          <w:rFonts w:ascii="Arial" w:hAnsi="Arial" w:cs="Arial"/>
          <w:sz w:val="18"/>
          <w:szCs w:val="18"/>
          <w:lang w:val="en-IE"/>
        </w:rPr>
      </w:pPr>
      <w:r w:rsidRPr="00A87EF7">
        <w:rPr>
          <w:rFonts w:ascii="Arial" w:hAnsi="Arial" w:cs="Arial"/>
          <w:b/>
          <w:smallCaps/>
          <w:sz w:val="18"/>
          <w:szCs w:val="18"/>
        </w:rPr>
        <w:t>NB:</w:t>
      </w:r>
      <w:r w:rsidRPr="00EB224B">
        <w:rPr>
          <w:rFonts w:ascii="Arial" w:hAnsi="Arial" w:cs="Arial"/>
          <w:smallCaps/>
          <w:sz w:val="18"/>
          <w:szCs w:val="18"/>
        </w:rPr>
        <w:t xml:space="preserve"> First adopted in 199</w:t>
      </w:r>
      <w:r>
        <w:rPr>
          <w:rFonts w:ascii="Arial" w:hAnsi="Arial" w:cs="Arial"/>
          <w:smallCaps/>
          <w:sz w:val="18"/>
          <w:szCs w:val="18"/>
        </w:rPr>
        <w:t>1.</w:t>
      </w:r>
      <w:r w:rsidRPr="00EB224B">
        <w:rPr>
          <w:rFonts w:ascii="Arial" w:hAnsi="Arial" w:cs="Arial"/>
          <w:smallCaps/>
          <w:sz w:val="18"/>
          <w:szCs w:val="18"/>
        </w:rPr>
        <w:t xml:space="preserve"> Most recent updates adopted in 20</w:t>
      </w:r>
      <w:r>
        <w:rPr>
          <w:rFonts w:ascii="Arial" w:hAnsi="Arial" w:cs="Arial"/>
          <w:smallCaps/>
          <w:sz w:val="18"/>
          <w:szCs w:val="18"/>
        </w:rPr>
        <w:t>16.</w:t>
      </w:r>
    </w:p>
    <w:p w14:paraId="708677B7" w14:textId="77777777" w:rsidR="00071A19" w:rsidRPr="004E3697" w:rsidRDefault="00071A19" w:rsidP="00893068">
      <w:pPr>
        <w:pStyle w:val="Reflabnote"/>
        <w:rPr>
          <w:lang w:val="en-IE"/>
        </w:rPr>
      </w:pPr>
    </w:p>
    <w:sectPr w:rsidR="00071A19" w:rsidRPr="004E3697" w:rsidSect="00D03A25">
      <w:headerReference w:type="even" r:id="rId17"/>
      <w:headerReference w:type="default" r:id="rId18"/>
      <w:footerReference w:type="even" r:id="rId19"/>
      <w:footerReference w:type="default" r:id="rId20"/>
      <w:footerReference w:type="first" r:id="rId21"/>
      <w:type w:val="oddPage"/>
      <w:pgSz w:w="11907" w:h="16840" w:code="9"/>
      <w:pgMar w:top="1418" w:right="1418" w:bottom="1418" w:left="1418" w:header="567" w:footer="567" w:gutter="0"/>
      <w:paperSrc w:first="259" w:other="259"/>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2CD6F" w14:textId="77777777" w:rsidR="00B0342C" w:rsidRDefault="00B0342C">
      <w:r>
        <w:separator/>
      </w:r>
    </w:p>
  </w:endnote>
  <w:endnote w:type="continuationSeparator" w:id="0">
    <w:p w14:paraId="1EC6F884" w14:textId="77777777" w:rsidR="00B0342C" w:rsidRDefault="00B0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C9F51" w14:textId="0E9CBB63" w:rsidR="001D6FA5" w:rsidRPr="001D6FA5" w:rsidRDefault="001D6FA5" w:rsidP="001D6FA5">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r>
      <w:rPr>
        <w:rFonts w:ascii="Ottawa" w:hAnsi="Ottawa"/>
        <w:sz w:val="22"/>
      </w:rPr>
      <w:tab/>
    </w: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Pr>
        <w:rFonts w:ascii="Ottawa" w:hAnsi="Ottawa"/>
        <w:sz w:val="22"/>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140C5" w14:textId="6224ABCF" w:rsidR="001D6FA5" w:rsidRPr="001D6FA5" w:rsidRDefault="001D6FA5" w:rsidP="001D6FA5">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Pr>
        <w:rFonts w:ascii="Ottawa" w:hAnsi="Ottawa"/>
        <w:sz w:val="22"/>
      </w:rPr>
      <w:t>20</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E6120" w14:textId="61FF9BDB" w:rsidR="00352B29" w:rsidRPr="00352B29" w:rsidRDefault="00352B29" w:rsidP="00352B2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1D6FA5">
      <w:rPr>
        <w:rFonts w:ascii="Ottawa" w:hAnsi="Ottawa"/>
        <w:sz w:val="22"/>
      </w:rPr>
      <w:t>20</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3</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C017C" w14:textId="77777777" w:rsidR="00B0342C" w:rsidRDefault="00B0342C">
      <w:r>
        <w:separator/>
      </w:r>
    </w:p>
  </w:footnote>
  <w:footnote w:type="continuationSeparator" w:id="0">
    <w:p w14:paraId="5523ABF4" w14:textId="77777777" w:rsidR="00B0342C" w:rsidRDefault="00B0342C">
      <w:r>
        <w:continuationSeparator/>
      </w:r>
    </w:p>
  </w:footnote>
  <w:footnote w:id="1">
    <w:p w14:paraId="20D7E0F7" w14:textId="0C84C675" w:rsidR="000D0B05" w:rsidRPr="00C01211" w:rsidRDefault="000D0B05" w:rsidP="00011154">
      <w:pPr>
        <w:pStyle w:val="Notedebasdepage"/>
        <w:spacing w:line="240" w:lineRule="auto"/>
        <w:ind w:left="425" w:hanging="425"/>
        <w:rPr>
          <w:rFonts w:ascii="Arial" w:hAnsi="Arial" w:cs="Arial"/>
          <w:sz w:val="16"/>
          <w:szCs w:val="16"/>
        </w:rPr>
      </w:pPr>
      <w:r w:rsidRPr="00C01211">
        <w:rPr>
          <w:rStyle w:val="Appelnotedebasdep"/>
          <w:rFonts w:ascii="Arial" w:hAnsi="Arial" w:cs="Arial"/>
          <w:sz w:val="16"/>
          <w:szCs w:val="16"/>
          <w:vertAlign w:val="baseline"/>
        </w:rPr>
        <w:footnoteRef/>
      </w:r>
      <w:r w:rsidRPr="00C01211">
        <w:rPr>
          <w:rFonts w:ascii="Arial" w:hAnsi="Arial" w:cs="Arial"/>
          <w:sz w:val="16"/>
          <w:szCs w:val="16"/>
        </w:rPr>
        <w:t xml:space="preserve"> </w:t>
      </w:r>
      <w:r w:rsidRPr="00C01211">
        <w:rPr>
          <w:rFonts w:ascii="Arial" w:hAnsi="Arial" w:cs="Arial"/>
          <w:sz w:val="16"/>
          <w:szCs w:val="16"/>
        </w:rPr>
        <w:tab/>
      </w:r>
      <w:hyperlink r:id="rId1" w:history="1">
        <w:r w:rsidR="00A02FF7" w:rsidRPr="0092579E">
          <w:rPr>
            <w:rStyle w:val="Lienhypertexte"/>
            <w:rFonts w:ascii="Arial" w:hAnsi="Arial" w:cs="Arial"/>
            <w:sz w:val="16"/>
            <w:szCs w:val="16"/>
            <w:lang w:val="en-IE"/>
          </w:rPr>
          <w:t>https://science.vla.gov.uk/tseglobalnet/</w:t>
        </w:r>
      </w:hyperlink>
      <w:r w:rsidR="00A02FF7">
        <w:rPr>
          <w:rFonts w:ascii="Arial" w:hAnsi="Arial" w:cs="Arial"/>
          <w:sz w:val="16"/>
          <w:szCs w:val="16"/>
          <w:lang w:val="en-IE"/>
        </w:rPr>
        <w:t xml:space="preserve"> </w:t>
      </w:r>
      <w:r w:rsidRPr="00A02FF7">
        <w:rPr>
          <w:rFonts w:ascii="Arial" w:hAnsi="Arial" w:cs="Arial"/>
          <w:strike/>
          <w:sz w:val="16"/>
          <w:szCs w:val="16"/>
        </w:rPr>
        <w:t xml:space="preserve">The laboratory is also the </w:t>
      </w:r>
      <w:r w:rsidRPr="00A02FF7">
        <w:rPr>
          <w:rFonts w:ascii="Arial" w:hAnsi="Arial" w:cs="Arial"/>
          <w:strike/>
          <w:sz w:val="16"/>
          <w:szCs w:val="16"/>
          <w:lang w:val="en-IE"/>
        </w:rPr>
        <w:t xml:space="preserve">European Commission (EC) Transmissible Spongiform Encephalopathies </w:t>
      </w:r>
      <w:r w:rsidRPr="00A02FF7">
        <w:rPr>
          <w:rFonts w:ascii="Arial" w:hAnsi="Arial" w:cs="Arial"/>
          <w:iCs/>
          <w:strike/>
          <w:sz w:val="16"/>
          <w:szCs w:val="16"/>
          <w:lang w:val="en-IE"/>
        </w:rPr>
        <w:t>(</w:t>
      </w:r>
      <w:r w:rsidRPr="00A02FF7">
        <w:rPr>
          <w:rFonts w:ascii="Arial" w:hAnsi="Arial" w:cs="Arial"/>
          <w:strike/>
          <w:sz w:val="16"/>
          <w:szCs w:val="16"/>
          <w:lang w:val="en-IE"/>
        </w:rPr>
        <w:t>TSEs</w:t>
      </w:r>
      <w:r w:rsidRPr="00A02FF7">
        <w:rPr>
          <w:rFonts w:ascii="Arial" w:hAnsi="Arial" w:cs="Arial"/>
          <w:iCs/>
          <w:strike/>
          <w:sz w:val="16"/>
          <w:szCs w:val="16"/>
          <w:lang w:val="en-IE"/>
        </w:rPr>
        <w:t xml:space="preserve">) </w:t>
      </w:r>
      <w:r w:rsidRPr="00A02FF7">
        <w:rPr>
          <w:rFonts w:ascii="Arial" w:hAnsi="Arial" w:cs="Arial"/>
          <w:strike/>
          <w:sz w:val="16"/>
          <w:szCs w:val="16"/>
        </w:rPr>
        <w:t>European Union Reference Laboratory (EURL). All its</w:t>
      </w:r>
      <w:r w:rsidRPr="00A02FF7">
        <w:rPr>
          <w:rFonts w:ascii="Arial" w:hAnsi="Arial" w:cs="Arial"/>
          <w:strike/>
          <w:sz w:val="16"/>
          <w:szCs w:val="16"/>
          <w:lang w:val="en-US" w:eastAsia="en-US"/>
        </w:rPr>
        <w:t xml:space="preserve"> Web Resources can be found at:</w:t>
      </w:r>
      <w:r w:rsidRPr="00A02FF7">
        <w:rPr>
          <w:rFonts w:ascii="Arial" w:hAnsi="Arial" w:cs="Arial"/>
          <w:strike/>
          <w:sz w:val="16"/>
          <w:szCs w:val="16"/>
          <w:lang w:val="en-IE"/>
        </w:rPr>
        <w:t xml:space="preserve"> </w:t>
      </w:r>
      <w:hyperlink r:id="rId2" w:history="1">
        <w:r w:rsidRPr="00A02FF7">
          <w:rPr>
            <w:rStyle w:val="Lienhypertexte"/>
            <w:rFonts w:ascii="Arial" w:hAnsi="Arial" w:cs="Arial"/>
            <w:strike/>
            <w:sz w:val="16"/>
            <w:szCs w:val="16"/>
            <w:lang w:val="en-IE"/>
          </w:rPr>
          <w:t>http://www.tse-lab-net.eu/</w:t>
        </w:r>
      </w:hyperlink>
      <w:r w:rsidRPr="00A02FF7">
        <w:rPr>
          <w:rFonts w:ascii="Arial" w:hAnsi="Arial" w:cs="Arial"/>
          <w:strike/>
          <w:sz w:val="16"/>
          <w:szCs w:val="16"/>
          <w:u w:val="double"/>
          <w:lang w:val="en-IE"/>
        </w:rPr>
        <w:t xml:space="preserve"> </w:t>
      </w:r>
      <w:hyperlink r:id="rId3" w:history="1"/>
    </w:p>
  </w:footnote>
  <w:footnote w:id="2">
    <w:p w14:paraId="002BB942" w14:textId="77777777" w:rsidR="00AD385E" w:rsidRPr="003B3EF6" w:rsidRDefault="00AD385E" w:rsidP="00AD385E">
      <w:pPr>
        <w:pStyle w:val="Notedebasdepage"/>
        <w:spacing w:line="240" w:lineRule="auto"/>
        <w:ind w:left="425" w:hanging="425"/>
        <w:rPr>
          <w:rFonts w:ascii="Arial" w:hAnsi="Arial" w:cs="Arial"/>
          <w:sz w:val="16"/>
          <w:szCs w:val="16"/>
          <w:lang w:val="en-IE"/>
        </w:rPr>
      </w:pPr>
      <w:r w:rsidRPr="003B3EF6">
        <w:rPr>
          <w:rStyle w:val="Appelnotedebasdep"/>
          <w:rFonts w:ascii="Arial" w:hAnsi="Arial" w:cs="Arial"/>
          <w:sz w:val="16"/>
          <w:szCs w:val="16"/>
          <w:vertAlign w:val="baseline"/>
        </w:rPr>
        <w:footnoteRef/>
      </w:r>
      <w:r w:rsidRPr="003B3EF6">
        <w:rPr>
          <w:rFonts w:ascii="Arial" w:hAnsi="Arial" w:cs="Arial"/>
          <w:sz w:val="16"/>
          <w:szCs w:val="16"/>
        </w:rPr>
        <w:t xml:space="preserve"> </w:t>
      </w:r>
      <w:r w:rsidRPr="003B3EF6">
        <w:rPr>
          <w:rFonts w:ascii="Arial" w:hAnsi="Arial" w:cs="Arial"/>
          <w:sz w:val="16"/>
          <w:szCs w:val="16"/>
          <w:lang w:val="en-IE"/>
        </w:rPr>
        <w:tab/>
      </w:r>
      <w:r w:rsidRPr="008E4B69">
        <w:rPr>
          <w:rFonts w:ascii="Arial" w:hAnsi="Arial" w:cs="Arial"/>
          <w:sz w:val="16"/>
          <w:szCs w:val="16"/>
          <w:highlight w:val="yellow"/>
        </w:rPr>
        <w:t xml:space="preserve">Some of the scoring on this table has been updated on advice from experts. </w:t>
      </w:r>
      <w:r>
        <w:rPr>
          <w:rFonts w:ascii="Arial" w:hAnsi="Arial" w:cs="Arial"/>
          <w:sz w:val="16"/>
          <w:szCs w:val="16"/>
          <w:highlight w:val="yellow"/>
        </w:rPr>
        <w:t>For</w:t>
      </w:r>
      <w:r w:rsidRPr="008E4B69">
        <w:rPr>
          <w:rFonts w:ascii="Arial" w:hAnsi="Arial" w:cs="Arial"/>
          <w:sz w:val="16"/>
          <w:szCs w:val="16"/>
          <w:highlight w:val="yellow"/>
        </w:rPr>
        <w:t xml:space="preserve"> clarity</w:t>
      </w:r>
      <w:r>
        <w:rPr>
          <w:rFonts w:ascii="Arial" w:hAnsi="Arial" w:cs="Arial"/>
          <w:sz w:val="16"/>
          <w:szCs w:val="16"/>
          <w:highlight w:val="yellow"/>
        </w:rPr>
        <w:t>, the changes have been highlighted in yellow</w:t>
      </w:r>
      <w:r w:rsidRPr="008E4B69">
        <w:rPr>
          <w:rFonts w:ascii="Arial" w:hAnsi="Arial" w:cs="Arial"/>
          <w:sz w:val="16"/>
          <w:szCs w:val="16"/>
          <w:highlight w:val="yellow"/>
        </w:rPr>
        <w:t>.</w:t>
      </w:r>
      <w:r>
        <w:rPr>
          <w:rFonts w:ascii="Arial" w:hAnsi="Arial" w:cs="Arial"/>
          <w:sz w:val="16"/>
          <w:szCs w:val="16"/>
        </w:rPr>
        <w:t xml:space="preserve"> </w:t>
      </w:r>
    </w:p>
  </w:footnote>
  <w:footnote w:id="3">
    <w:p w14:paraId="7BF8DD29" w14:textId="77777777" w:rsidR="000D0B05" w:rsidRPr="00100261" w:rsidRDefault="000D0B05" w:rsidP="002943E5">
      <w:pPr>
        <w:pStyle w:val="Notedebasdepage"/>
        <w:tabs>
          <w:tab w:val="left" w:pos="-1843"/>
        </w:tabs>
        <w:spacing w:line="240" w:lineRule="auto"/>
        <w:ind w:left="425" w:hanging="425"/>
        <w:rPr>
          <w:rFonts w:ascii="Arial" w:hAnsi="Arial" w:cs="Arial"/>
        </w:rPr>
      </w:pPr>
      <w:r w:rsidRPr="00100261">
        <w:rPr>
          <w:rStyle w:val="Appelnotedebasdep"/>
          <w:rFonts w:ascii="Arial" w:hAnsi="Arial" w:cs="Arial"/>
          <w:sz w:val="16"/>
          <w:szCs w:val="16"/>
          <w:vertAlign w:val="baseline"/>
        </w:rPr>
        <w:footnoteRef/>
      </w:r>
      <w:r w:rsidRPr="00100261">
        <w:rPr>
          <w:rFonts w:ascii="Arial" w:hAnsi="Arial" w:cs="Arial"/>
          <w:sz w:val="16"/>
          <w:szCs w:val="16"/>
        </w:rPr>
        <w:t xml:space="preserve"> </w:t>
      </w:r>
      <w:r w:rsidRPr="00100261">
        <w:rPr>
          <w:rFonts w:ascii="Arial" w:hAnsi="Arial" w:cs="Arial"/>
          <w:sz w:val="16"/>
          <w:szCs w:val="16"/>
        </w:rPr>
        <w:tab/>
        <w:t>A combination of agent identification methods applied on the same clinical sample is recommended.</w:t>
      </w:r>
    </w:p>
  </w:footnote>
  <w:footnote w:id="4">
    <w:p w14:paraId="2CD761E7" w14:textId="48F7A752" w:rsidR="00A02FF7" w:rsidRPr="00A02FF7" w:rsidRDefault="00A02FF7" w:rsidP="00A02FF7">
      <w:pPr>
        <w:pStyle w:val="Notedebasdepage"/>
        <w:spacing w:line="240" w:lineRule="auto"/>
        <w:ind w:left="426" w:hanging="426"/>
        <w:rPr>
          <w:rFonts w:ascii="Arial" w:hAnsi="Arial" w:cs="Arial"/>
          <w:sz w:val="16"/>
          <w:szCs w:val="16"/>
        </w:rPr>
      </w:pPr>
      <w:r w:rsidRPr="00A02FF7">
        <w:rPr>
          <w:rStyle w:val="Appelnotedebasdep"/>
          <w:rFonts w:ascii="Arial" w:hAnsi="Arial" w:cs="Arial"/>
          <w:sz w:val="16"/>
          <w:szCs w:val="16"/>
          <w:vertAlign w:val="baseline"/>
        </w:rPr>
        <w:footnoteRef/>
      </w:r>
      <w:r w:rsidRPr="00A02FF7">
        <w:rPr>
          <w:rFonts w:ascii="Arial" w:hAnsi="Arial" w:cs="Arial"/>
          <w:sz w:val="16"/>
          <w:szCs w:val="16"/>
        </w:rPr>
        <w:tab/>
      </w:r>
      <w:hyperlink r:id="rId4" w:history="1">
        <w:r w:rsidRPr="00A02FF7">
          <w:rPr>
            <w:rStyle w:val="Lienhypertexte"/>
            <w:rFonts w:ascii="Arial" w:hAnsi="Arial" w:cs="Arial"/>
            <w:spacing w:val="-4"/>
            <w:sz w:val="14"/>
            <w:szCs w:val="14"/>
            <w:u w:val="double"/>
          </w:rPr>
          <w:t>https://science.vla.gov.uk/tseglobalnet/documents/OIE%20rules%20for%20BSE%20using%20a%20second%20rapid%20test_Rev_Jan2019.pdf</w:t>
        </w:r>
      </w:hyperlink>
    </w:p>
  </w:footnote>
  <w:footnote w:id="5">
    <w:p w14:paraId="5FD1AB12" w14:textId="7B1EAFDE" w:rsidR="00615090" w:rsidRPr="00A02FF7" w:rsidRDefault="00615090" w:rsidP="00A02FF7">
      <w:pPr>
        <w:pStyle w:val="Notedebasdepage"/>
        <w:spacing w:line="240" w:lineRule="auto"/>
        <w:ind w:left="425" w:hanging="425"/>
        <w:rPr>
          <w:rFonts w:ascii="Arial" w:hAnsi="Arial" w:cs="Arial"/>
          <w:sz w:val="16"/>
          <w:szCs w:val="16"/>
          <w:u w:val="double"/>
        </w:rPr>
      </w:pPr>
      <w:r w:rsidRPr="00A02FF7">
        <w:rPr>
          <w:rStyle w:val="Appelnotedebasdep"/>
          <w:rFonts w:ascii="Arial" w:hAnsi="Arial" w:cs="Arial"/>
          <w:sz w:val="16"/>
          <w:szCs w:val="16"/>
          <w:u w:val="double"/>
          <w:vertAlign w:val="baseline"/>
        </w:rPr>
        <w:footnoteRef/>
      </w:r>
      <w:r w:rsidRPr="00A02FF7">
        <w:rPr>
          <w:rFonts w:ascii="Arial" w:hAnsi="Arial" w:cs="Arial"/>
          <w:sz w:val="16"/>
          <w:szCs w:val="16"/>
          <w:u w:val="double"/>
        </w:rPr>
        <w:t xml:space="preserve"> </w:t>
      </w:r>
      <w:r w:rsidR="00A02FF7" w:rsidRPr="00A02FF7">
        <w:rPr>
          <w:rFonts w:ascii="Arial" w:hAnsi="Arial" w:cs="Arial"/>
          <w:sz w:val="16"/>
          <w:szCs w:val="16"/>
          <w:u w:val="double"/>
        </w:rPr>
        <w:tab/>
      </w:r>
      <w:r w:rsidR="00BE4DF4" w:rsidRPr="00A02FF7">
        <w:rPr>
          <w:rFonts w:ascii="Arial" w:hAnsi="Arial" w:cs="Arial"/>
          <w:sz w:val="16"/>
          <w:szCs w:val="16"/>
          <w:u w:val="double"/>
        </w:rPr>
        <w:t>https://science.vla.gov.uk/tseglobalnet/confirmatory-diagnosis.html</w:t>
      </w:r>
    </w:p>
  </w:footnote>
  <w:footnote w:id="6">
    <w:p w14:paraId="7BF8DD2C" w14:textId="1DC4D992" w:rsidR="000D0B05" w:rsidRPr="00FD132C" w:rsidRDefault="000D0B05" w:rsidP="00FC69B0">
      <w:pPr>
        <w:pStyle w:val="Notedebasdepage"/>
        <w:spacing w:line="240" w:lineRule="auto"/>
        <w:ind w:left="425" w:hanging="425"/>
        <w:rPr>
          <w:rFonts w:ascii="Arial" w:hAnsi="Arial" w:cs="Arial"/>
          <w:sz w:val="16"/>
          <w:szCs w:val="16"/>
        </w:rPr>
      </w:pPr>
      <w:r w:rsidRPr="00FD132C">
        <w:rPr>
          <w:rStyle w:val="Appelnotedebasdep"/>
          <w:rFonts w:ascii="Arial" w:hAnsi="Arial" w:cs="Arial"/>
          <w:sz w:val="16"/>
          <w:szCs w:val="16"/>
          <w:vertAlign w:val="baseline"/>
        </w:rPr>
        <w:footnoteRef/>
      </w:r>
      <w:r w:rsidRPr="00FD132C">
        <w:rPr>
          <w:rFonts w:ascii="Arial" w:hAnsi="Arial" w:cs="Arial"/>
          <w:sz w:val="16"/>
          <w:szCs w:val="16"/>
        </w:rPr>
        <w:t xml:space="preserve"> </w:t>
      </w:r>
      <w:r w:rsidRPr="00FD132C">
        <w:rPr>
          <w:rFonts w:ascii="Arial" w:hAnsi="Arial" w:cs="Arial"/>
          <w:sz w:val="16"/>
          <w:szCs w:val="16"/>
        </w:rPr>
        <w:tab/>
      </w:r>
      <w:r w:rsidR="003460FC" w:rsidRPr="00A02FF7">
        <w:rPr>
          <w:rFonts w:ascii="Arial" w:hAnsi="Arial" w:cs="Arial"/>
          <w:sz w:val="16"/>
          <w:szCs w:val="16"/>
          <w:u w:val="double"/>
        </w:rPr>
        <w:t>https://science.vla.gov.uk/tseglobalnet/index.html</w:t>
      </w:r>
    </w:p>
  </w:footnote>
  <w:footnote w:id="7">
    <w:p w14:paraId="7BF8DD2D" w14:textId="708AF0FD" w:rsidR="000D0B05" w:rsidRPr="00FD132C" w:rsidRDefault="000D0B05" w:rsidP="00FC69B0">
      <w:pPr>
        <w:pStyle w:val="Notedebasdepage"/>
        <w:spacing w:line="240" w:lineRule="auto"/>
        <w:ind w:left="425" w:hanging="425"/>
        <w:rPr>
          <w:rFonts w:ascii="Arial" w:hAnsi="Arial" w:cs="Arial"/>
          <w:sz w:val="16"/>
          <w:szCs w:val="16"/>
          <w:lang w:val="en-IE"/>
        </w:rPr>
      </w:pPr>
      <w:r w:rsidRPr="00FD132C">
        <w:rPr>
          <w:rStyle w:val="Appelnotedebasdep"/>
          <w:rFonts w:ascii="Arial" w:hAnsi="Arial" w:cs="Arial"/>
          <w:sz w:val="16"/>
          <w:szCs w:val="16"/>
          <w:vertAlign w:val="baseline"/>
        </w:rPr>
        <w:footnoteRef/>
      </w:r>
      <w:r w:rsidRPr="00FD132C">
        <w:rPr>
          <w:rFonts w:ascii="Arial" w:hAnsi="Arial" w:cs="Arial"/>
          <w:sz w:val="16"/>
          <w:szCs w:val="16"/>
        </w:rPr>
        <w:t xml:space="preserve"> </w:t>
      </w:r>
      <w:r w:rsidRPr="00A02FF7">
        <w:rPr>
          <w:rFonts w:ascii="Arial" w:hAnsi="Arial" w:cs="Arial"/>
          <w:strike/>
          <w:sz w:val="16"/>
          <w:szCs w:val="16"/>
        </w:rPr>
        <w:tab/>
      </w:r>
      <w:r w:rsidRPr="00A02FF7">
        <w:rPr>
          <w:rFonts w:ascii="Arial" w:hAnsi="Arial" w:cs="Arial"/>
          <w:strike/>
          <w:sz w:val="16"/>
          <w:szCs w:val="16"/>
          <w:lang w:val="en-IE"/>
        </w:rPr>
        <w:t>http://www.tse-lab-net.eu/</w:t>
      </w:r>
      <w:r w:rsidR="00601ABE" w:rsidRPr="00A02FF7">
        <w:rPr>
          <w:rFonts w:ascii="Arial" w:hAnsi="Arial" w:cs="Arial"/>
          <w:sz w:val="16"/>
          <w:szCs w:val="16"/>
          <w:u w:val="double"/>
          <w:lang w:val="en-IE"/>
        </w:rPr>
        <w:t>https://science.vla.gov.uk/tseglobalnet/</w:t>
      </w:r>
      <w:r w:rsidRPr="00FD132C">
        <w:rPr>
          <w:rFonts w:ascii="Arial" w:hAnsi="Arial" w:cs="Arial"/>
          <w:sz w:val="16"/>
          <w:szCs w:val="16"/>
          <w:lang w:val="en-IE"/>
        </w:rPr>
        <w:t>documents/tse-rl-blot.pdf</w:t>
      </w:r>
    </w:p>
  </w:footnote>
  <w:footnote w:id="8">
    <w:p w14:paraId="7BF8DD2E" w14:textId="01AF6519" w:rsidR="000D0B05" w:rsidRPr="001D6FA5" w:rsidRDefault="000D0B05" w:rsidP="00FC69B0">
      <w:pPr>
        <w:pStyle w:val="Notedebasdepage"/>
        <w:spacing w:line="240" w:lineRule="auto"/>
        <w:ind w:left="425" w:hanging="425"/>
        <w:rPr>
          <w:rFonts w:ascii="Arial" w:hAnsi="Arial" w:cs="Arial"/>
          <w:sz w:val="16"/>
          <w:szCs w:val="16"/>
          <w:highlight w:val="yellow"/>
        </w:rPr>
      </w:pPr>
      <w:r w:rsidRPr="00FD132C">
        <w:rPr>
          <w:rStyle w:val="Appelnotedebasdep"/>
          <w:rFonts w:ascii="Arial" w:hAnsi="Arial" w:cs="Arial"/>
          <w:sz w:val="16"/>
          <w:szCs w:val="16"/>
          <w:vertAlign w:val="baseline"/>
        </w:rPr>
        <w:footnoteRef/>
      </w:r>
      <w:r w:rsidRPr="00FD132C">
        <w:rPr>
          <w:rFonts w:ascii="Arial" w:hAnsi="Arial" w:cs="Arial"/>
          <w:sz w:val="16"/>
          <w:szCs w:val="16"/>
        </w:rPr>
        <w:t xml:space="preserve"> </w:t>
      </w:r>
      <w:r w:rsidRPr="00FD132C">
        <w:rPr>
          <w:rFonts w:ascii="Arial" w:hAnsi="Arial" w:cs="Arial"/>
          <w:sz w:val="16"/>
          <w:szCs w:val="16"/>
        </w:rPr>
        <w:tab/>
      </w:r>
      <w:hyperlink r:id="rId5" w:history="1">
        <w:r w:rsidR="001D6FA5" w:rsidRPr="001D6FA5">
          <w:rPr>
            <w:rStyle w:val="Lienhypertexte"/>
            <w:rFonts w:ascii="Arial" w:hAnsi="Arial" w:cs="Arial"/>
            <w:sz w:val="16"/>
            <w:szCs w:val="16"/>
            <w:highlight w:val="yellow"/>
            <w:u w:val="double"/>
            <w:lang w:val="en-IE"/>
          </w:rPr>
          <w:t>https://science.vla.gov.uk/tseglobalnet</w:t>
        </w:r>
        <w:r w:rsidR="001D6FA5" w:rsidRPr="001D6FA5">
          <w:rPr>
            <w:rStyle w:val="Lienhypertexte"/>
            <w:rFonts w:ascii="Arial" w:hAnsi="Arial" w:cs="Arial"/>
            <w:sz w:val="16"/>
            <w:szCs w:val="16"/>
            <w:highlight w:val="yellow"/>
            <w:u w:val="double"/>
          </w:rPr>
          <w:t>/test.html</w:t>
        </w:r>
      </w:hyperlink>
      <w:r w:rsidR="001D6FA5" w:rsidRPr="001D6FA5">
        <w:rPr>
          <w:rFonts w:ascii="Arial" w:hAnsi="Arial" w:cs="Arial"/>
          <w:sz w:val="16"/>
          <w:szCs w:val="16"/>
          <w:highlight w:val="yellow"/>
        </w:rPr>
        <w:t xml:space="preserve"> </w:t>
      </w:r>
      <w:r w:rsidR="001D6FA5" w:rsidRPr="001D6FA5">
        <w:rPr>
          <w:rFonts w:ascii="Arial" w:hAnsi="Arial" w:cs="Arial"/>
          <w:strike/>
          <w:sz w:val="16"/>
          <w:szCs w:val="16"/>
          <w:highlight w:val="yellow"/>
        </w:rPr>
        <w:t>http://www.tse-lab-net.eu/test.html</w:t>
      </w:r>
    </w:p>
  </w:footnote>
  <w:footnote w:id="9">
    <w:p w14:paraId="7BF8DD2F" w14:textId="73666CAC" w:rsidR="000D0B05" w:rsidRPr="001D6FA5" w:rsidRDefault="000D0B05" w:rsidP="00FC69B0">
      <w:pPr>
        <w:pStyle w:val="Notedebasdepage"/>
        <w:spacing w:line="240" w:lineRule="auto"/>
        <w:ind w:left="425" w:hanging="425"/>
        <w:rPr>
          <w:rFonts w:ascii="Arial" w:hAnsi="Arial" w:cs="Arial"/>
          <w:sz w:val="16"/>
          <w:szCs w:val="16"/>
        </w:rPr>
      </w:pPr>
      <w:r w:rsidRPr="001D6FA5">
        <w:rPr>
          <w:rStyle w:val="Appelnotedebasdep"/>
          <w:rFonts w:ascii="Arial" w:hAnsi="Arial" w:cs="Arial"/>
          <w:sz w:val="16"/>
          <w:szCs w:val="16"/>
          <w:highlight w:val="yellow"/>
          <w:vertAlign w:val="baseline"/>
        </w:rPr>
        <w:footnoteRef/>
      </w:r>
      <w:r w:rsidRPr="001D6FA5">
        <w:rPr>
          <w:rFonts w:ascii="Arial" w:hAnsi="Arial" w:cs="Arial"/>
          <w:sz w:val="16"/>
          <w:szCs w:val="16"/>
          <w:highlight w:val="yellow"/>
        </w:rPr>
        <w:t xml:space="preserve"> </w:t>
      </w:r>
      <w:r w:rsidRPr="001D6FA5">
        <w:rPr>
          <w:rFonts w:ascii="Arial" w:hAnsi="Arial" w:cs="Arial"/>
          <w:sz w:val="16"/>
          <w:szCs w:val="16"/>
          <w:highlight w:val="yellow"/>
        </w:rPr>
        <w:tab/>
      </w:r>
      <w:hyperlink r:id="rId6" w:history="1">
        <w:r w:rsidR="001D6FA5" w:rsidRPr="001D6FA5">
          <w:rPr>
            <w:rStyle w:val="Lienhypertexte"/>
            <w:rFonts w:ascii="Arial" w:hAnsi="Arial" w:cs="Arial"/>
            <w:sz w:val="16"/>
            <w:szCs w:val="16"/>
            <w:highlight w:val="yellow"/>
            <w:u w:val="double"/>
          </w:rPr>
          <w:t>https://science.vla.gov.uk/tseglobalnet/documents/tse-oie-guide.pdf</w:t>
        </w:r>
      </w:hyperlink>
      <w:r w:rsidR="001D6FA5" w:rsidRPr="001D6FA5">
        <w:rPr>
          <w:rFonts w:ascii="Arial" w:hAnsi="Arial" w:cs="Arial"/>
          <w:sz w:val="16"/>
          <w:szCs w:val="16"/>
          <w:highlight w:val="yellow"/>
        </w:rPr>
        <w:t xml:space="preserve"> </w:t>
      </w:r>
      <w:r w:rsidR="001D6FA5" w:rsidRPr="001D6FA5">
        <w:rPr>
          <w:rFonts w:ascii="Arial" w:hAnsi="Arial" w:cs="Arial"/>
          <w:strike/>
          <w:sz w:val="16"/>
          <w:szCs w:val="16"/>
          <w:highlight w:val="yellow"/>
        </w:rPr>
        <w:t>http://www.tse-lab-net.eu/documents/tse-oie-guide.pdf</w:t>
      </w:r>
    </w:p>
  </w:footnote>
  <w:footnote w:id="10">
    <w:p w14:paraId="7BF8DD30" w14:textId="77777777" w:rsidR="000D0B05" w:rsidRPr="006075AA" w:rsidRDefault="000D0B05" w:rsidP="009066D7">
      <w:pPr>
        <w:pStyle w:val="Notedebasdepage"/>
        <w:spacing w:line="240" w:lineRule="auto"/>
        <w:ind w:left="425" w:hanging="425"/>
        <w:rPr>
          <w:rFonts w:ascii="Arial" w:hAnsi="Arial" w:cs="Arial"/>
          <w:sz w:val="16"/>
          <w:szCs w:val="16"/>
          <w:lang w:val="fr-FR"/>
        </w:rPr>
      </w:pPr>
      <w:r w:rsidRPr="00B36D64">
        <w:rPr>
          <w:rStyle w:val="Appelnotedebasdep"/>
          <w:rFonts w:ascii="Arial" w:hAnsi="Arial" w:cs="Arial"/>
          <w:sz w:val="16"/>
          <w:szCs w:val="16"/>
          <w:vertAlign w:val="baseline"/>
        </w:rPr>
        <w:footnoteRef/>
      </w:r>
      <w:r w:rsidRPr="006075AA">
        <w:rPr>
          <w:rFonts w:ascii="Arial" w:hAnsi="Arial" w:cs="Arial"/>
          <w:sz w:val="16"/>
          <w:szCs w:val="16"/>
          <w:lang w:val="fr-FR"/>
        </w:rPr>
        <w:t xml:space="preserve"> </w:t>
      </w:r>
      <w:r w:rsidRPr="006075AA">
        <w:rPr>
          <w:rFonts w:ascii="Arial" w:hAnsi="Arial" w:cs="Arial"/>
          <w:sz w:val="16"/>
          <w:szCs w:val="16"/>
          <w:lang w:val="fr-FR"/>
        </w:rPr>
        <w:tab/>
        <w:t>http://www.inspection.gc.ca/english/anima/disemala/bseesb/surv/protoce.shtml</w:t>
      </w:r>
    </w:p>
  </w:footnote>
  <w:footnote w:id="11">
    <w:p w14:paraId="7BF8DD31" w14:textId="491A8714" w:rsidR="000D0B05" w:rsidRPr="006075AA" w:rsidRDefault="000D0B05" w:rsidP="009066D7">
      <w:pPr>
        <w:pStyle w:val="Notedebasdepage"/>
        <w:spacing w:line="240" w:lineRule="auto"/>
        <w:ind w:left="425" w:hanging="425"/>
        <w:rPr>
          <w:rFonts w:ascii="Arial" w:hAnsi="Arial" w:cs="Arial"/>
          <w:sz w:val="16"/>
          <w:szCs w:val="16"/>
          <w:lang w:val="fr-FR"/>
        </w:rPr>
      </w:pPr>
      <w:r w:rsidRPr="00B36D64">
        <w:rPr>
          <w:rStyle w:val="Appelnotedebasdep"/>
          <w:rFonts w:ascii="Arial" w:hAnsi="Arial" w:cs="Arial"/>
          <w:sz w:val="16"/>
          <w:szCs w:val="16"/>
          <w:vertAlign w:val="baseline"/>
        </w:rPr>
        <w:footnoteRef/>
      </w:r>
      <w:r w:rsidRPr="006075AA">
        <w:rPr>
          <w:rFonts w:ascii="Arial" w:hAnsi="Arial" w:cs="Arial"/>
          <w:sz w:val="16"/>
          <w:szCs w:val="16"/>
          <w:lang w:val="fr-FR"/>
        </w:rPr>
        <w:t xml:space="preserve"> </w:t>
      </w:r>
      <w:r w:rsidRPr="006075AA">
        <w:rPr>
          <w:rFonts w:ascii="Arial" w:hAnsi="Arial" w:cs="Arial"/>
          <w:sz w:val="16"/>
          <w:szCs w:val="16"/>
          <w:lang w:val="fr-FR"/>
        </w:rPr>
        <w:tab/>
      </w:r>
      <w:r w:rsidRPr="006075AA">
        <w:rPr>
          <w:rStyle w:val="Lienhypertexte"/>
          <w:rFonts w:ascii="Arial" w:hAnsi="Arial" w:cs="Arial"/>
          <w:bCs/>
          <w:color w:val="auto"/>
          <w:sz w:val="16"/>
          <w:szCs w:val="16"/>
          <w:u w:val="none"/>
          <w:lang w:val="fr-FR"/>
        </w:rPr>
        <w:t>http://www.maff.go.jp/nval/english/pdf/outline130325.pdf</w:t>
      </w:r>
    </w:p>
  </w:footnote>
  <w:footnote w:id="12">
    <w:p w14:paraId="7BF8DD32" w14:textId="77777777" w:rsidR="000D0B05" w:rsidRPr="006075AA" w:rsidRDefault="000D0B05" w:rsidP="009066D7">
      <w:pPr>
        <w:pStyle w:val="Notedebasdepage"/>
        <w:spacing w:line="240" w:lineRule="auto"/>
        <w:ind w:left="425" w:hanging="425"/>
        <w:rPr>
          <w:rFonts w:ascii="Arial" w:hAnsi="Arial" w:cs="Arial"/>
          <w:sz w:val="16"/>
          <w:szCs w:val="16"/>
          <w:lang w:val="fr-FR"/>
        </w:rPr>
      </w:pPr>
      <w:r w:rsidRPr="00B36D64">
        <w:rPr>
          <w:rStyle w:val="Appelnotedebasdep"/>
          <w:rFonts w:ascii="Arial" w:hAnsi="Arial" w:cs="Arial"/>
          <w:sz w:val="16"/>
          <w:szCs w:val="16"/>
          <w:vertAlign w:val="baseline"/>
        </w:rPr>
        <w:footnoteRef/>
      </w:r>
      <w:r w:rsidRPr="006075AA">
        <w:rPr>
          <w:rFonts w:ascii="Arial" w:hAnsi="Arial" w:cs="Arial"/>
          <w:sz w:val="16"/>
          <w:szCs w:val="16"/>
          <w:lang w:val="fr-FR"/>
        </w:rPr>
        <w:t xml:space="preserve"> </w:t>
      </w:r>
      <w:r w:rsidRPr="006075AA">
        <w:rPr>
          <w:rFonts w:ascii="Arial" w:hAnsi="Arial" w:cs="Arial"/>
          <w:sz w:val="16"/>
          <w:szCs w:val="16"/>
          <w:lang w:val="fr-FR"/>
        </w:rPr>
        <w:tab/>
      </w:r>
      <w:r w:rsidRPr="006075AA">
        <w:rPr>
          <w:rFonts w:ascii="Arial" w:hAnsi="Arial" w:cs="Arial"/>
          <w:sz w:val="16"/>
          <w:szCs w:val="16"/>
          <w:lang w:val="fr-FR" w:eastAsia="en-US"/>
        </w:rPr>
        <w:t>http://www.oie.int/en/our-scientific-expertise/certification-of-diagnostic-tests/background-information/</w:t>
      </w:r>
    </w:p>
  </w:footnote>
  <w:footnote w:id="13">
    <w:p w14:paraId="55073445" w14:textId="7BBB0001" w:rsidR="003E4D0C" w:rsidRPr="006075AA" w:rsidRDefault="003E4D0C" w:rsidP="00A02FF7">
      <w:pPr>
        <w:pStyle w:val="Notedebasdepage"/>
        <w:spacing w:line="240" w:lineRule="auto"/>
        <w:ind w:left="425" w:hanging="425"/>
        <w:rPr>
          <w:rFonts w:ascii="Arial" w:hAnsi="Arial" w:cs="Arial"/>
          <w:sz w:val="16"/>
          <w:szCs w:val="16"/>
          <w:u w:val="double"/>
          <w:lang w:val="fr-FR"/>
        </w:rPr>
      </w:pPr>
      <w:r w:rsidRPr="007E6DAB">
        <w:rPr>
          <w:rStyle w:val="Appelnotedebasdep"/>
          <w:rFonts w:ascii="Arial" w:hAnsi="Arial" w:cs="Arial"/>
          <w:sz w:val="16"/>
          <w:szCs w:val="16"/>
          <w:u w:val="double"/>
          <w:vertAlign w:val="baseline"/>
        </w:rPr>
        <w:footnoteRef/>
      </w:r>
      <w:r w:rsidRPr="006075AA">
        <w:rPr>
          <w:rFonts w:ascii="Arial" w:hAnsi="Arial" w:cs="Arial"/>
          <w:sz w:val="16"/>
          <w:szCs w:val="16"/>
          <w:u w:val="double"/>
          <w:lang w:val="fr-FR"/>
        </w:rPr>
        <w:t xml:space="preserve"> </w:t>
      </w:r>
      <w:r w:rsidR="00A02FF7" w:rsidRPr="006075AA">
        <w:rPr>
          <w:rFonts w:ascii="Arial" w:hAnsi="Arial" w:cs="Arial"/>
          <w:sz w:val="16"/>
          <w:szCs w:val="16"/>
          <w:u w:val="double"/>
          <w:lang w:val="fr-FR"/>
        </w:rPr>
        <w:tab/>
      </w:r>
      <w:r w:rsidRPr="006075AA">
        <w:rPr>
          <w:rFonts w:ascii="Arial" w:hAnsi="Arial" w:cs="Arial"/>
          <w:sz w:val="16"/>
          <w:szCs w:val="16"/>
          <w:u w:val="double"/>
          <w:lang w:val="fr-FR"/>
        </w:rPr>
        <w:t>http://www.oie.int/en/scientific-expertise/registration-of-diagnostic-kits/the-register-of-diagnostic-kits/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A1950" w14:textId="73279BED" w:rsidR="001D6FA5" w:rsidRPr="001D6FA5" w:rsidRDefault="001D6FA5" w:rsidP="001D6FA5">
    <w:pPr>
      <w:pBdr>
        <w:bottom w:val="single" w:sz="6" w:space="1" w:color="auto"/>
      </w:pBdr>
      <w:spacing w:line="240" w:lineRule="auto"/>
      <w:ind w:right="-1"/>
      <w:jc w:val="center"/>
      <w:rPr>
        <w:rFonts w:ascii="Ottawa" w:hAnsi="Ottawa"/>
        <w:i/>
      </w:rPr>
    </w:pPr>
    <w:r>
      <w:rPr>
        <w:rFonts w:ascii="Ottawa" w:hAnsi="Ottawa"/>
        <w:i/>
      </w:rPr>
      <w:t>Chapter 3.4.5. – Bovine spongiform encephalopathy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EAE75" w14:textId="7AFAB709" w:rsidR="001D6FA5" w:rsidRPr="001D6FA5" w:rsidRDefault="001D6FA5" w:rsidP="001D6FA5">
    <w:pPr>
      <w:pBdr>
        <w:bottom w:val="single" w:sz="6" w:space="1" w:color="auto"/>
      </w:pBdr>
      <w:spacing w:line="240" w:lineRule="auto"/>
      <w:ind w:right="-1"/>
      <w:jc w:val="center"/>
      <w:rPr>
        <w:rFonts w:ascii="Ottawa" w:hAnsi="Ottawa"/>
        <w:i/>
      </w:rPr>
    </w:pPr>
    <w:r>
      <w:rPr>
        <w:rFonts w:ascii="Ottawa" w:hAnsi="Ottawa"/>
        <w:i/>
      </w:rPr>
      <w:t>Chapter 3.4.5. – Bovine spongiform encephalopathy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4EED"/>
    <w:multiLevelType w:val="hybridMultilevel"/>
    <w:tmpl w:val="C0A2934A"/>
    <w:lvl w:ilvl="0" w:tplc="1DDAA6F0">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3EB7A70"/>
    <w:multiLevelType w:val="singleLevel"/>
    <w:tmpl w:val="04070001"/>
    <w:lvl w:ilvl="0">
      <w:start w:val="12"/>
      <w:numFmt w:val="bullet"/>
      <w:lvlText w:val=""/>
      <w:lvlJc w:val="left"/>
      <w:pPr>
        <w:tabs>
          <w:tab w:val="num" w:pos="360"/>
        </w:tabs>
        <w:ind w:left="360" w:hanging="360"/>
      </w:pPr>
      <w:rPr>
        <w:rFonts w:ascii="Symbol" w:hAnsi="Symbol" w:hint="default"/>
      </w:rPr>
    </w:lvl>
  </w:abstractNum>
  <w:abstractNum w:abstractNumId="2" w15:restartNumberingAfterBreak="0">
    <w:nsid w:val="04F675BA"/>
    <w:multiLevelType w:val="singleLevel"/>
    <w:tmpl w:val="5CE08278"/>
    <w:lvl w:ilvl="0">
      <w:start w:val="3"/>
      <w:numFmt w:val="decimal"/>
      <w:lvlText w:val="%1."/>
      <w:lvlJc w:val="left"/>
      <w:pPr>
        <w:tabs>
          <w:tab w:val="num" w:pos="645"/>
        </w:tabs>
        <w:ind w:left="645" w:hanging="645"/>
      </w:pPr>
      <w:rPr>
        <w:rFonts w:hint="default"/>
      </w:rPr>
    </w:lvl>
  </w:abstractNum>
  <w:abstractNum w:abstractNumId="3" w15:restartNumberingAfterBreak="0">
    <w:nsid w:val="0DF46F93"/>
    <w:multiLevelType w:val="singleLevel"/>
    <w:tmpl w:val="61C41A80"/>
    <w:lvl w:ilvl="0">
      <w:start w:val="1"/>
      <w:numFmt w:val="decimal"/>
      <w:lvlText w:val="%1."/>
      <w:lvlJc w:val="left"/>
      <w:pPr>
        <w:tabs>
          <w:tab w:val="num" w:pos="645"/>
        </w:tabs>
        <w:ind w:left="645" w:hanging="645"/>
      </w:pPr>
      <w:rPr>
        <w:rFonts w:hint="default"/>
      </w:rPr>
    </w:lvl>
  </w:abstractNum>
  <w:abstractNum w:abstractNumId="4" w15:restartNumberingAfterBreak="0">
    <w:nsid w:val="0F2105FD"/>
    <w:multiLevelType w:val="singleLevel"/>
    <w:tmpl w:val="E2A0A59E"/>
    <w:lvl w:ilvl="0">
      <w:start w:val="11"/>
      <w:numFmt w:val="lowerLetter"/>
      <w:lvlText w:val=""/>
      <w:lvlJc w:val="left"/>
      <w:pPr>
        <w:tabs>
          <w:tab w:val="num" w:pos="360"/>
        </w:tabs>
        <w:ind w:left="360" w:hanging="360"/>
      </w:pPr>
      <w:rPr>
        <w:rFonts w:ascii="Times New Roman" w:hAnsi="Times New Roman" w:hint="default"/>
      </w:rPr>
    </w:lvl>
  </w:abstractNum>
  <w:abstractNum w:abstractNumId="5" w15:restartNumberingAfterBreak="0">
    <w:nsid w:val="10442DE0"/>
    <w:multiLevelType w:val="singleLevel"/>
    <w:tmpl w:val="54744792"/>
    <w:lvl w:ilvl="0">
      <w:start w:val="1"/>
      <w:numFmt w:val="lowerRoman"/>
      <w:lvlText w:val="%1)"/>
      <w:lvlJc w:val="left"/>
      <w:pPr>
        <w:tabs>
          <w:tab w:val="num" w:pos="645"/>
        </w:tabs>
        <w:ind w:left="645" w:hanging="720"/>
      </w:pPr>
      <w:rPr>
        <w:rFonts w:hint="default"/>
      </w:rPr>
    </w:lvl>
  </w:abstractNum>
  <w:abstractNum w:abstractNumId="6" w15:restartNumberingAfterBreak="0">
    <w:nsid w:val="143C7726"/>
    <w:multiLevelType w:val="singleLevel"/>
    <w:tmpl w:val="67E89582"/>
    <w:lvl w:ilvl="0">
      <w:start w:val="2"/>
      <w:numFmt w:val="lowerLetter"/>
      <w:lvlText w:val="%1)"/>
      <w:lvlJc w:val="left"/>
      <w:pPr>
        <w:tabs>
          <w:tab w:val="num" w:pos="0"/>
        </w:tabs>
        <w:ind w:left="0" w:hanging="360"/>
      </w:pPr>
      <w:rPr>
        <w:rFonts w:hint="default"/>
      </w:rPr>
    </w:lvl>
  </w:abstractNum>
  <w:abstractNum w:abstractNumId="7" w15:restartNumberingAfterBreak="0">
    <w:nsid w:val="16C7780F"/>
    <w:multiLevelType w:val="singleLevel"/>
    <w:tmpl w:val="5852C6D0"/>
    <w:lvl w:ilvl="0">
      <w:start w:val="4103"/>
      <w:numFmt w:val="bullet"/>
      <w:lvlText w:val="-"/>
      <w:lvlJc w:val="left"/>
      <w:pPr>
        <w:tabs>
          <w:tab w:val="num" w:pos="735"/>
        </w:tabs>
        <w:ind w:left="735" w:hanging="735"/>
      </w:pPr>
      <w:rPr>
        <w:rFonts w:ascii="Times New Roman" w:hAnsi="Times New Roman" w:hint="default"/>
      </w:rPr>
    </w:lvl>
  </w:abstractNum>
  <w:abstractNum w:abstractNumId="8" w15:restartNumberingAfterBreak="0">
    <w:nsid w:val="1AAF6CA1"/>
    <w:multiLevelType w:val="singleLevel"/>
    <w:tmpl w:val="3EA24EE2"/>
    <w:lvl w:ilvl="0">
      <w:start w:val="18"/>
      <w:numFmt w:val="decimal"/>
      <w:lvlText w:val=""/>
      <w:lvlJc w:val="left"/>
      <w:pPr>
        <w:tabs>
          <w:tab w:val="num" w:pos="360"/>
        </w:tabs>
        <w:ind w:left="360" w:hanging="360"/>
      </w:pPr>
      <w:rPr>
        <w:rFonts w:ascii="Symbol" w:hAnsi="Symbol" w:hint="default"/>
      </w:rPr>
    </w:lvl>
  </w:abstractNum>
  <w:abstractNum w:abstractNumId="9" w15:restartNumberingAfterBreak="0">
    <w:nsid w:val="1D9D3DD5"/>
    <w:multiLevelType w:val="singleLevel"/>
    <w:tmpl w:val="B4C2298A"/>
    <w:lvl w:ilvl="0">
      <w:start w:val="8"/>
      <w:numFmt w:val="lowerLetter"/>
      <w:lvlText w:val=""/>
      <w:lvlJc w:val="left"/>
      <w:pPr>
        <w:tabs>
          <w:tab w:val="num" w:pos="360"/>
        </w:tabs>
        <w:ind w:left="360" w:hanging="360"/>
      </w:pPr>
      <w:rPr>
        <w:rFonts w:ascii="Times New Roman" w:hAnsi="Times New Roman" w:hint="default"/>
      </w:rPr>
    </w:lvl>
  </w:abstractNum>
  <w:abstractNum w:abstractNumId="10" w15:restartNumberingAfterBreak="0">
    <w:nsid w:val="30EB51E7"/>
    <w:multiLevelType w:val="hybridMultilevel"/>
    <w:tmpl w:val="8D069E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0712C5"/>
    <w:multiLevelType w:val="hybridMultilevel"/>
    <w:tmpl w:val="77E063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06410"/>
    <w:multiLevelType w:val="multilevel"/>
    <w:tmpl w:val="E290591A"/>
    <w:lvl w:ilvl="0">
      <w:start w:val="6"/>
      <w:numFmt w:val="decimal"/>
      <w:lvlText w:val="%1."/>
      <w:lvlJc w:val="left"/>
      <w:pPr>
        <w:tabs>
          <w:tab w:val="num" w:pos="10632"/>
        </w:tabs>
        <w:ind w:left="10632" w:hanging="360"/>
      </w:pPr>
      <w:rPr>
        <w:rFonts w:hint="default"/>
      </w:rPr>
    </w:lvl>
    <w:lvl w:ilvl="1">
      <w:start w:val="1"/>
      <w:numFmt w:val="lowerLetter"/>
      <w:lvlText w:val="%2."/>
      <w:lvlJc w:val="left"/>
      <w:pPr>
        <w:tabs>
          <w:tab w:val="num" w:pos="11352"/>
        </w:tabs>
        <w:ind w:left="11352" w:hanging="360"/>
      </w:pPr>
    </w:lvl>
    <w:lvl w:ilvl="2">
      <w:start w:val="1"/>
      <w:numFmt w:val="lowerRoman"/>
      <w:lvlText w:val="%3."/>
      <w:lvlJc w:val="right"/>
      <w:pPr>
        <w:tabs>
          <w:tab w:val="num" w:pos="12072"/>
        </w:tabs>
        <w:ind w:left="12072" w:hanging="180"/>
      </w:pPr>
    </w:lvl>
    <w:lvl w:ilvl="3">
      <w:start w:val="1"/>
      <w:numFmt w:val="decimal"/>
      <w:lvlText w:val="%4."/>
      <w:lvlJc w:val="left"/>
      <w:pPr>
        <w:tabs>
          <w:tab w:val="num" w:pos="12792"/>
        </w:tabs>
        <w:ind w:left="12792" w:hanging="360"/>
      </w:pPr>
    </w:lvl>
    <w:lvl w:ilvl="4">
      <w:start w:val="1"/>
      <w:numFmt w:val="lowerLetter"/>
      <w:lvlText w:val="%5."/>
      <w:lvlJc w:val="left"/>
      <w:pPr>
        <w:tabs>
          <w:tab w:val="num" w:pos="13512"/>
        </w:tabs>
        <w:ind w:left="13512" w:hanging="360"/>
      </w:pPr>
    </w:lvl>
    <w:lvl w:ilvl="5">
      <w:start w:val="1"/>
      <w:numFmt w:val="lowerRoman"/>
      <w:lvlText w:val="%6."/>
      <w:lvlJc w:val="right"/>
      <w:pPr>
        <w:tabs>
          <w:tab w:val="num" w:pos="14232"/>
        </w:tabs>
        <w:ind w:left="14232" w:hanging="180"/>
      </w:pPr>
    </w:lvl>
    <w:lvl w:ilvl="6">
      <w:start w:val="1"/>
      <w:numFmt w:val="decimal"/>
      <w:lvlText w:val="%7."/>
      <w:lvlJc w:val="left"/>
      <w:pPr>
        <w:tabs>
          <w:tab w:val="num" w:pos="14952"/>
        </w:tabs>
        <w:ind w:left="14952" w:hanging="360"/>
      </w:pPr>
    </w:lvl>
    <w:lvl w:ilvl="7">
      <w:start w:val="1"/>
      <w:numFmt w:val="lowerLetter"/>
      <w:lvlText w:val="%8."/>
      <w:lvlJc w:val="left"/>
      <w:pPr>
        <w:tabs>
          <w:tab w:val="num" w:pos="15672"/>
        </w:tabs>
        <w:ind w:left="15672" w:hanging="360"/>
      </w:pPr>
    </w:lvl>
    <w:lvl w:ilvl="8">
      <w:start w:val="1"/>
      <w:numFmt w:val="lowerRoman"/>
      <w:lvlText w:val="%9."/>
      <w:lvlJc w:val="right"/>
      <w:pPr>
        <w:tabs>
          <w:tab w:val="num" w:pos="16392"/>
        </w:tabs>
        <w:ind w:left="16392" w:hanging="180"/>
      </w:pPr>
    </w:lvl>
  </w:abstractNum>
  <w:abstractNum w:abstractNumId="13" w15:restartNumberingAfterBreak="0">
    <w:nsid w:val="3EBC79D2"/>
    <w:multiLevelType w:val="hybridMultilevel"/>
    <w:tmpl w:val="920A1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BE1A19"/>
    <w:multiLevelType w:val="singleLevel"/>
    <w:tmpl w:val="C85CF4C4"/>
    <w:lvl w:ilvl="0">
      <w:start w:val="18"/>
      <w:numFmt w:val="bullet"/>
      <w:lvlText w:val="-"/>
      <w:lvlJc w:val="left"/>
      <w:pPr>
        <w:tabs>
          <w:tab w:val="num" w:pos="360"/>
        </w:tabs>
        <w:ind w:left="360" w:hanging="360"/>
      </w:pPr>
      <w:rPr>
        <w:rFonts w:hint="default"/>
      </w:rPr>
    </w:lvl>
  </w:abstractNum>
  <w:abstractNum w:abstractNumId="15" w15:restartNumberingAfterBreak="0">
    <w:nsid w:val="452E39A7"/>
    <w:multiLevelType w:val="singleLevel"/>
    <w:tmpl w:val="0407000F"/>
    <w:lvl w:ilvl="0">
      <w:start w:val="9"/>
      <w:numFmt w:val="decimal"/>
      <w:lvlText w:val="%1."/>
      <w:lvlJc w:val="left"/>
      <w:pPr>
        <w:tabs>
          <w:tab w:val="num" w:pos="360"/>
        </w:tabs>
        <w:ind w:left="360" w:hanging="360"/>
      </w:pPr>
      <w:rPr>
        <w:rFonts w:hint="default"/>
      </w:rPr>
    </w:lvl>
  </w:abstractNum>
  <w:abstractNum w:abstractNumId="16" w15:restartNumberingAfterBreak="0">
    <w:nsid w:val="459A616A"/>
    <w:multiLevelType w:val="singleLevel"/>
    <w:tmpl w:val="0809000F"/>
    <w:lvl w:ilvl="0">
      <w:start w:val="3"/>
      <w:numFmt w:val="decimal"/>
      <w:lvlText w:val="%1."/>
      <w:lvlJc w:val="left"/>
      <w:pPr>
        <w:tabs>
          <w:tab w:val="num" w:pos="360"/>
        </w:tabs>
        <w:ind w:left="360" w:hanging="360"/>
      </w:pPr>
      <w:rPr>
        <w:rFonts w:hint="default"/>
      </w:rPr>
    </w:lvl>
  </w:abstractNum>
  <w:abstractNum w:abstractNumId="17" w15:restartNumberingAfterBreak="0">
    <w:nsid w:val="4EA54FB7"/>
    <w:multiLevelType w:val="singleLevel"/>
    <w:tmpl w:val="D68EABE4"/>
    <w:lvl w:ilvl="0">
      <w:start w:val="22"/>
      <w:numFmt w:val="decimal"/>
      <w:lvlText w:val="%1."/>
      <w:lvlJc w:val="left"/>
      <w:pPr>
        <w:tabs>
          <w:tab w:val="num" w:pos="420"/>
        </w:tabs>
        <w:ind w:left="420" w:hanging="420"/>
      </w:pPr>
      <w:rPr>
        <w:rFonts w:hint="default"/>
      </w:rPr>
    </w:lvl>
  </w:abstractNum>
  <w:abstractNum w:abstractNumId="18" w15:restartNumberingAfterBreak="0">
    <w:nsid w:val="51642192"/>
    <w:multiLevelType w:val="hybridMultilevel"/>
    <w:tmpl w:val="53880FFE"/>
    <w:lvl w:ilvl="0" w:tplc="B9FA4E24">
      <w:start w:val="1"/>
      <w:numFmt w:val="decimal"/>
      <w:lvlText w:val="%1."/>
      <w:lvlJc w:val="left"/>
      <w:pPr>
        <w:tabs>
          <w:tab w:val="num" w:pos="720"/>
        </w:tabs>
        <w:ind w:left="720" w:hanging="360"/>
      </w:pPr>
      <w:rPr>
        <w:rFonts w:hint="default"/>
        <w:b w:val="0"/>
        <w:i w:val="0"/>
        <w:strike w:val="0"/>
        <w:dstrike w:val="0"/>
      </w:rPr>
    </w:lvl>
    <w:lvl w:ilvl="1" w:tplc="0809000F">
      <w:start w:val="1"/>
      <w:numFmt w:val="decimal"/>
      <w:lvlText w:val="%2."/>
      <w:lvlJc w:val="left"/>
      <w:pPr>
        <w:tabs>
          <w:tab w:val="num" w:pos="1440"/>
        </w:tabs>
        <w:ind w:left="1440" w:hanging="360"/>
      </w:pPr>
      <w:rPr>
        <w:rFonts w:hint="default"/>
        <w:b w:val="0"/>
        <w:i w:val="0"/>
        <w:strike w:val="0"/>
        <w:dstrike w:val="0"/>
      </w:rPr>
    </w:lvl>
    <w:lvl w:ilvl="2" w:tplc="0809001B" w:tentative="1">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2733E8F"/>
    <w:multiLevelType w:val="hybridMultilevel"/>
    <w:tmpl w:val="546413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BD3A75"/>
    <w:multiLevelType w:val="singleLevel"/>
    <w:tmpl w:val="B2807EEA"/>
    <w:lvl w:ilvl="0">
      <w:start w:val="1"/>
      <w:numFmt w:val="decimal"/>
      <w:lvlText w:val="%1."/>
      <w:legacy w:legacy="1" w:legacySpace="0" w:legacyIndent="420"/>
      <w:lvlJc w:val="left"/>
      <w:pPr>
        <w:ind w:left="420" w:hanging="420"/>
      </w:pPr>
      <w:rPr>
        <w:b w:val="0"/>
      </w:rPr>
    </w:lvl>
  </w:abstractNum>
  <w:abstractNum w:abstractNumId="21" w15:restartNumberingAfterBreak="0">
    <w:nsid w:val="5DB7776F"/>
    <w:multiLevelType w:val="singleLevel"/>
    <w:tmpl w:val="0809000F"/>
    <w:lvl w:ilvl="0">
      <w:start w:val="13"/>
      <w:numFmt w:val="decimal"/>
      <w:lvlText w:val="%1."/>
      <w:lvlJc w:val="left"/>
      <w:pPr>
        <w:tabs>
          <w:tab w:val="num" w:pos="360"/>
        </w:tabs>
        <w:ind w:left="360" w:hanging="360"/>
      </w:pPr>
      <w:rPr>
        <w:rFonts w:hint="default"/>
      </w:rPr>
    </w:lvl>
  </w:abstractNum>
  <w:abstractNum w:abstractNumId="22" w15:restartNumberingAfterBreak="0">
    <w:nsid w:val="5DF13EE4"/>
    <w:multiLevelType w:val="hybridMultilevel"/>
    <w:tmpl w:val="EF66DA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8505A9"/>
    <w:multiLevelType w:val="singleLevel"/>
    <w:tmpl w:val="9D8479E0"/>
    <w:lvl w:ilvl="0">
      <w:start w:val="16"/>
      <w:numFmt w:val="decimal"/>
      <w:lvlText w:val="%1."/>
      <w:lvlJc w:val="left"/>
      <w:pPr>
        <w:tabs>
          <w:tab w:val="num" w:pos="525"/>
        </w:tabs>
        <w:ind w:left="525" w:hanging="525"/>
      </w:pPr>
      <w:rPr>
        <w:rFonts w:hint="default"/>
      </w:rPr>
    </w:lvl>
  </w:abstractNum>
  <w:abstractNum w:abstractNumId="24" w15:restartNumberingAfterBreak="0">
    <w:nsid w:val="66547AA6"/>
    <w:multiLevelType w:val="singleLevel"/>
    <w:tmpl w:val="0407000F"/>
    <w:lvl w:ilvl="0">
      <w:start w:val="8"/>
      <w:numFmt w:val="decimal"/>
      <w:lvlText w:val="%1."/>
      <w:lvlJc w:val="left"/>
      <w:pPr>
        <w:tabs>
          <w:tab w:val="num" w:pos="360"/>
        </w:tabs>
        <w:ind w:left="360" w:hanging="360"/>
      </w:pPr>
      <w:rPr>
        <w:rFonts w:hint="default"/>
      </w:rPr>
    </w:lvl>
  </w:abstractNum>
  <w:abstractNum w:abstractNumId="25" w15:restartNumberingAfterBreak="0">
    <w:nsid w:val="67EB75FD"/>
    <w:multiLevelType w:val="singleLevel"/>
    <w:tmpl w:val="933848E0"/>
    <w:lvl w:ilvl="0">
      <w:start w:val="8"/>
      <w:numFmt w:val="decimal"/>
      <w:lvlText w:val="%1."/>
      <w:lvlJc w:val="left"/>
      <w:pPr>
        <w:tabs>
          <w:tab w:val="num" w:pos="645"/>
        </w:tabs>
        <w:ind w:left="645" w:hanging="645"/>
      </w:pPr>
      <w:rPr>
        <w:rFonts w:hint="default"/>
      </w:rPr>
    </w:lvl>
  </w:abstractNum>
  <w:abstractNum w:abstractNumId="26" w15:restartNumberingAfterBreak="0">
    <w:nsid w:val="683D4A32"/>
    <w:multiLevelType w:val="hybridMultilevel"/>
    <w:tmpl w:val="060C52C2"/>
    <w:lvl w:ilvl="0" w:tplc="CE5AD0C0">
      <w:start w:val="29"/>
      <w:numFmt w:val="lowerRoman"/>
      <w:lvlText w:val="%1)"/>
      <w:lvlJc w:val="left"/>
      <w:pPr>
        <w:tabs>
          <w:tab w:val="num" w:pos="1146"/>
        </w:tabs>
        <w:ind w:left="1146" w:hanging="72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27" w15:restartNumberingAfterBreak="0">
    <w:nsid w:val="68DD28E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E27799"/>
    <w:multiLevelType w:val="singleLevel"/>
    <w:tmpl w:val="F4808CF8"/>
    <w:lvl w:ilvl="0">
      <w:start w:val="5"/>
      <w:numFmt w:val="decimal"/>
      <w:lvlText w:val="%1."/>
      <w:lvlJc w:val="left"/>
      <w:pPr>
        <w:tabs>
          <w:tab w:val="num" w:pos="750"/>
        </w:tabs>
        <w:ind w:left="750" w:hanging="750"/>
      </w:pPr>
      <w:rPr>
        <w:rFonts w:hint="default"/>
      </w:rPr>
    </w:lvl>
  </w:abstractNum>
  <w:abstractNum w:abstractNumId="29" w15:restartNumberingAfterBreak="0">
    <w:nsid w:val="70606F60"/>
    <w:multiLevelType w:val="hybridMultilevel"/>
    <w:tmpl w:val="138C2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B46705"/>
    <w:multiLevelType w:val="multilevel"/>
    <w:tmpl w:val="01ECF4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32" w15:restartNumberingAfterBreak="0">
    <w:nsid w:val="7C6B5CCC"/>
    <w:multiLevelType w:val="singleLevel"/>
    <w:tmpl w:val="8B1A048C"/>
    <w:lvl w:ilvl="0">
      <w:start w:val="1"/>
      <w:numFmt w:val="lowerLetter"/>
      <w:lvlText w:val="%1)"/>
      <w:lvlJc w:val="left"/>
      <w:pPr>
        <w:tabs>
          <w:tab w:val="num" w:pos="1068"/>
        </w:tabs>
        <w:ind w:left="1068" w:hanging="360"/>
      </w:pPr>
      <w:rPr>
        <w:rFonts w:hint="default"/>
      </w:rPr>
    </w:lvl>
  </w:abstractNum>
  <w:abstractNum w:abstractNumId="33"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31"/>
  </w:num>
  <w:num w:numId="2">
    <w:abstractNumId w:val="33"/>
  </w:num>
  <w:num w:numId="3">
    <w:abstractNumId w:val="33"/>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0"/>
  </w:num>
  <w:num w:numId="5">
    <w:abstractNumId w:val="20"/>
    <w:lvlOverride w:ilvl="0">
      <w:lvl w:ilvl="0">
        <w:start w:val="17"/>
        <w:numFmt w:val="decimal"/>
        <w:lvlText w:val="%1."/>
        <w:legacy w:legacy="1" w:legacySpace="0" w:legacyIndent="420"/>
        <w:lvlJc w:val="left"/>
        <w:pPr>
          <w:ind w:left="420" w:hanging="420"/>
        </w:pPr>
      </w:lvl>
    </w:lvlOverride>
  </w:num>
  <w:num w:numId="6">
    <w:abstractNumId w:val="20"/>
    <w:lvlOverride w:ilvl="0">
      <w:lvl w:ilvl="0">
        <w:start w:val="19"/>
        <w:numFmt w:val="decimal"/>
        <w:lvlText w:val="%1."/>
        <w:legacy w:legacy="1" w:legacySpace="0" w:legacyIndent="420"/>
        <w:lvlJc w:val="left"/>
        <w:pPr>
          <w:ind w:left="420" w:hanging="420"/>
        </w:pPr>
      </w:lvl>
    </w:lvlOverride>
  </w:num>
  <w:num w:numId="7">
    <w:abstractNumId w:val="27"/>
  </w:num>
  <w:num w:numId="8">
    <w:abstractNumId w:val="30"/>
  </w:num>
  <w:num w:numId="9">
    <w:abstractNumId w:val="7"/>
  </w:num>
  <w:num w:numId="10">
    <w:abstractNumId w:val="25"/>
  </w:num>
  <w:num w:numId="11">
    <w:abstractNumId w:val="2"/>
  </w:num>
  <w:num w:numId="12">
    <w:abstractNumId w:val="14"/>
  </w:num>
  <w:num w:numId="13">
    <w:abstractNumId w:val="28"/>
  </w:num>
  <w:num w:numId="14">
    <w:abstractNumId w:val="15"/>
  </w:num>
  <w:num w:numId="15">
    <w:abstractNumId w:val="3"/>
  </w:num>
  <w:num w:numId="16">
    <w:abstractNumId w:val="32"/>
  </w:num>
  <w:num w:numId="17">
    <w:abstractNumId w:val="24"/>
  </w:num>
  <w:num w:numId="18">
    <w:abstractNumId w:val="1"/>
  </w:num>
  <w:num w:numId="19">
    <w:abstractNumId w:val="23"/>
  </w:num>
  <w:num w:numId="20">
    <w:abstractNumId w:val="12"/>
  </w:num>
  <w:num w:numId="21">
    <w:abstractNumId w:val="17"/>
  </w:num>
  <w:num w:numId="22">
    <w:abstractNumId w:val="6"/>
  </w:num>
  <w:num w:numId="23">
    <w:abstractNumId w:val="5"/>
  </w:num>
  <w:num w:numId="24">
    <w:abstractNumId w:val="9"/>
  </w:num>
  <w:num w:numId="25">
    <w:abstractNumId w:val="4"/>
  </w:num>
  <w:num w:numId="26">
    <w:abstractNumId w:val="8"/>
  </w:num>
  <w:num w:numId="27">
    <w:abstractNumId w:val="21"/>
  </w:num>
  <w:num w:numId="28">
    <w:abstractNumId w:val="16"/>
  </w:num>
  <w:num w:numId="29">
    <w:abstractNumId w:val="29"/>
  </w:num>
  <w:num w:numId="30">
    <w:abstractNumId w:val="22"/>
  </w:num>
  <w:num w:numId="31">
    <w:abstractNumId w:val="11"/>
  </w:num>
  <w:num w:numId="32">
    <w:abstractNumId w:val="26"/>
  </w:num>
  <w:num w:numId="33">
    <w:abstractNumId w:val="13"/>
  </w:num>
  <w:num w:numId="34">
    <w:abstractNumId w:val="19"/>
  </w:num>
  <w:num w:numId="35">
    <w:abstractNumId w:val="0"/>
  </w:num>
  <w:num w:numId="36">
    <w:abstractNumId w:val="10"/>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embedSystemFonts/>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en-IE" w:vendorID="8" w:dllVersion="513" w:checkStyle="1"/>
  <w:activeWritingStyle w:appName="MSWord" w:lang="en-AU" w:vendorID="8" w:dllVersion="513" w:checkStyle="1"/>
  <w:activeWritingStyle w:appName="MSWord" w:lang="fr-FR" w:vendorID="9" w:dllVersion="512" w:checkStyle="1"/>
  <w:activeWritingStyle w:appName="MSWord" w:lang="it-IT" w:vendorID="3" w:dllVersion="517"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990"/>
    <w:rsid w:val="000040C4"/>
    <w:rsid w:val="00011154"/>
    <w:rsid w:val="00016B3C"/>
    <w:rsid w:val="00017A3B"/>
    <w:rsid w:val="00022D7C"/>
    <w:rsid w:val="00031FC5"/>
    <w:rsid w:val="00044BB6"/>
    <w:rsid w:val="00046ADB"/>
    <w:rsid w:val="00050100"/>
    <w:rsid w:val="00052858"/>
    <w:rsid w:val="00060B64"/>
    <w:rsid w:val="0006665D"/>
    <w:rsid w:val="00067A55"/>
    <w:rsid w:val="0007053B"/>
    <w:rsid w:val="00071A19"/>
    <w:rsid w:val="0009291D"/>
    <w:rsid w:val="000A1E62"/>
    <w:rsid w:val="000A31B1"/>
    <w:rsid w:val="000A79E9"/>
    <w:rsid w:val="000A7C90"/>
    <w:rsid w:val="000B1633"/>
    <w:rsid w:val="000C36E7"/>
    <w:rsid w:val="000C3EC9"/>
    <w:rsid w:val="000C7D5D"/>
    <w:rsid w:val="000D0067"/>
    <w:rsid w:val="000D0073"/>
    <w:rsid w:val="000D0B05"/>
    <w:rsid w:val="000D28BE"/>
    <w:rsid w:val="000D38DF"/>
    <w:rsid w:val="000E2C22"/>
    <w:rsid w:val="000E4E6C"/>
    <w:rsid w:val="000F37B6"/>
    <w:rsid w:val="00100261"/>
    <w:rsid w:val="00102E0E"/>
    <w:rsid w:val="00110681"/>
    <w:rsid w:val="00114915"/>
    <w:rsid w:val="00121723"/>
    <w:rsid w:val="00122DDA"/>
    <w:rsid w:val="001233AD"/>
    <w:rsid w:val="00124528"/>
    <w:rsid w:val="00132A5C"/>
    <w:rsid w:val="001364FA"/>
    <w:rsid w:val="0013776C"/>
    <w:rsid w:val="00142E56"/>
    <w:rsid w:val="00143194"/>
    <w:rsid w:val="0014681D"/>
    <w:rsid w:val="001570C5"/>
    <w:rsid w:val="0016264A"/>
    <w:rsid w:val="001766CD"/>
    <w:rsid w:val="00176794"/>
    <w:rsid w:val="00184DBC"/>
    <w:rsid w:val="001933FD"/>
    <w:rsid w:val="0019371E"/>
    <w:rsid w:val="00194801"/>
    <w:rsid w:val="001972B0"/>
    <w:rsid w:val="001A2E55"/>
    <w:rsid w:val="001B4DB6"/>
    <w:rsid w:val="001B5575"/>
    <w:rsid w:val="001B6029"/>
    <w:rsid w:val="001B6123"/>
    <w:rsid w:val="001C2425"/>
    <w:rsid w:val="001C76B2"/>
    <w:rsid w:val="001D325B"/>
    <w:rsid w:val="001D5B5D"/>
    <w:rsid w:val="001D6FA5"/>
    <w:rsid w:val="001E2692"/>
    <w:rsid w:val="001E7B00"/>
    <w:rsid w:val="001F6FCF"/>
    <w:rsid w:val="00201E6D"/>
    <w:rsid w:val="00201F7C"/>
    <w:rsid w:val="002023C6"/>
    <w:rsid w:val="0020738C"/>
    <w:rsid w:val="00211722"/>
    <w:rsid w:val="00211C13"/>
    <w:rsid w:val="00213A13"/>
    <w:rsid w:val="00213B87"/>
    <w:rsid w:val="002174A0"/>
    <w:rsid w:val="002179B9"/>
    <w:rsid w:val="00220B2A"/>
    <w:rsid w:val="00222BA1"/>
    <w:rsid w:val="00225F9F"/>
    <w:rsid w:val="00233293"/>
    <w:rsid w:val="00242EA8"/>
    <w:rsid w:val="00243C6B"/>
    <w:rsid w:val="00256064"/>
    <w:rsid w:val="002706EA"/>
    <w:rsid w:val="00271AAD"/>
    <w:rsid w:val="00275246"/>
    <w:rsid w:val="002777B7"/>
    <w:rsid w:val="00280A0D"/>
    <w:rsid w:val="0028324B"/>
    <w:rsid w:val="00290ADB"/>
    <w:rsid w:val="00293E5A"/>
    <w:rsid w:val="002943E5"/>
    <w:rsid w:val="002943F9"/>
    <w:rsid w:val="00297264"/>
    <w:rsid w:val="002A2DB5"/>
    <w:rsid w:val="002A3634"/>
    <w:rsid w:val="002A7B3B"/>
    <w:rsid w:val="002B188D"/>
    <w:rsid w:val="002B4A0F"/>
    <w:rsid w:val="002C2E9B"/>
    <w:rsid w:val="002C510B"/>
    <w:rsid w:val="002D6632"/>
    <w:rsid w:val="002E0417"/>
    <w:rsid w:val="002E7897"/>
    <w:rsid w:val="002E789E"/>
    <w:rsid w:val="002F76FB"/>
    <w:rsid w:val="003013CF"/>
    <w:rsid w:val="00320649"/>
    <w:rsid w:val="00325219"/>
    <w:rsid w:val="003253E8"/>
    <w:rsid w:val="0032756E"/>
    <w:rsid w:val="00333E8A"/>
    <w:rsid w:val="00334A57"/>
    <w:rsid w:val="00341754"/>
    <w:rsid w:val="003460FC"/>
    <w:rsid w:val="00350622"/>
    <w:rsid w:val="00352B29"/>
    <w:rsid w:val="00355013"/>
    <w:rsid w:val="003551EA"/>
    <w:rsid w:val="00355651"/>
    <w:rsid w:val="003662CE"/>
    <w:rsid w:val="00371ADD"/>
    <w:rsid w:val="00372F50"/>
    <w:rsid w:val="0037547D"/>
    <w:rsid w:val="00380124"/>
    <w:rsid w:val="00385C4C"/>
    <w:rsid w:val="003863DA"/>
    <w:rsid w:val="00396C7B"/>
    <w:rsid w:val="003A22C1"/>
    <w:rsid w:val="003B595C"/>
    <w:rsid w:val="003B74A2"/>
    <w:rsid w:val="003C0660"/>
    <w:rsid w:val="003C55FE"/>
    <w:rsid w:val="003C6DAC"/>
    <w:rsid w:val="003D28B2"/>
    <w:rsid w:val="003D3E22"/>
    <w:rsid w:val="003E1951"/>
    <w:rsid w:val="003E2DBB"/>
    <w:rsid w:val="003E4B4A"/>
    <w:rsid w:val="003E4D0C"/>
    <w:rsid w:val="003F1B68"/>
    <w:rsid w:val="003F3580"/>
    <w:rsid w:val="003F688B"/>
    <w:rsid w:val="00405ADC"/>
    <w:rsid w:val="00411AC7"/>
    <w:rsid w:val="004122EA"/>
    <w:rsid w:val="004217AA"/>
    <w:rsid w:val="00423ED8"/>
    <w:rsid w:val="0043285A"/>
    <w:rsid w:val="0044442B"/>
    <w:rsid w:val="0044492F"/>
    <w:rsid w:val="004455FB"/>
    <w:rsid w:val="0044718F"/>
    <w:rsid w:val="00455474"/>
    <w:rsid w:val="00456EF7"/>
    <w:rsid w:val="00457A79"/>
    <w:rsid w:val="0046025D"/>
    <w:rsid w:val="00461153"/>
    <w:rsid w:val="0046149A"/>
    <w:rsid w:val="00461E16"/>
    <w:rsid w:val="00464A62"/>
    <w:rsid w:val="00464FA4"/>
    <w:rsid w:val="0047353A"/>
    <w:rsid w:val="004755EC"/>
    <w:rsid w:val="00475971"/>
    <w:rsid w:val="00487E9D"/>
    <w:rsid w:val="004937EC"/>
    <w:rsid w:val="004954A2"/>
    <w:rsid w:val="004A4B4F"/>
    <w:rsid w:val="004B2DDE"/>
    <w:rsid w:val="004B3B62"/>
    <w:rsid w:val="004B6CC8"/>
    <w:rsid w:val="004C1CC2"/>
    <w:rsid w:val="004C741C"/>
    <w:rsid w:val="004D2915"/>
    <w:rsid w:val="004D526C"/>
    <w:rsid w:val="004E220E"/>
    <w:rsid w:val="004E3697"/>
    <w:rsid w:val="004E7071"/>
    <w:rsid w:val="004F01EC"/>
    <w:rsid w:val="004F2E27"/>
    <w:rsid w:val="005047A9"/>
    <w:rsid w:val="00506628"/>
    <w:rsid w:val="005100F3"/>
    <w:rsid w:val="00516969"/>
    <w:rsid w:val="00517EDD"/>
    <w:rsid w:val="005235E2"/>
    <w:rsid w:val="00536B17"/>
    <w:rsid w:val="00542897"/>
    <w:rsid w:val="0054724F"/>
    <w:rsid w:val="005521AE"/>
    <w:rsid w:val="00553676"/>
    <w:rsid w:val="005542E9"/>
    <w:rsid w:val="00567EBB"/>
    <w:rsid w:val="0057361F"/>
    <w:rsid w:val="005757BB"/>
    <w:rsid w:val="00580A63"/>
    <w:rsid w:val="00580B66"/>
    <w:rsid w:val="005810E6"/>
    <w:rsid w:val="00582625"/>
    <w:rsid w:val="00585342"/>
    <w:rsid w:val="005A7550"/>
    <w:rsid w:val="005B1B91"/>
    <w:rsid w:val="005B3A4E"/>
    <w:rsid w:val="005C26B5"/>
    <w:rsid w:val="005C3B74"/>
    <w:rsid w:val="005C69E5"/>
    <w:rsid w:val="005D0345"/>
    <w:rsid w:val="005D30AC"/>
    <w:rsid w:val="005E046F"/>
    <w:rsid w:val="005E30F0"/>
    <w:rsid w:val="005E7D62"/>
    <w:rsid w:val="005F3421"/>
    <w:rsid w:val="005F437F"/>
    <w:rsid w:val="00601ABE"/>
    <w:rsid w:val="00601BD2"/>
    <w:rsid w:val="006049F3"/>
    <w:rsid w:val="00606DE7"/>
    <w:rsid w:val="006075AA"/>
    <w:rsid w:val="00611C9A"/>
    <w:rsid w:val="00613156"/>
    <w:rsid w:val="00615090"/>
    <w:rsid w:val="00615A91"/>
    <w:rsid w:val="00616AFD"/>
    <w:rsid w:val="0062085F"/>
    <w:rsid w:val="00622E4D"/>
    <w:rsid w:val="00627D8A"/>
    <w:rsid w:val="00637486"/>
    <w:rsid w:val="00642120"/>
    <w:rsid w:val="00644841"/>
    <w:rsid w:val="00651E17"/>
    <w:rsid w:val="006542B5"/>
    <w:rsid w:val="0065533E"/>
    <w:rsid w:val="00656A83"/>
    <w:rsid w:val="00660E09"/>
    <w:rsid w:val="00665297"/>
    <w:rsid w:val="006727E9"/>
    <w:rsid w:val="00672AB3"/>
    <w:rsid w:val="0068026B"/>
    <w:rsid w:val="0068691E"/>
    <w:rsid w:val="00690B93"/>
    <w:rsid w:val="00691489"/>
    <w:rsid w:val="00693F0D"/>
    <w:rsid w:val="006965AD"/>
    <w:rsid w:val="006A027C"/>
    <w:rsid w:val="006A039F"/>
    <w:rsid w:val="006A477B"/>
    <w:rsid w:val="006A4900"/>
    <w:rsid w:val="006B06E9"/>
    <w:rsid w:val="006B5DED"/>
    <w:rsid w:val="006B7311"/>
    <w:rsid w:val="006C310A"/>
    <w:rsid w:val="006D0B65"/>
    <w:rsid w:val="006D56E2"/>
    <w:rsid w:val="006E1CE8"/>
    <w:rsid w:val="006E1D87"/>
    <w:rsid w:val="006E494F"/>
    <w:rsid w:val="006F0CB9"/>
    <w:rsid w:val="006F7098"/>
    <w:rsid w:val="00702B31"/>
    <w:rsid w:val="00702CCC"/>
    <w:rsid w:val="00705752"/>
    <w:rsid w:val="00717B9B"/>
    <w:rsid w:val="007335EB"/>
    <w:rsid w:val="0073736D"/>
    <w:rsid w:val="0074223C"/>
    <w:rsid w:val="0074760A"/>
    <w:rsid w:val="00751367"/>
    <w:rsid w:val="007517D1"/>
    <w:rsid w:val="00752D44"/>
    <w:rsid w:val="00757C40"/>
    <w:rsid w:val="00760289"/>
    <w:rsid w:val="0076637B"/>
    <w:rsid w:val="00776091"/>
    <w:rsid w:val="00777529"/>
    <w:rsid w:val="00781A4D"/>
    <w:rsid w:val="007852B8"/>
    <w:rsid w:val="00786025"/>
    <w:rsid w:val="00786E8E"/>
    <w:rsid w:val="00795DD6"/>
    <w:rsid w:val="00796864"/>
    <w:rsid w:val="007972A5"/>
    <w:rsid w:val="00797FD6"/>
    <w:rsid w:val="007A2CC4"/>
    <w:rsid w:val="007A2CCE"/>
    <w:rsid w:val="007A3C2F"/>
    <w:rsid w:val="007A4C2F"/>
    <w:rsid w:val="007A63E5"/>
    <w:rsid w:val="007B0A30"/>
    <w:rsid w:val="007B1457"/>
    <w:rsid w:val="007B4344"/>
    <w:rsid w:val="007B4CCF"/>
    <w:rsid w:val="007C30F5"/>
    <w:rsid w:val="007D6382"/>
    <w:rsid w:val="007E49B3"/>
    <w:rsid w:val="007E6DAB"/>
    <w:rsid w:val="007F14BE"/>
    <w:rsid w:val="007F7FE8"/>
    <w:rsid w:val="00801774"/>
    <w:rsid w:val="00815668"/>
    <w:rsid w:val="00817876"/>
    <w:rsid w:val="00821E2F"/>
    <w:rsid w:val="00822D92"/>
    <w:rsid w:val="0083069B"/>
    <w:rsid w:val="0083158F"/>
    <w:rsid w:val="008348C2"/>
    <w:rsid w:val="008410EC"/>
    <w:rsid w:val="00841B99"/>
    <w:rsid w:val="00842B9A"/>
    <w:rsid w:val="0084774D"/>
    <w:rsid w:val="00857C08"/>
    <w:rsid w:val="008611D0"/>
    <w:rsid w:val="00875BF4"/>
    <w:rsid w:val="008834CE"/>
    <w:rsid w:val="0088507F"/>
    <w:rsid w:val="00887A07"/>
    <w:rsid w:val="00887C65"/>
    <w:rsid w:val="00893068"/>
    <w:rsid w:val="00896B8C"/>
    <w:rsid w:val="0089774D"/>
    <w:rsid w:val="008A4B43"/>
    <w:rsid w:val="008A7349"/>
    <w:rsid w:val="008B1562"/>
    <w:rsid w:val="008B35C1"/>
    <w:rsid w:val="008B38BB"/>
    <w:rsid w:val="008D4256"/>
    <w:rsid w:val="008D4C04"/>
    <w:rsid w:val="008D4D84"/>
    <w:rsid w:val="008D5B15"/>
    <w:rsid w:val="008D746C"/>
    <w:rsid w:val="008E2040"/>
    <w:rsid w:val="008F1075"/>
    <w:rsid w:val="00900589"/>
    <w:rsid w:val="00901A32"/>
    <w:rsid w:val="00901B63"/>
    <w:rsid w:val="00904243"/>
    <w:rsid w:val="009066D7"/>
    <w:rsid w:val="009066F5"/>
    <w:rsid w:val="00911EBC"/>
    <w:rsid w:val="009120B5"/>
    <w:rsid w:val="0091453D"/>
    <w:rsid w:val="00924502"/>
    <w:rsid w:val="009259ED"/>
    <w:rsid w:val="00926F24"/>
    <w:rsid w:val="00927329"/>
    <w:rsid w:val="00933EB2"/>
    <w:rsid w:val="009435BB"/>
    <w:rsid w:val="00946051"/>
    <w:rsid w:val="00952620"/>
    <w:rsid w:val="00952C5D"/>
    <w:rsid w:val="00956ADF"/>
    <w:rsid w:val="00956FC1"/>
    <w:rsid w:val="00962D57"/>
    <w:rsid w:val="009652A3"/>
    <w:rsid w:val="00971BFF"/>
    <w:rsid w:val="00971E0E"/>
    <w:rsid w:val="00976ED9"/>
    <w:rsid w:val="00987506"/>
    <w:rsid w:val="00994C80"/>
    <w:rsid w:val="00995753"/>
    <w:rsid w:val="009A7E39"/>
    <w:rsid w:val="009B08D8"/>
    <w:rsid w:val="009B339E"/>
    <w:rsid w:val="009B5257"/>
    <w:rsid w:val="009B5B16"/>
    <w:rsid w:val="009C1CDF"/>
    <w:rsid w:val="009C3DD0"/>
    <w:rsid w:val="009C5577"/>
    <w:rsid w:val="009C60AE"/>
    <w:rsid w:val="009D36A9"/>
    <w:rsid w:val="009D4BF6"/>
    <w:rsid w:val="009D4D35"/>
    <w:rsid w:val="009D6DB2"/>
    <w:rsid w:val="009E2F84"/>
    <w:rsid w:val="009E7118"/>
    <w:rsid w:val="009F226F"/>
    <w:rsid w:val="009F23EB"/>
    <w:rsid w:val="009F4802"/>
    <w:rsid w:val="00A02FF7"/>
    <w:rsid w:val="00A078D5"/>
    <w:rsid w:val="00A10461"/>
    <w:rsid w:val="00A147CF"/>
    <w:rsid w:val="00A1486F"/>
    <w:rsid w:val="00A160CA"/>
    <w:rsid w:val="00A21335"/>
    <w:rsid w:val="00A22341"/>
    <w:rsid w:val="00A24C04"/>
    <w:rsid w:val="00A25B7E"/>
    <w:rsid w:val="00A30B89"/>
    <w:rsid w:val="00A4122C"/>
    <w:rsid w:val="00A41781"/>
    <w:rsid w:val="00A45713"/>
    <w:rsid w:val="00A57FD2"/>
    <w:rsid w:val="00A62F0F"/>
    <w:rsid w:val="00A63486"/>
    <w:rsid w:val="00A6788B"/>
    <w:rsid w:val="00A73D22"/>
    <w:rsid w:val="00A81AE6"/>
    <w:rsid w:val="00A81C04"/>
    <w:rsid w:val="00A855D9"/>
    <w:rsid w:val="00A85751"/>
    <w:rsid w:val="00A910E3"/>
    <w:rsid w:val="00A93164"/>
    <w:rsid w:val="00AA52DD"/>
    <w:rsid w:val="00AB06E2"/>
    <w:rsid w:val="00AB1361"/>
    <w:rsid w:val="00AB4541"/>
    <w:rsid w:val="00AB58D1"/>
    <w:rsid w:val="00AB7855"/>
    <w:rsid w:val="00AC31FA"/>
    <w:rsid w:val="00AC3D0C"/>
    <w:rsid w:val="00AC5762"/>
    <w:rsid w:val="00AD23C1"/>
    <w:rsid w:val="00AD385E"/>
    <w:rsid w:val="00AD57AD"/>
    <w:rsid w:val="00AD6BD3"/>
    <w:rsid w:val="00AD7550"/>
    <w:rsid w:val="00AE19B3"/>
    <w:rsid w:val="00AE24F2"/>
    <w:rsid w:val="00AE2989"/>
    <w:rsid w:val="00AE34C8"/>
    <w:rsid w:val="00AE787B"/>
    <w:rsid w:val="00AF2EF3"/>
    <w:rsid w:val="00AF5A29"/>
    <w:rsid w:val="00AF6FBF"/>
    <w:rsid w:val="00B0342C"/>
    <w:rsid w:val="00B10DB2"/>
    <w:rsid w:val="00B12A00"/>
    <w:rsid w:val="00B16ED5"/>
    <w:rsid w:val="00B229E1"/>
    <w:rsid w:val="00B25DC2"/>
    <w:rsid w:val="00B26BE5"/>
    <w:rsid w:val="00B3341E"/>
    <w:rsid w:val="00B36D64"/>
    <w:rsid w:val="00B407C5"/>
    <w:rsid w:val="00B43AB3"/>
    <w:rsid w:val="00B43D97"/>
    <w:rsid w:val="00B44ABE"/>
    <w:rsid w:val="00B503F8"/>
    <w:rsid w:val="00B54DC5"/>
    <w:rsid w:val="00B561BD"/>
    <w:rsid w:val="00B64EA1"/>
    <w:rsid w:val="00B725DB"/>
    <w:rsid w:val="00B73412"/>
    <w:rsid w:val="00B73740"/>
    <w:rsid w:val="00BA220A"/>
    <w:rsid w:val="00BB1EA8"/>
    <w:rsid w:val="00BB3CBD"/>
    <w:rsid w:val="00BB7064"/>
    <w:rsid w:val="00BC1C73"/>
    <w:rsid w:val="00BD3CCA"/>
    <w:rsid w:val="00BD5064"/>
    <w:rsid w:val="00BE220A"/>
    <w:rsid w:val="00BE4DF4"/>
    <w:rsid w:val="00BF275F"/>
    <w:rsid w:val="00BF54FC"/>
    <w:rsid w:val="00BF68DA"/>
    <w:rsid w:val="00BF6F9E"/>
    <w:rsid w:val="00C004D7"/>
    <w:rsid w:val="00C01211"/>
    <w:rsid w:val="00C05636"/>
    <w:rsid w:val="00C101B3"/>
    <w:rsid w:val="00C11312"/>
    <w:rsid w:val="00C14668"/>
    <w:rsid w:val="00C17F43"/>
    <w:rsid w:val="00C253A2"/>
    <w:rsid w:val="00C27990"/>
    <w:rsid w:val="00C27F08"/>
    <w:rsid w:val="00C33CA0"/>
    <w:rsid w:val="00C34EB6"/>
    <w:rsid w:val="00C4420A"/>
    <w:rsid w:val="00C442F3"/>
    <w:rsid w:val="00C47077"/>
    <w:rsid w:val="00C5095C"/>
    <w:rsid w:val="00C51F47"/>
    <w:rsid w:val="00C55473"/>
    <w:rsid w:val="00C5675A"/>
    <w:rsid w:val="00C570A6"/>
    <w:rsid w:val="00C63218"/>
    <w:rsid w:val="00C65234"/>
    <w:rsid w:val="00C679A4"/>
    <w:rsid w:val="00C71A60"/>
    <w:rsid w:val="00C76B55"/>
    <w:rsid w:val="00C77681"/>
    <w:rsid w:val="00C80D14"/>
    <w:rsid w:val="00C86267"/>
    <w:rsid w:val="00C86437"/>
    <w:rsid w:val="00C87A8F"/>
    <w:rsid w:val="00C92E1D"/>
    <w:rsid w:val="00C9589A"/>
    <w:rsid w:val="00CA1AB6"/>
    <w:rsid w:val="00CA441F"/>
    <w:rsid w:val="00CA5CDE"/>
    <w:rsid w:val="00CA6C59"/>
    <w:rsid w:val="00CB05A2"/>
    <w:rsid w:val="00CB1792"/>
    <w:rsid w:val="00CB4846"/>
    <w:rsid w:val="00CB6019"/>
    <w:rsid w:val="00CC1724"/>
    <w:rsid w:val="00CC301A"/>
    <w:rsid w:val="00CC58A8"/>
    <w:rsid w:val="00CC65F0"/>
    <w:rsid w:val="00CD14A5"/>
    <w:rsid w:val="00CD4320"/>
    <w:rsid w:val="00CE484B"/>
    <w:rsid w:val="00CE70DE"/>
    <w:rsid w:val="00CE7D78"/>
    <w:rsid w:val="00CF0B8D"/>
    <w:rsid w:val="00CF20E8"/>
    <w:rsid w:val="00D018E1"/>
    <w:rsid w:val="00D01C0D"/>
    <w:rsid w:val="00D02E5F"/>
    <w:rsid w:val="00D03A25"/>
    <w:rsid w:val="00D10622"/>
    <w:rsid w:val="00D11DBB"/>
    <w:rsid w:val="00D131D8"/>
    <w:rsid w:val="00D16D1A"/>
    <w:rsid w:val="00D20979"/>
    <w:rsid w:val="00D246A5"/>
    <w:rsid w:val="00D27BA7"/>
    <w:rsid w:val="00D35643"/>
    <w:rsid w:val="00D45CC4"/>
    <w:rsid w:val="00D76F83"/>
    <w:rsid w:val="00D82F04"/>
    <w:rsid w:val="00D82F53"/>
    <w:rsid w:val="00D92C80"/>
    <w:rsid w:val="00D96029"/>
    <w:rsid w:val="00DA13F5"/>
    <w:rsid w:val="00DA72FC"/>
    <w:rsid w:val="00DA7C82"/>
    <w:rsid w:val="00DB0028"/>
    <w:rsid w:val="00DB2484"/>
    <w:rsid w:val="00DB4170"/>
    <w:rsid w:val="00DC2B2C"/>
    <w:rsid w:val="00DC7784"/>
    <w:rsid w:val="00DD1ED8"/>
    <w:rsid w:val="00DD4EF4"/>
    <w:rsid w:val="00DD526F"/>
    <w:rsid w:val="00DD58AE"/>
    <w:rsid w:val="00DE3C7D"/>
    <w:rsid w:val="00DF5520"/>
    <w:rsid w:val="00E02CF3"/>
    <w:rsid w:val="00E04717"/>
    <w:rsid w:val="00E05653"/>
    <w:rsid w:val="00E063FD"/>
    <w:rsid w:val="00E0715E"/>
    <w:rsid w:val="00E1127D"/>
    <w:rsid w:val="00E134C5"/>
    <w:rsid w:val="00E163BD"/>
    <w:rsid w:val="00E33CE6"/>
    <w:rsid w:val="00E443BE"/>
    <w:rsid w:val="00E55414"/>
    <w:rsid w:val="00E61BDD"/>
    <w:rsid w:val="00E77D5D"/>
    <w:rsid w:val="00E81E30"/>
    <w:rsid w:val="00E83A62"/>
    <w:rsid w:val="00E86BE4"/>
    <w:rsid w:val="00E87E02"/>
    <w:rsid w:val="00E93D8D"/>
    <w:rsid w:val="00EA2060"/>
    <w:rsid w:val="00EA21E5"/>
    <w:rsid w:val="00EA3ABD"/>
    <w:rsid w:val="00EA68F7"/>
    <w:rsid w:val="00EA70AB"/>
    <w:rsid w:val="00EB571E"/>
    <w:rsid w:val="00EB590F"/>
    <w:rsid w:val="00EC0AD1"/>
    <w:rsid w:val="00EC5812"/>
    <w:rsid w:val="00ED1850"/>
    <w:rsid w:val="00ED4435"/>
    <w:rsid w:val="00ED61C3"/>
    <w:rsid w:val="00ED7B0C"/>
    <w:rsid w:val="00EE4649"/>
    <w:rsid w:val="00EE56C0"/>
    <w:rsid w:val="00EE69BA"/>
    <w:rsid w:val="00F13A66"/>
    <w:rsid w:val="00F13B1C"/>
    <w:rsid w:val="00F210F4"/>
    <w:rsid w:val="00F228EA"/>
    <w:rsid w:val="00F247F6"/>
    <w:rsid w:val="00F24D81"/>
    <w:rsid w:val="00F371C8"/>
    <w:rsid w:val="00F45184"/>
    <w:rsid w:val="00F51118"/>
    <w:rsid w:val="00F5413C"/>
    <w:rsid w:val="00F62F45"/>
    <w:rsid w:val="00F755F9"/>
    <w:rsid w:val="00F81930"/>
    <w:rsid w:val="00F8245D"/>
    <w:rsid w:val="00F92F25"/>
    <w:rsid w:val="00F9419E"/>
    <w:rsid w:val="00F950BD"/>
    <w:rsid w:val="00FA2C51"/>
    <w:rsid w:val="00FB20FD"/>
    <w:rsid w:val="00FB52B3"/>
    <w:rsid w:val="00FC5798"/>
    <w:rsid w:val="00FC69B0"/>
    <w:rsid w:val="00FC7CE1"/>
    <w:rsid w:val="00FD132C"/>
    <w:rsid w:val="00FD47E1"/>
    <w:rsid w:val="00FF4CB0"/>
    <w:rsid w:val="00FF6C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F8DC66"/>
  <w15:docId w15:val="{B50E84B2-5DD2-4F9C-B152-EF9D83427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2943E5"/>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pPr>
      <w:spacing w:after="120" w:line="240" w:lineRule="auto"/>
      <w:ind w:left="850"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paragraph" w:customStyle="1" w:styleId="SatzohnehinschonletztesMalumgeschrieben">
    <w:name w:val="Satz ohnehin schon letztes Mal umgeschrieben"/>
    <w:basedOn w:val="Normal"/>
    <w:pPr>
      <w:tabs>
        <w:tab w:val="clear" w:pos="-720"/>
      </w:tabs>
      <w:spacing w:line="240" w:lineRule="auto"/>
      <w:jc w:val="left"/>
    </w:pPr>
    <w:rPr>
      <w:sz w:val="24"/>
      <w:szCs w:val="24"/>
      <w:lang w:val="en-US"/>
    </w:rPr>
  </w:style>
  <w:style w:type="paragraph" w:customStyle="1" w:styleId="BalloonText1">
    <w:name w:val="Balloon Text1"/>
    <w:basedOn w:val="Normal"/>
    <w:semiHidden/>
    <w:rPr>
      <w:rFonts w:ascii="Tahoma" w:hAnsi="Tahoma" w:cs="Arial Unicode MS"/>
      <w:sz w:val="16"/>
      <w:szCs w:val="16"/>
    </w:rPr>
  </w:style>
  <w:style w:type="paragraph" w:styleId="Commentaire">
    <w:name w:val="annotation text"/>
    <w:basedOn w:val="Normal"/>
    <w:semiHidden/>
    <w:rPr>
      <w:lang w:eastAsia="en-US"/>
    </w:rPr>
  </w:style>
  <w:style w:type="character" w:styleId="Marquedecommentaire">
    <w:name w:val="annotation reference"/>
    <w:semiHidden/>
    <w:rPr>
      <w:sz w:val="16"/>
    </w:rPr>
  </w:style>
  <w:style w:type="paragraph" w:styleId="Corpsdetexte">
    <w:name w:val="Body Text"/>
    <w:basedOn w:val="Normal"/>
    <w:pPr>
      <w:tabs>
        <w:tab w:val="clear" w:pos="-720"/>
      </w:tabs>
      <w:spacing w:line="240" w:lineRule="auto"/>
    </w:pPr>
    <w:rPr>
      <w:rFonts w:ascii="Arial" w:hAnsi="Arial"/>
      <w:sz w:val="24"/>
      <w:lang w:eastAsia="en-US"/>
    </w:rPr>
  </w:style>
  <w:style w:type="paragraph" w:styleId="Retraitcorpsdetexte">
    <w:name w:val="Body Text Indent"/>
    <w:basedOn w:val="Normal"/>
    <w:pPr>
      <w:tabs>
        <w:tab w:val="clear" w:pos="-720"/>
      </w:tabs>
      <w:spacing w:line="240" w:lineRule="auto"/>
      <w:ind w:left="708" w:hanging="708"/>
      <w:jc w:val="left"/>
    </w:pPr>
    <w:rPr>
      <w:rFonts w:ascii="Arial" w:hAnsi="Arial"/>
      <w:sz w:val="24"/>
      <w:lang w:val="de-DE" w:eastAsia="en-US"/>
    </w:rPr>
  </w:style>
  <w:style w:type="paragraph" w:styleId="Retraitcorpsdetexte2">
    <w:name w:val="Body Text Indent 2"/>
    <w:basedOn w:val="Normal"/>
    <w:pPr>
      <w:tabs>
        <w:tab w:val="clear" w:pos="-720"/>
      </w:tabs>
      <w:spacing w:line="240" w:lineRule="auto"/>
      <w:ind w:left="709" w:hanging="709"/>
      <w:jc w:val="left"/>
    </w:pPr>
    <w:rPr>
      <w:rFonts w:ascii="Arial" w:hAnsi="Arial"/>
      <w:sz w:val="24"/>
      <w:lang w:val="de-DE" w:eastAsia="en-US"/>
    </w:rPr>
  </w:style>
  <w:style w:type="paragraph" w:styleId="Retraitcorpsdetexte3">
    <w:name w:val="Body Text Indent 3"/>
    <w:basedOn w:val="Normal"/>
    <w:pPr>
      <w:tabs>
        <w:tab w:val="clear" w:pos="-720"/>
      </w:tabs>
      <w:spacing w:line="240" w:lineRule="auto"/>
      <w:ind w:left="567" w:hanging="567"/>
      <w:jc w:val="left"/>
    </w:pPr>
    <w:rPr>
      <w:rFonts w:ascii="Arial" w:hAnsi="Arial"/>
      <w:sz w:val="24"/>
      <w:lang w:val="de-DE" w:eastAsia="en-US"/>
    </w:rPr>
  </w:style>
  <w:style w:type="character" w:styleId="Lienhypertexte">
    <w:name w:val="Hyperlink"/>
    <w:rPr>
      <w:color w:val="0000FF"/>
      <w:u w:val="single"/>
    </w:rPr>
  </w:style>
  <w:style w:type="character" w:styleId="lev">
    <w:name w:val="Strong"/>
    <w:qFormat/>
    <w:rPr>
      <w:b/>
      <w:bCs/>
    </w:rPr>
  </w:style>
  <w:style w:type="paragraph" w:customStyle="1" w:styleId="CommentSubject1">
    <w:name w:val="Comment Subject1"/>
    <w:basedOn w:val="Commentaire"/>
    <w:next w:val="Commentaire"/>
    <w:semiHidden/>
    <w:rPr>
      <w:b/>
      <w:bCs/>
      <w:lang w:eastAsia="fr-FR"/>
    </w:rPr>
  </w:style>
  <w:style w:type="character" w:styleId="Lienhypertextesuivivisit">
    <w:name w:val="FollowedHyperlink"/>
    <w:rPr>
      <w:color w:val="800080"/>
      <w:u w:val="single"/>
    </w:rPr>
  </w:style>
  <w:style w:type="paragraph" w:customStyle="1" w:styleId="Default">
    <w:name w:val="Default"/>
    <w:pPr>
      <w:autoSpaceDE w:val="0"/>
      <w:autoSpaceDN w:val="0"/>
      <w:adjustRightInd w:val="0"/>
    </w:pPr>
    <w:rPr>
      <w:color w:val="000000"/>
      <w:sz w:val="24"/>
      <w:szCs w:val="24"/>
      <w:lang w:val="de-DE" w:eastAsia="de-DE"/>
    </w:rPr>
  </w:style>
  <w:style w:type="paragraph" w:styleId="PrformatHTML">
    <w:name w:val="HTML Preformatted"/>
    <w:basedOn w:val="Normal"/>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lang w:val="en-US" w:eastAsia="en-US"/>
    </w:rPr>
  </w:style>
  <w:style w:type="paragraph" w:styleId="NormalWeb">
    <w:name w:val="Normal (Web)"/>
    <w:basedOn w:val="Normal"/>
    <w:uiPriority w:val="99"/>
    <w:pPr>
      <w:tabs>
        <w:tab w:val="clear" w:pos="-720"/>
      </w:tabs>
      <w:spacing w:before="100" w:beforeAutospacing="1" w:after="100" w:afterAutospacing="1" w:line="240" w:lineRule="auto"/>
      <w:jc w:val="left"/>
    </w:pPr>
    <w:rPr>
      <w:color w:val="000000"/>
      <w:sz w:val="24"/>
      <w:szCs w:val="24"/>
      <w:lang w:val="en-US" w:eastAsia="en-US"/>
    </w:rPr>
  </w:style>
  <w:style w:type="character" w:customStyle="1" w:styleId="text13pt">
    <w:name w:val="text13pt"/>
    <w:basedOn w:val="Policepardfaut"/>
  </w:style>
  <w:style w:type="character" w:customStyle="1" w:styleId="text11pt">
    <w:name w:val="text11pt"/>
    <w:basedOn w:val="Policepardfaut"/>
  </w:style>
  <w:style w:type="character" w:customStyle="1" w:styleId="paraaCar">
    <w:name w:val="paraa) Car"/>
    <w:rPr>
      <w:rFonts w:ascii="Arial" w:hAnsi="Arial" w:cs="Arial"/>
      <w:sz w:val="18"/>
      <w:szCs w:val="18"/>
      <w:lang w:val="en-GB" w:eastAsia="fr-FR" w:bidi="ar-SA"/>
    </w:rPr>
  </w:style>
  <w:style w:type="paragraph" w:customStyle="1" w:styleId="Objetducommentaire1">
    <w:name w:val="Objet du commentaire1"/>
    <w:basedOn w:val="Commentaire"/>
    <w:next w:val="Commentaire"/>
    <w:semiHidden/>
    <w:rPr>
      <w:b/>
      <w:bCs/>
      <w:lang w:eastAsia="fr-FR"/>
    </w:rPr>
  </w:style>
  <w:style w:type="paragraph" w:customStyle="1" w:styleId="Textedebulles1">
    <w:name w:val="Texte de bulles1"/>
    <w:basedOn w:val="Normal"/>
    <w:semiHidden/>
    <w:rPr>
      <w:rFonts w:ascii="Tahoma" w:hAnsi="Tahoma" w:cs="Tahoma"/>
      <w:sz w:val="16"/>
      <w:szCs w:val="16"/>
    </w:rPr>
  </w:style>
  <w:style w:type="paragraph" w:customStyle="1" w:styleId="BalloonText2">
    <w:name w:val="Balloon Text2"/>
    <w:basedOn w:val="Normal"/>
    <w:semiHidden/>
    <w:rPr>
      <w:rFonts w:ascii="Tahoma" w:hAnsi="Tahoma" w:cs="Tahoma"/>
      <w:sz w:val="16"/>
      <w:szCs w:val="16"/>
    </w:rPr>
  </w:style>
  <w:style w:type="paragraph" w:customStyle="1" w:styleId="CommentSubject2">
    <w:name w:val="Comment Subject2"/>
    <w:basedOn w:val="Commentaire"/>
    <w:next w:val="Commentaire"/>
    <w:semiHidden/>
    <w:rPr>
      <w:b/>
      <w:bCs/>
      <w:lang w:eastAsia="fr-FR"/>
    </w:rPr>
  </w:style>
  <w:style w:type="paragraph" w:styleId="Textedebulles">
    <w:name w:val="Balloon Text"/>
    <w:basedOn w:val="Normal"/>
    <w:semiHidden/>
    <w:rsid w:val="00C27990"/>
    <w:rPr>
      <w:rFonts w:ascii="Tahoma" w:hAnsi="Tahoma" w:cs="Tahoma"/>
      <w:sz w:val="16"/>
      <w:szCs w:val="16"/>
    </w:rPr>
  </w:style>
  <w:style w:type="paragraph" w:styleId="Objetducommentaire">
    <w:name w:val="annotation subject"/>
    <w:basedOn w:val="Commentaire"/>
    <w:next w:val="Commentaire"/>
    <w:semiHidden/>
    <w:rsid w:val="00B561BD"/>
    <w:rPr>
      <w:b/>
      <w:bCs/>
      <w:lang w:eastAsia="fr-FR"/>
    </w:rPr>
  </w:style>
  <w:style w:type="paragraph" w:customStyle="1" w:styleId="BalloonText3">
    <w:name w:val="Balloon Text3"/>
    <w:basedOn w:val="Normal"/>
    <w:semiHidden/>
    <w:rsid w:val="00822D92"/>
    <w:rPr>
      <w:rFonts w:ascii="Tahoma" w:hAnsi="Tahoma" w:cs="Tahoma"/>
      <w:sz w:val="16"/>
      <w:szCs w:val="16"/>
    </w:rPr>
  </w:style>
  <w:style w:type="paragraph" w:customStyle="1" w:styleId="CommentSubject3">
    <w:name w:val="Comment Subject3"/>
    <w:basedOn w:val="Commentaire"/>
    <w:next w:val="Commentaire"/>
    <w:semiHidden/>
    <w:rsid w:val="00822D92"/>
    <w:rPr>
      <w:b/>
      <w:bCs/>
      <w:lang w:eastAsia="fr-FR"/>
    </w:rPr>
  </w:style>
  <w:style w:type="paragraph" w:styleId="Explorateurdedocuments">
    <w:name w:val="Document Map"/>
    <w:basedOn w:val="Normal"/>
    <w:semiHidden/>
    <w:rsid w:val="00AF6FBF"/>
    <w:pPr>
      <w:shd w:val="clear" w:color="auto" w:fill="000080"/>
    </w:pPr>
    <w:rPr>
      <w:rFonts w:ascii="Tahoma" w:hAnsi="Tahoma" w:cs="Tahoma"/>
    </w:rPr>
  </w:style>
  <w:style w:type="paragraph" w:styleId="Rvision">
    <w:name w:val="Revision"/>
    <w:hidden/>
    <w:uiPriority w:val="99"/>
    <w:semiHidden/>
    <w:rsid w:val="00DA13F5"/>
    <w:rPr>
      <w:lang w:eastAsia="fr-FR"/>
    </w:rPr>
  </w:style>
  <w:style w:type="character" w:customStyle="1" w:styleId="En-tteCar">
    <w:name w:val="En-tête Car"/>
    <w:link w:val="En-tte"/>
    <w:rsid w:val="00AE34C8"/>
    <w:rPr>
      <w:lang w:eastAsia="fr-FR"/>
    </w:rPr>
  </w:style>
  <w:style w:type="paragraph" w:customStyle="1" w:styleId="Reflabnote">
    <w:name w:val="Ref_lab_note"/>
    <w:basedOn w:val="Normal"/>
    <w:link w:val="ReflabnoteCar"/>
    <w:rsid w:val="00D246A5"/>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D246A5"/>
    <w:rPr>
      <w:rFonts w:ascii="Arial" w:hAnsi="Arial" w:cs="Arial"/>
      <w:sz w:val="18"/>
      <w:szCs w:val="18"/>
      <w:lang w:eastAsia="fr-FR"/>
    </w:rPr>
  </w:style>
  <w:style w:type="paragraph" w:customStyle="1" w:styleId="A1">
    <w:name w:val="A1"/>
    <w:basedOn w:val="Titre1"/>
    <w:qFormat/>
    <w:rsid w:val="002943E5"/>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2943E5"/>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2943E5"/>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2943E5"/>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2943E5"/>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2943E5"/>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2943E5"/>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2943E5"/>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2943E5"/>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2943E5"/>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2943E5"/>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2943E5"/>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2943E5"/>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2943E5"/>
    <w:pPr>
      <w:spacing w:after="120"/>
      <w:ind w:hanging="425"/>
    </w:pPr>
  </w:style>
  <w:style w:type="paragraph" w:customStyle="1" w:styleId="11ilist">
    <w:name w:val="1.1.i_list"/>
    <w:basedOn w:val="i"/>
    <w:qFormat/>
    <w:rsid w:val="002943E5"/>
    <w:pPr>
      <w:tabs>
        <w:tab w:val="clear" w:pos="-720"/>
      </w:tabs>
      <w:ind w:left="1276"/>
    </w:pPr>
    <w:rPr>
      <w:rFonts w:eastAsiaTheme="minorHAnsi"/>
      <w:lang w:eastAsia="en-US"/>
    </w:rPr>
  </w:style>
  <w:style w:type="character" w:customStyle="1" w:styleId="NotedebasdepageCar">
    <w:name w:val="Note de bas de page Car"/>
    <w:basedOn w:val="Policepardfaut"/>
    <w:link w:val="Notedebasdepage"/>
    <w:rsid w:val="002943E5"/>
    <w:rPr>
      <w:lang w:eastAsia="fr-FR"/>
    </w:rPr>
  </w:style>
  <w:style w:type="paragraph" w:customStyle="1" w:styleId="TableHead">
    <w:name w:val="Table Head"/>
    <w:basedOn w:val="Normal"/>
    <w:rsid w:val="002943E5"/>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2943E5"/>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2943E5"/>
    <w:pPr>
      <w:tabs>
        <w:tab w:val="clear" w:pos="-720"/>
      </w:tabs>
      <w:spacing w:after="12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2943E5"/>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2943E5"/>
    <w:rPr>
      <w:rFonts w:ascii="Calibri" w:eastAsiaTheme="minorHAnsi" w:hAnsi="Calibri" w:cstheme="minorBidi"/>
      <w:sz w:val="22"/>
      <w:szCs w:val="21"/>
      <w:lang w:eastAsia="en-US"/>
    </w:rPr>
  </w:style>
  <w:style w:type="paragraph" w:customStyle="1" w:styleId="Title1">
    <w:name w:val="Title1"/>
    <w:basedOn w:val="Normal"/>
    <w:rsid w:val="00D35643"/>
    <w:pPr>
      <w:tabs>
        <w:tab w:val="clear" w:pos="-720"/>
      </w:tabs>
      <w:spacing w:before="100" w:beforeAutospacing="1" w:after="100" w:afterAutospacing="1" w:line="240" w:lineRule="auto"/>
      <w:jc w:val="left"/>
    </w:pPr>
    <w:rPr>
      <w:sz w:val="24"/>
      <w:szCs w:val="24"/>
      <w:lang w:val="de-CH" w:eastAsia="de-CH"/>
    </w:rPr>
  </w:style>
  <w:style w:type="paragraph" w:customStyle="1" w:styleId="desc">
    <w:name w:val="desc"/>
    <w:basedOn w:val="Normal"/>
    <w:rsid w:val="00D35643"/>
    <w:pPr>
      <w:tabs>
        <w:tab w:val="clear" w:pos="-720"/>
      </w:tabs>
      <w:spacing w:before="100" w:beforeAutospacing="1" w:after="100" w:afterAutospacing="1" w:line="240" w:lineRule="auto"/>
      <w:jc w:val="left"/>
    </w:pPr>
    <w:rPr>
      <w:sz w:val="24"/>
      <w:szCs w:val="24"/>
      <w:lang w:val="de-CH" w:eastAsia="de-CH"/>
    </w:rPr>
  </w:style>
  <w:style w:type="paragraph" w:customStyle="1" w:styleId="details">
    <w:name w:val="details"/>
    <w:basedOn w:val="Normal"/>
    <w:rsid w:val="00D35643"/>
    <w:pPr>
      <w:tabs>
        <w:tab w:val="clear" w:pos="-720"/>
      </w:tabs>
      <w:spacing w:before="100" w:beforeAutospacing="1" w:after="100" w:afterAutospacing="1" w:line="240" w:lineRule="auto"/>
      <w:jc w:val="left"/>
    </w:pPr>
    <w:rPr>
      <w:sz w:val="24"/>
      <w:szCs w:val="24"/>
      <w:lang w:val="de-CH" w:eastAsia="de-CH"/>
    </w:rPr>
  </w:style>
  <w:style w:type="character" w:customStyle="1" w:styleId="jrnl">
    <w:name w:val="jrnl"/>
    <w:basedOn w:val="Policepardfaut"/>
    <w:rsid w:val="00D35643"/>
  </w:style>
  <w:style w:type="paragraph" w:styleId="Notedefin">
    <w:name w:val="endnote text"/>
    <w:basedOn w:val="Normal"/>
    <w:link w:val="NotedefinCar"/>
    <w:rsid w:val="000C3EC9"/>
    <w:pPr>
      <w:spacing w:line="240" w:lineRule="auto"/>
    </w:pPr>
  </w:style>
  <w:style w:type="character" w:customStyle="1" w:styleId="NotedefinCar">
    <w:name w:val="Note de fin Car"/>
    <w:basedOn w:val="Policepardfaut"/>
    <w:link w:val="Notedefin"/>
    <w:rsid w:val="000C3EC9"/>
    <w:rPr>
      <w:lang w:eastAsia="fr-FR"/>
    </w:rPr>
  </w:style>
  <w:style w:type="character" w:styleId="Appeldenotedefin">
    <w:name w:val="endnote reference"/>
    <w:basedOn w:val="Policepardfaut"/>
    <w:rsid w:val="000C3EC9"/>
    <w:rPr>
      <w:vertAlign w:val="superscript"/>
    </w:rPr>
  </w:style>
  <w:style w:type="paragraph" w:customStyle="1" w:styleId="authors1">
    <w:name w:val="authors1"/>
    <w:basedOn w:val="Normal"/>
    <w:rsid w:val="00893068"/>
    <w:pPr>
      <w:tabs>
        <w:tab w:val="clear" w:pos="-720"/>
      </w:tabs>
      <w:spacing w:before="72" w:line="240" w:lineRule="atLeast"/>
      <w:ind w:left="808"/>
      <w:jc w:val="left"/>
    </w:pPr>
    <w:rPr>
      <w:sz w:val="22"/>
      <w:szCs w:val="22"/>
      <w:lang w:eastAsia="en-GB"/>
    </w:rPr>
  </w:style>
  <w:style w:type="character" w:customStyle="1" w:styleId="journalname">
    <w:name w:val="journalname"/>
    <w:basedOn w:val="Policepardfaut"/>
    <w:rsid w:val="00893068"/>
  </w:style>
  <w:style w:type="paragraph" w:styleId="Paragraphedeliste">
    <w:name w:val="List Paragraph"/>
    <w:basedOn w:val="Normal"/>
    <w:uiPriority w:val="34"/>
    <w:qFormat/>
    <w:rsid w:val="00071A19"/>
    <w:pPr>
      <w:ind w:left="720"/>
      <w:contextualSpacing/>
    </w:pPr>
  </w:style>
  <w:style w:type="character" w:styleId="Mentionnonrsolue">
    <w:name w:val="Unresolved Mention"/>
    <w:basedOn w:val="Policepardfaut"/>
    <w:uiPriority w:val="99"/>
    <w:semiHidden/>
    <w:unhideWhenUsed/>
    <w:rsid w:val="003460FC"/>
    <w:rPr>
      <w:color w:val="605E5C"/>
      <w:shd w:val="clear" w:color="auto" w:fill="E1DFDD"/>
    </w:rPr>
  </w:style>
  <w:style w:type="character" w:customStyle="1" w:styleId="Titre1Car">
    <w:name w:val="Titre 1 Car"/>
    <w:basedOn w:val="Policepardfaut"/>
    <w:link w:val="Titre1"/>
    <w:uiPriority w:val="99"/>
    <w:rsid w:val="00D03A25"/>
    <w:rPr>
      <w:rFonts w:ascii="Arial" w:hAnsi="Arial" w:cs="Arial"/>
      <w:b/>
      <w:bC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335823">
      <w:bodyDiv w:val="1"/>
      <w:marLeft w:val="0"/>
      <w:marRight w:val="0"/>
      <w:marTop w:val="0"/>
      <w:marBottom w:val="0"/>
      <w:divBdr>
        <w:top w:val="none" w:sz="0" w:space="0" w:color="auto"/>
        <w:left w:val="none" w:sz="0" w:space="0" w:color="auto"/>
        <w:bottom w:val="none" w:sz="0" w:space="0" w:color="auto"/>
        <w:right w:val="none" w:sz="0" w:space="0" w:color="auto"/>
      </w:divBdr>
    </w:div>
    <w:div w:id="514004153">
      <w:bodyDiv w:val="1"/>
      <w:marLeft w:val="0"/>
      <w:marRight w:val="0"/>
      <w:marTop w:val="0"/>
      <w:marBottom w:val="0"/>
      <w:divBdr>
        <w:top w:val="none" w:sz="0" w:space="0" w:color="auto"/>
        <w:left w:val="none" w:sz="0" w:space="0" w:color="auto"/>
        <w:bottom w:val="none" w:sz="0" w:space="0" w:color="auto"/>
        <w:right w:val="none" w:sz="0" w:space="0" w:color="auto"/>
      </w:divBdr>
      <w:divsChild>
        <w:div w:id="1942108835">
          <w:marLeft w:val="0"/>
          <w:marRight w:val="0"/>
          <w:marTop w:val="34"/>
          <w:marBottom w:val="34"/>
          <w:divBdr>
            <w:top w:val="none" w:sz="0" w:space="0" w:color="auto"/>
            <w:left w:val="none" w:sz="0" w:space="0" w:color="auto"/>
            <w:bottom w:val="none" w:sz="0" w:space="0" w:color="auto"/>
            <w:right w:val="none" w:sz="0" w:space="0" w:color="auto"/>
          </w:divBdr>
        </w:div>
      </w:divsChild>
    </w:div>
    <w:div w:id="1050038623">
      <w:bodyDiv w:val="1"/>
      <w:marLeft w:val="0"/>
      <w:marRight w:val="0"/>
      <w:marTop w:val="0"/>
      <w:marBottom w:val="0"/>
      <w:divBdr>
        <w:top w:val="none" w:sz="0" w:space="0" w:color="auto"/>
        <w:left w:val="none" w:sz="0" w:space="0" w:color="auto"/>
        <w:bottom w:val="none" w:sz="0" w:space="0" w:color="auto"/>
        <w:right w:val="none" w:sz="0" w:space="0" w:color="auto"/>
      </w:divBdr>
    </w:div>
    <w:div w:id="187603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wahis_2/public/wahid.php/Wahidhome/Home" TargetMode="Externa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ie.int/en/scientific-expertise/reference-laboratories/list-of-laborator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oie.int/en/scientific-expertise/registration-of-diagnostic-kits/the-register-of-diagnostic-kits/" TargetMode="External"/><Relationship Id="rId23" Type="http://schemas.openxmlformats.org/officeDocument/2006/relationships/theme" Target="theme/theme1.xml"/><Relationship Id="rId10" Type="http://schemas.openxmlformats.org/officeDocument/2006/relationships/hyperlink" Target="http://www.tse-lab-net.eu/documents/tse-oie-rl-prp.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e-lab-net.eu/documents/tse-oie-guide.pdf" TargetMode="External"/><Relationship Id="rId14" Type="http://schemas.openxmlformats.org/officeDocument/2006/relationships/image" Target="media/image3.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vla.gov.uk/science/sci_tse_rl_tests.htm" TargetMode="External"/><Relationship Id="rId2" Type="http://schemas.openxmlformats.org/officeDocument/2006/relationships/hyperlink" Target="http://www.tse-lab-net.eu/" TargetMode="External"/><Relationship Id="rId1" Type="http://schemas.openxmlformats.org/officeDocument/2006/relationships/hyperlink" Target="https://science.vla.gov.uk/tseglobalnet/" TargetMode="External"/><Relationship Id="rId6" Type="http://schemas.openxmlformats.org/officeDocument/2006/relationships/hyperlink" Target="https://science.vla.gov.uk/tseglobalnet/documents/tse-oie-guide.pdf" TargetMode="External"/><Relationship Id="rId5" Type="http://schemas.openxmlformats.org/officeDocument/2006/relationships/hyperlink" Target="https://science.vla.gov.uk/tseglobalnet/test.html" TargetMode="External"/><Relationship Id="rId4" Type="http://schemas.openxmlformats.org/officeDocument/2006/relationships/hyperlink" Target="https://science.vla.gov.uk/tseglobalnet/documents/OIE%20rules%20for%20BSE%20using%20a%20second%20rapid%20test_Rev_Jan2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31EB4-4251-416C-9905-A813E4A04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8</TotalTime>
  <Pages>13</Pages>
  <Words>7950</Words>
  <Characters>45396</Characters>
  <Application>Microsoft Office Word</Application>
  <DocSecurity>0</DocSecurity>
  <Lines>378</Lines>
  <Paragraphs>106</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fmd with viaa test incl.</vt:lpstr>
      <vt:lpstr>fmd with viaa test incl.</vt:lpstr>
      <vt:lpstr>fmd with viaa test incl.</vt:lpstr>
    </vt:vector>
  </TitlesOfParts>
  <Company>Microsoft</Company>
  <LinksUpToDate>false</LinksUpToDate>
  <CharactersWithSpaces>53240</CharactersWithSpaces>
  <SharedDoc>false</SharedDoc>
  <HLinks>
    <vt:vector size="60" baseType="variant">
      <vt:variant>
        <vt:i4>3932281</vt:i4>
      </vt:variant>
      <vt:variant>
        <vt:i4>21</vt:i4>
      </vt:variant>
      <vt:variant>
        <vt:i4>0</vt:i4>
      </vt:variant>
      <vt:variant>
        <vt:i4>5</vt:i4>
      </vt:variant>
      <vt:variant>
        <vt:lpwstr>http://www.oie.int/</vt:lpwstr>
      </vt:variant>
      <vt:variant>
        <vt:lpwstr/>
      </vt:variant>
      <vt:variant>
        <vt:i4>1114189</vt:i4>
      </vt:variant>
      <vt:variant>
        <vt:i4>18</vt:i4>
      </vt:variant>
      <vt:variant>
        <vt:i4>0</vt:i4>
      </vt:variant>
      <vt:variant>
        <vt:i4>5</vt:i4>
      </vt:variant>
      <vt:variant>
        <vt:lpwstr>http://www.oie.int/vcda/eng/en_background_vcda.htm</vt:lpwstr>
      </vt:variant>
      <vt:variant>
        <vt:lpwstr/>
      </vt:variant>
      <vt:variant>
        <vt:i4>5046381</vt:i4>
      </vt:variant>
      <vt:variant>
        <vt:i4>15</vt:i4>
      </vt:variant>
      <vt:variant>
        <vt:i4>0</vt:i4>
      </vt:variant>
      <vt:variant>
        <vt:i4>5</vt:i4>
      </vt:variant>
      <vt:variant>
        <vt:lpwstr>http://www.oie.int/eng/OIE/organisation/en_LR.htm</vt:lpwstr>
      </vt:variant>
      <vt:variant>
        <vt:lpwstr/>
      </vt:variant>
      <vt:variant>
        <vt:i4>7471109</vt:i4>
      </vt:variant>
      <vt:variant>
        <vt:i4>12</vt:i4>
      </vt:variant>
      <vt:variant>
        <vt:i4>0</vt:i4>
      </vt:variant>
      <vt:variant>
        <vt:i4>5</vt:i4>
      </vt:variant>
      <vt:variant>
        <vt:lpwstr>http://www.oie.int/eng/info/en_esb.htm</vt:lpwstr>
      </vt:variant>
      <vt:variant>
        <vt:lpwstr/>
      </vt:variant>
      <vt:variant>
        <vt:i4>3145796</vt:i4>
      </vt:variant>
      <vt:variant>
        <vt:i4>9</vt:i4>
      </vt:variant>
      <vt:variant>
        <vt:i4>0</vt:i4>
      </vt:variant>
      <vt:variant>
        <vt:i4>5</vt:i4>
      </vt:variant>
      <vt:variant>
        <vt:lpwstr>http://www.vla.gov.uk/science/sci_tse_rl_tests.htm</vt:lpwstr>
      </vt:variant>
      <vt:variant>
        <vt:lpwstr/>
      </vt:variant>
      <vt:variant>
        <vt:i4>5046381</vt:i4>
      </vt:variant>
      <vt:variant>
        <vt:i4>3</vt:i4>
      </vt:variant>
      <vt:variant>
        <vt:i4>0</vt:i4>
      </vt:variant>
      <vt:variant>
        <vt:i4>5</vt:i4>
      </vt:variant>
      <vt:variant>
        <vt:lpwstr>http://www.oie.int/eng/OIE/organisation/en_LR.htm</vt:lpwstr>
      </vt:variant>
      <vt:variant>
        <vt:lpwstr/>
      </vt:variant>
      <vt:variant>
        <vt:i4>7471109</vt:i4>
      </vt:variant>
      <vt:variant>
        <vt:i4>0</vt:i4>
      </vt:variant>
      <vt:variant>
        <vt:i4>0</vt:i4>
      </vt:variant>
      <vt:variant>
        <vt:i4>5</vt:i4>
      </vt:variant>
      <vt:variant>
        <vt:lpwstr>http://www.oie.int/eng/info/en_esb.htm</vt:lpwstr>
      </vt:variant>
      <vt:variant>
        <vt:lpwstr/>
      </vt:variant>
      <vt:variant>
        <vt:i4>1114189</vt:i4>
      </vt:variant>
      <vt:variant>
        <vt:i4>6</vt:i4>
      </vt:variant>
      <vt:variant>
        <vt:i4>0</vt:i4>
      </vt:variant>
      <vt:variant>
        <vt:i4>5</vt:i4>
      </vt:variant>
      <vt:variant>
        <vt:lpwstr>http://www.oie.int/vcda/eng/en_background_vcda.htm</vt:lpwstr>
      </vt:variant>
      <vt:variant>
        <vt:lpwstr/>
      </vt:variant>
      <vt:variant>
        <vt:i4>1245271</vt:i4>
      </vt:variant>
      <vt:variant>
        <vt:i4>3</vt:i4>
      </vt:variant>
      <vt:variant>
        <vt:i4>0</vt:i4>
      </vt:variant>
      <vt:variant>
        <vt:i4>5</vt:i4>
      </vt:variant>
      <vt:variant>
        <vt:lpwstr>http://www.maff.go.jp/nval/english/pdf/outline080514.pdf</vt:lpwstr>
      </vt:variant>
      <vt:variant>
        <vt:lpwstr/>
      </vt:variant>
      <vt:variant>
        <vt:i4>3145796</vt:i4>
      </vt:variant>
      <vt:variant>
        <vt:i4>0</vt:i4>
      </vt:variant>
      <vt:variant>
        <vt:i4>0</vt:i4>
      </vt:variant>
      <vt:variant>
        <vt:i4>5</vt:i4>
      </vt:variant>
      <vt:variant>
        <vt:lpwstr>http://www.vla.gov.uk/science/sci_tse_rl_tests.htm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3</cp:revision>
  <cp:lastPrinted>2016-01-25T08:58:00Z</cp:lastPrinted>
  <dcterms:created xsi:type="dcterms:W3CDTF">2020-03-04T10:37:00Z</dcterms:created>
  <dcterms:modified xsi:type="dcterms:W3CDTF">2020-03-04T10:45:00Z</dcterms:modified>
</cp:coreProperties>
</file>