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0A9358" w14:textId="4A91D2D3" w:rsidR="00B66F35" w:rsidRPr="002060A9" w:rsidRDefault="00D3316A" w:rsidP="00D3316A">
      <w:pPr>
        <w:pStyle w:val="Chatperno"/>
        <w:outlineLvl w:val="0"/>
        <w:rPr>
          <w:lang w:val="en-IE"/>
        </w:rPr>
      </w:pPr>
      <w:r w:rsidRPr="009C122D">
        <w:t xml:space="preserve">Chapter </w:t>
      </w:r>
      <w:r w:rsidR="00167A02">
        <w:rPr>
          <w:lang w:val="en-IE"/>
        </w:rPr>
        <w:t>3</w:t>
      </w:r>
      <w:r w:rsidR="00B66F35" w:rsidRPr="002060A9">
        <w:rPr>
          <w:lang w:val="en-IE"/>
        </w:rPr>
        <w:t>.1.1</w:t>
      </w:r>
      <w:r w:rsidR="00C45D2A">
        <w:rPr>
          <w:lang w:val="en-IE"/>
        </w:rPr>
        <w:t>5</w:t>
      </w:r>
      <w:r w:rsidR="00B66F35" w:rsidRPr="002060A9">
        <w:rPr>
          <w:lang w:val="en-IE"/>
        </w:rPr>
        <w:t>.</w:t>
      </w:r>
    </w:p>
    <w:p w14:paraId="2BC37408" w14:textId="77777777" w:rsidR="00B66F35" w:rsidRPr="002060A9" w:rsidRDefault="00B66F35" w:rsidP="005772C1">
      <w:pPr>
        <w:pStyle w:val="Chaptertitle"/>
        <w:rPr>
          <w:lang w:val="en-IE"/>
        </w:rPr>
      </w:pPr>
      <w:r w:rsidRPr="002060A9">
        <w:rPr>
          <w:lang w:val="en-IE"/>
        </w:rPr>
        <w:t xml:space="preserve">paratuberculosis </w:t>
      </w:r>
      <w:r w:rsidRPr="002060A9">
        <w:rPr>
          <w:lang w:val="en-IE"/>
        </w:rPr>
        <w:br/>
      </w:r>
      <w:r w:rsidRPr="002060A9">
        <w:rPr>
          <w:b w:val="0"/>
          <w:bCs/>
          <w:caps w:val="0"/>
          <w:lang w:val="en-IE"/>
        </w:rPr>
        <w:t>(</w:t>
      </w:r>
      <w:proofErr w:type="spellStart"/>
      <w:r w:rsidRPr="002060A9">
        <w:rPr>
          <w:b w:val="0"/>
          <w:bCs/>
          <w:caps w:val="0"/>
          <w:lang w:val="en-IE"/>
        </w:rPr>
        <w:t>Johne’s</w:t>
      </w:r>
      <w:proofErr w:type="spellEnd"/>
      <w:r w:rsidRPr="002060A9">
        <w:rPr>
          <w:b w:val="0"/>
          <w:bCs/>
          <w:caps w:val="0"/>
          <w:lang w:val="en-IE"/>
        </w:rPr>
        <w:t xml:space="preserve"> disease)</w:t>
      </w:r>
    </w:p>
    <w:p w14:paraId="04472150" w14:textId="77777777" w:rsidR="00B66F35" w:rsidRPr="002060A9" w:rsidRDefault="00B66F35" w:rsidP="00167A02">
      <w:pPr>
        <w:pStyle w:val="Summarytitle"/>
        <w:spacing w:before="1240"/>
        <w:outlineLvl w:val="0"/>
        <w:rPr>
          <w:lang w:val="en-IE"/>
        </w:rPr>
      </w:pPr>
      <w:r w:rsidRPr="002060A9">
        <w:rPr>
          <w:lang w:val="en-IE"/>
        </w:rPr>
        <w:t>SUMMARY</w:t>
      </w:r>
    </w:p>
    <w:p w14:paraId="37D5BBB3" w14:textId="35CE4FDB" w:rsidR="00B66F35" w:rsidRPr="002060A9" w:rsidRDefault="00886B43" w:rsidP="00167A02">
      <w:pPr>
        <w:pStyle w:val="Base"/>
        <w:rPr>
          <w:lang w:val="en-IE"/>
        </w:rPr>
      </w:pPr>
      <w:r w:rsidRPr="008A6077">
        <w:rPr>
          <w:b/>
          <w:bCs/>
          <w:u w:val="double"/>
          <w:lang w:val="en-IE"/>
        </w:rPr>
        <w:t>Description of the disease:</w:t>
      </w:r>
      <w:r>
        <w:rPr>
          <w:lang w:val="en-IE"/>
        </w:rPr>
        <w:t xml:space="preserve"> </w:t>
      </w:r>
      <w:r w:rsidR="00B66F35" w:rsidRPr="002060A9">
        <w:rPr>
          <w:lang w:val="en-IE"/>
        </w:rPr>
        <w:t xml:space="preserve">Paratuberculosis </w:t>
      </w:r>
      <w:r w:rsidR="00B66F35" w:rsidRPr="002060A9">
        <w:rPr>
          <w:i w:val="0"/>
          <w:iCs w:val="0"/>
          <w:lang w:val="en-IE"/>
        </w:rPr>
        <w:t>(</w:t>
      </w:r>
      <w:r w:rsidR="00B66F35" w:rsidRPr="002060A9">
        <w:rPr>
          <w:lang w:val="en-IE"/>
        </w:rPr>
        <w:t>Johne’s disease</w:t>
      </w:r>
      <w:r w:rsidR="00B66F35" w:rsidRPr="002060A9">
        <w:rPr>
          <w:i w:val="0"/>
          <w:iCs w:val="0"/>
          <w:lang w:val="en-IE"/>
        </w:rPr>
        <w:t>)</w:t>
      </w:r>
      <w:r w:rsidR="00B66F35" w:rsidRPr="002060A9">
        <w:rPr>
          <w:lang w:val="en-IE"/>
        </w:rPr>
        <w:t xml:space="preserve"> is a chronic enteritis of ruminants caused by </w:t>
      </w:r>
      <w:r w:rsidR="00B66F35" w:rsidRPr="002060A9">
        <w:rPr>
          <w:i w:val="0"/>
          <w:lang w:val="en-IE"/>
        </w:rPr>
        <w:t>Mycobacterium</w:t>
      </w:r>
      <w:r w:rsidR="00B66F35" w:rsidRPr="002060A9">
        <w:rPr>
          <w:lang w:val="en-IE"/>
        </w:rPr>
        <w:t xml:space="preserve"> </w:t>
      </w:r>
      <w:r w:rsidR="00B66F35" w:rsidRPr="002060A9">
        <w:rPr>
          <w:i w:val="0"/>
          <w:lang w:val="en-IE"/>
        </w:rPr>
        <w:t>avium</w:t>
      </w:r>
      <w:r w:rsidR="00B66F35" w:rsidRPr="002060A9">
        <w:rPr>
          <w:lang w:val="en-IE"/>
        </w:rPr>
        <w:t xml:space="preserve"> subsp. </w:t>
      </w:r>
      <w:r w:rsidR="00B66F35" w:rsidRPr="002060A9">
        <w:rPr>
          <w:i w:val="0"/>
          <w:lang w:val="en-IE"/>
        </w:rPr>
        <w:t>paratuberculosis (MAP)</w:t>
      </w:r>
      <w:r w:rsidR="00B66F35" w:rsidRPr="002060A9">
        <w:rPr>
          <w:lang w:val="en-IE"/>
        </w:rPr>
        <w:t>.</w:t>
      </w:r>
    </w:p>
    <w:p w14:paraId="53815945" w14:textId="5242A450" w:rsidR="00886B43" w:rsidRPr="008A6077" w:rsidRDefault="00886B43" w:rsidP="00886B43">
      <w:pPr>
        <w:pStyle w:val="Base"/>
        <w:rPr>
          <w:u w:val="double"/>
          <w:lang w:val="en-IE"/>
        </w:rPr>
      </w:pPr>
      <w:r w:rsidRPr="008A6077">
        <w:rPr>
          <w:u w:val="double"/>
          <w:lang w:val="en-IE"/>
        </w:rPr>
        <w:t xml:space="preserve">Diagnosis of paratuberculosis is made on clinical grounds confirmed by the demonstration of </w:t>
      </w:r>
      <w:r w:rsidRPr="008A6077">
        <w:rPr>
          <w:i w:val="0"/>
          <w:u w:val="double"/>
          <w:lang w:val="en-IE"/>
        </w:rPr>
        <w:t>MAP</w:t>
      </w:r>
      <w:r w:rsidRPr="008A6077">
        <w:rPr>
          <w:u w:val="double"/>
          <w:lang w:val="en-IE"/>
        </w:rPr>
        <w:t xml:space="preserve"> in the faeces by</w:t>
      </w:r>
      <w:r w:rsidRPr="00D40259">
        <w:rPr>
          <w:lang w:val="en-IE"/>
        </w:rPr>
        <w:t xml:space="preserve"> </w:t>
      </w:r>
      <w:r w:rsidRPr="00BA733F">
        <w:rPr>
          <w:strike/>
          <w:highlight w:val="yellow"/>
          <w:lang w:val="en-IE"/>
        </w:rPr>
        <w:t>microscopy,</w:t>
      </w:r>
      <w:r w:rsidRPr="00BA733F">
        <w:rPr>
          <w:strike/>
          <w:lang w:val="en-IE"/>
        </w:rPr>
        <w:t xml:space="preserve"> </w:t>
      </w:r>
      <w:r w:rsidRPr="008A6077">
        <w:rPr>
          <w:u w:val="double"/>
          <w:lang w:val="en-IE"/>
        </w:rPr>
        <w:t>culture, or by the use of DNA probes and the polymerase chain reaction</w:t>
      </w:r>
      <w:r w:rsidR="00391B34">
        <w:rPr>
          <w:u w:val="double"/>
          <w:lang w:val="en-IE"/>
        </w:rPr>
        <w:t xml:space="preserve"> </w:t>
      </w:r>
      <w:r w:rsidR="00391B34" w:rsidRPr="00BA733F">
        <w:rPr>
          <w:i w:val="0"/>
          <w:iCs w:val="0"/>
          <w:u w:val="double"/>
          <w:lang w:val="en-IE"/>
        </w:rPr>
        <w:t>(</w:t>
      </w:r>
      <w:r w:rsidR="00391B34">
        <w:rPr>
          <w:u w:val="double"/>
          <w:lang w:val="en-IE"/>
        </w:rPr>
        <w:t>PCR</w:t>
      </w:r>
      <w:r w:rsidR="00391B34" w:rsidRPr="00BA733F">
        <w:rPr>
          <w:i w:val="0"/>
          <w:iCs w:val="0"/>
          <w:u w:val="double"/>
          <w:lang w:val="en-IE"/>
        </w:rPr>
        <w:t>)</w:t>
      </w:r>
      <w:r w:rsidRPr="008A6077">
        <w:rPr>
          <w:u w:val="double"/>
          <w:lang w:val="en-IE"/>
        </w:rPr>
        <w:t xml:space="preserve">. Diagnosis is made at necropsy by the finding of the pathognomonic lesions of the disease in the intestines, either grossly with the demonstration of typical acid-fast organisms in impression smears of the lesions or histologically, and by isolation of </w:t>
      </w:r>
      <w:r w:rsidRPr="008A6077">
        <w:rPr>
          <w:i w:val="0"/>
          <w:u w:val="double"/>
          <w:lang w:val="en-IE"/>
        </w:rPr>
        <w:t>MAP</w:t>
      </w:r>
      <w:r w:rsidRPr="008A6077">
        <w:rPr>
          <w:u w:val="double"/>
          <w:lang w:val="en-IE"/>
        </w:rPr>
        <w:t xml:space="preserve"> in culture.</w:t>
      </w:r>
    </w:p>
    <w:p w14:paraId="1D8EA05D" w14:textId="77777777" w:rsidR="00B66F35" w:rsidRPr="002060A9" w:rsidRDefault="00B66F35" w:rsidP="00167A02">
      <w:pPr>
        <w:pStyle w:val="Base"/>
        <w:rPr>
          <w:lang w:val="en-IE"/>
        </w:rPr>
      </w:pPr>
      <w:r w:rsidRPr="002060A9">
        <w:rPr>
          <w:b/>
          <w:lang w:val="en-IE"/>
        </w:rPr>
        <w:t>Identification of the agent:</w:t>
      </w:r>
      <w:r w:rsidRPr="002060A9">
        <w:rPr>
          <w:lang w:val="en-IE"/>
        </w:rPr>
        <w:t xml:space="preserve"> The diagnosis of paratuberculosis is divided into two parts: the diagnosis of clinical disease and the detection of subclinical infection. The latter is essential for control of the disease at the farm, national or international level.</w:t>
      </w:r>
    </w:p>
    <w:p w14:paraId="6C3BF955" w14:textId="77777777" w:rsidR="008A6077" w:rsidRPr="008A6077" w:rsidRDefault="008A6077" w:rsidP="008A6077">
      <w:pPr>
        <w:pStyle w:val="Base"/>
        <w:rPr>
          <w:strike/>
          <w:lang w:val="en-IE"/>
        </w:rPr>
      </w:pPr>
      <w:r w:rsidRPr="008A6077">
        <w:rPr>
          <w:strike/>
          <w:lang w:val="en-IE"/>
        </w:rPr>
        <w:t xml:space="preserve">Diagnosis of paratuberculosis is made on clinical grounds confirmed by the demonstration of </w:t>
      </w:r>
      <w:r w:rsidRPr="008A6077">
        <w:rPr>
          <w:i w:val="0"/>
          <w:strike/>
          <w:lang w:val="en-IE"/>
        </w:rPr>
        <w:t>MAP</w:t>
      </w:r>
      <w:r w:rsidRPr="008A6077">
        <w:rPr>
          <w:strike/>
          <w:lang w:val="en-IE"/>
        </w:rPr>
        <w:t xml:space="preserve"> in the faeces by microscopy, culture, or by the use of DNA probes and the polymerase chain reaction. Diagnosis is made at necropsy by the finding of the pathognomonic lesions of the disease in the intestines, either grossly with the demonstration of typical acid-fast organisms in impression smears of the lesions or histologically, and by isolation of </w:t>
      </w:r>
      <w:r w:rsidRPr="008A6077">
        <w:rPr>
          <w:i w:val="0"/>
          <w:strike/>
          <w:lang w:val="en-IE"/>
        </w:rPr>
        <w:t>MAP</w:t>
      </w:r>
      <w:r w:rsidRPr="008A6077">
        <w:rPr>
          <w:strike/>
          <w:lang w:val="en-IE"/>
        </w:rPr>
        <w:t xml:space="preserve"> in culture.</w:t>
      </w:r>
    </w:p>
    <w:p w14:paraId="4D02A59E" w14:textId="0A4AA4AD" w:rsidR="00B66F35" w:rsidRPr="002060A9" w:rsidRDefault="00B66F35" w:rsidP="00167A02">
      <w:pPr>
        <w:pStyle w:val="Base"/>
        <w:rPr>
          <w:lang w:val="en-IE"/>
        </w:rPr>
      </w:pPr>
      <w:r w:rsidRPr="002060A9">
        <w:rPr>
          <w:lang w:val="en-IE"/>
        </w:rPr>
        <w:t xml:space="preserve">The detection of subclinical infection depends on the detection of specific antibodies by serology, </w:t>
      </w:r>
      <w:r w:rsidRPr="00BA733F">
        <w:rPr>
          <w:strike/>
          <w:highlight w:val="yellow"/>
          <w:lang w:val="en-IE"/>
        </w:rPr>
        <w:t>or</w:t>
      </w:r>
      <w:r w:rsidRPr="00BA733F">
        <w:rPr>
          <w:strike/>
          <w:lang w:val="en-IE"/>
        </w:rPr>
        <w:t xml:space="preserve"> </w:t>
      </w:r>
      <w:r w:rsidRPr="002060A9">
        <w:rPr>
          <w:lang w:val="en-IE"/>
        </w:rPr>
        <w:t xml:space="preserve">culture of </w:t>
      </w:r>
      <w:r w:rsidRPr="002060A9">
        <w:rPr>
          <w:i w:val="0"/>
          <w:lang w:val="en-IE"/>
        </w:rPr>
        <w:t>MAP</w:t>
      </w:r>
      <w:r w:rsidRPr="002060A9">
        <w:rPr>
          <w:lang w:val="en-IE"/>
        </w:rPr>
        <w:t xml:space="preserve"> from faeces or tissues collected at necropsy,</w:t>
      </w:r>
      <w:r w:rsidR="006F08CD">
        <w:rPr>
          <w:lang w:val="en-IE"/>
        </w:rPr>
        <w:t xml:space="preserve"> </w:t>
      </w:r>
      <w:r w:rsidR="006F08CD" w:rsidRPr="00BA733F">
        <w:rPr>
          <w:highlight w:val="yellow"/>
          <w:u w:val="double"/>
          <w:lang w:val="en-IE"/>
        </w:rPr>
        <w:t>PCR</w:t>
      </w:r>
      <w:r w:rsidR="00000C65">
        <w:rPr>
          <w:lang w:val="en-IE"/>
        </w:rPr>
        <w:t>,</w:t>
      </w:r>
      <w:r w:rsidRPr="002060A9">
        <w:rPr>
          <w:lang w:val="en-IE"/>
        </w:rPr>
        <w:t xml:space="preserve"> or the demonstration of cell-mediated responses. The choice of test depends on the circumstances and the degree of sensitivity </w:t>
      </w:r>
      <w:r w:rsidR="005B709F" w:rsidRPr="00BA733F">
        <w:rPr>
          <w:highlight w:val="yellow"/>
          <w:u w:val="double"/>
          <w:lang w:val="en-IE"/>
        </w:rPr>
        <w:t>and specificity</w:t>
      </w:r>
      <w:r w:rsidR="0005508A">
        <w:rPr>
          <w:lang w:val="en-IE"/>
        </w:rPr>
        <w:t xml:space="preserve"> </w:t>
      </w:r>
      <w:r w:rsidRPr="002060A9">
        <w:rPr>
          <w:lang w:val="en-IE"/>
        </w:rPr>
        <w:t>required at individual animal or herd level.</w:t>
      </w:r>
    </w:p>
    <w:p w14:paraId="79988319" w14:textId="77777777" w:rsidR="00B66F35" w:rsidRPr="002060A9" w:rsidRDefault="00B66F35" w:rsidP="00167A02">
      <w:pPr>
        <w:pStyle w:val="Base"/>
        <w:rPr>
          <w:lang w:val="en-IE"/>
        </w:rPr>
      </w:pPr>
      <w:r w:rsidRPr="002060A9">
        <w:rPr>
          <w:lang w:val="en-IE"/>
        </w:rPr>
        <w:t xml:space="preserve">Cultures of </w:t>
      </w:r>
      <w:r w:rsidRPr="002060A9">
        <w:rPr>
          <w:i w:val="0"/>
          <w:lang w:val="en-IE"/>
        </w:rPr>
        <w:t>MAP</w:t>
      </w:r>
      <w:r w:rsidRPr="002060A9">
        <w:rPr>
          <w:lang w:val="en-IE"/>
        </w:rPr>
        <w:t xml:space="preserve"> may be obtained from faeces or tissues, after treatment to eliminate contaminants, by inoculation into artificial media with and without the specific growth factor – mycobactin – that is essential for the growth of </w:t>
      </w:r>
      <w:r w:rsidRPr="002060A9">
        <w:rPr>
          <w:i w:val="0"/>
          <w:lang w:val="en-IE"/>
        </w:rPr>
        <w:t>MAP</w:t>
      </w:r>
      <w:r w:rsidRPr="002060A9">
        <w:rPr>
          <w:lang w:val="en-IE"/>
        </w:rPr>
        <w:t>.</w:t>
      </w:r>
    </w:p>
    <w:p w14:paraId="6AEA5B14" w14:textId="77777777" w:rsidR="00B66F35" w:rsidRPr="002060A9" w:rsidRDefault="00B66F35" w:rsidP="00167A02">
      <w:pPr>
        <w:pStyle w:val="Base"/>
        <w:rPr>
          <w:lang w:val="en-IE"/>
        </w:rPr>
      </w:pPr>
      <w:r w:rsidRPr="002060A9">
        <w:rPr>
          <w:b/>
          <w:lang w:val="en-IE"/>
        </w:rPr>
        <w:t>Serological tests:</w:t>
      </w:r>
      <w:r w:rsidRPr="002060A9">
        <w:rPr>
          <w:lang w:val="en-IE"/>
        </w:rPr>
        <w:t xml:space="preserve"> </w:t>
      </w:r>
      <w:r w:rsidRPr="002060A9">
        <w:rPr>
          <w:noProof w:val="0"/>
          <w:spacing w:val="-3"/>
          <w:lang w:val="en-IE"/>
        </w:rPr>
        <w:t>Control of paratuberculosis is difficult because of the prolonged course of infection, the predominantly subclinical nature of the disease and lack of tests for accurate</w:t>
      </w:r>
      <w:r w:rsidRPr="002060A9">
        <w:rPr>
          <w:lang w:val="en-IE"/>
        </w:rPr>
        <w:t xml:space="preserve"> detection of subclinically infected animals. </w:t>
      </w:r>
    </w:p>
    <w:p w14:paraId="3BB4F7FD" w14:textId="2DCFD12A" w:rsidR="00B66F35" w:rsidRPr="002060A9" w:rsidRDefault="00B66F35" w:rsidP="00167A02">
      <w:pPr>
        <w:pStyle w:val="Base"/>
        <w:rPr>
          <w:lang w:val="en-IE"/>
        </w:rPr>
      </w:pPr>
      <w:r w:rsidRPr="002060A9">
        <w:rPr>
          <w:lang w:val="en-IE"/>
        </w:rPr>
        <w:t>The serological test</w:t>
      </w:r>
      <w:r w:rsidRPr="008A6077">
        <w:rPr>
          <w:strike/>
          <w:lang w:val="en-IE"/>
        </w:rPr>
        <w:t>s</w:t>
      </w:r>
      <w:r w:rsidRPr="002060A9">
        <w:rPr>
          <w:lang w:val="en-IE"/>
        </w:rPr>
        <w:t xml:space="preserve"> commonly used for paratuberculosis in cattle </w:t>
      </w:r>
      <w:r w:rsidRPr="008A6077">
        <w:rPr>
          <w:strike/>
          <w:lang w:val="en-IE"/>
        </w:rPr>
        <w:t>are</w:t>
      </w:r>
      <w:r w:rsidR="000F3967" w:rsidRPr="008A6077">
        <w:rPr>
          <w:strike/>
          <w:lang w:val="en-IE"/>
        </w:rPr>
        <w:t xml:space="preserve"> </w:t>
      </w:r>
      <w:r w:rsidR="00463EEA" w:rsidRPr="008A6077">
        <w:rPr>
          <w:u w:val="double"/>
          <w:lang w:val="en-IE"/>
        </w:rPr>
        <w:t>is</w:t>
      </w:r>
      <w:r w:rsidR="00463EEA" w:rsidRPr="002060A9">
        <w:rPr>
          <w:lang w:val="en-IE"/>
        </w:rPr>
        <w:t xml:space="preserve"> </w:t>
      </w:r>
      <w:r w:rsidRPr="002060A9">
        <w:rPr>
          <w:lang w:val="en-IE"/>
        </w:rPr>
        <w:t xml:space="preserve">absorbed enzyme-linked immunosorbent assay </w:t>
      </w:r>
      <w:r w:rsidRPr="002060A9">
        <w:rPr>
          <w:i w:val="0"/>
          <w:iCs w:val="0"/>
          <w:lang w:val="en-IE"/>
        </w:rPr>
        <w:t>(</w:t>
      </w:r>
      <w:r w:rsidRPr="002060A9">
        <w:rPr>
          <w:lang w:val="en-IE"/>
        </w:rPr>
        <w:t>ELISA</w:t>
      </w:r>
      <w:r w:rsidRPr="00C92B04">
        <w:rPr>
          <w:i w:val="0"/>
          <w:iCs w:val="0"/>
          <w:lang w:val="en-IE"/>
        </w:rPr>
        <w:t>)</w:t>
      </w:r>
      <w:r w:rsidR="00332DCC" w:rsidRPr="00C92B04">
        <w:rPr>
          <w:i w:val="0"/>
          <w:iCs w:val="0"/>
          <w:lang w:val="en-IE"/>
        </w:rPr>
        <w:t xml:space="preserve">, </w:t>
      </w:r>
      <w:r w:rsidR="00332DCC" w:rsidRPr="00D40259">
        <w:rPr>
          <w:highlight w:val="yellow"/>
          <w:u w:val="double"/>
          <w:lang w:val="en-IE"/>
        </w:rPr>
        <w:t xml:space="preserve">complement fixation </w:t>
      </w:r>
      <w:r w:rsidR="00332DCC" w:rsidRPr="00D40259">
        <w:rPr>
          <w:i w:val="0"/>
          <w:iCs w:val="0"/>
          <w:highlight w:val="yellow"/>
          <w:u w:val="double"/>
          <w:lang w:val="en-IE"/>
        </w:rPr>
        <w:t>(</w:t>
      </w:r>
      <w:r w:rsidR="00332DCC" w:rsidRPr="00D40259">
        <w:rPr>
          <w:highlight w:val="yellow"/>
          <w:u w:val="double"/>
          <w:lang w:val="en-IE"/>
        </w:rPr>
        <w:t>CF</w:t>
      </w:r>
      <w:r w:rsidR="00332DCC" w:rsidRPr="00D40259">
        <w:rPr>
          <w:i w:val="0"/>
          <w:iCs w:val="0"/>
          <w:highlight w:val="yellow"/>
          <w:u w:val="double"/>
          <w:lang w:val="en-IE"/>
        </w:rPr>
        <w:t>)</w:t>
      </w:r>
      <w:r w:rsidRPr="00D40259">
        <w:rPr>
          <w:highlight w:val="yellow"/>
          <w:u w:val="double"/>
          <w:lang w:val="en-IE"/>
        </w:rPr>
        <w:t xml:space="preserve"> and </w:t>
      </w:r>
      <w:r w:rsidRPr="00C92B04">
        <w:rPr>
          <w:highlight w:val="yellow"/>
          <w:u w:val="double"/>
          <w:lang w:val="en-IE"/>
        </w:rPr>
        <w:t xml:space="preserve">agar gel immunodiffusion </w:t>
      </w:r>
      <w:r w:rsidRPr="00C92B04">
        <w:rPr>
          <w:i w:val="0"/>
          <w:iCs w:val="0"/>
          <w:highlight w:val="yellow"/>
          <w:u w:val="double"/>
          <w:lang w:val="en-IE"/>
        </w:rPr>
        <w:t>(</w:t>
      </w:r>
      <w:r w:rsidRPr="00C92B04">
        <w:rPr>
          <w:highlight w:val="yellow"/>
          <w:u w:val="double"/>
          <w:lang w:val="en-IE"/>
        </w:rPr>
        <w:t>AGID</w:t>
      </w:r>
      <w:r w:rsidRPr="00C92B04">
        <w:rPr>
          <w:i w:val="0"/>
          <w:iCs w:val="0"/>
          <w:highlight w:val="yellow"/>
          <w:u w:val="double"/>
          <w:lang w:val="en-IE"/>
        </w:rPr>
        <w:t>)</w:t>
      </w:r>
      <w:r w:rsidRPr="002060A9">
        <w:rPr>
          <w:lang w:val="en-IE"/>
        </w:rPr>
        <w:t>. Sensitivity and specificity are often determined by reference to results of faecal culture, which itself has unknown sensitivity in subclinically infected cattle. When used to confirm diagnosis of paratuberculosis in cows with typical clinical signs</w:t>
      </w:r>
      <w:r w:rsidRPr="008A6077">
        <w:rPr>
          <w:strike/>
          <w:lang w:val="en-IE"/>
        </w:rPr>
        <w:t>, some tests, for example</w:t>
      </w:r>
      <w:r w:rsidRPr="002060A9">
        <w:rPr>
          <w:lang w:val="en-IE"/>
        </w:rPr>
        <w:t xml:space="preserve"> ELISA</w:t>
      </w:r>
      <w:r w:rsidRPr="008A6077">
        <w:rPr>
          <w:strike/>
          <w:lang w:val="en-IE"/>
        </w:rPr>
        <w:t>,</w:t>
      </w:r>
      <w:r w:rsidRPr="002060A9">
        <w:rPr>
          <w:lang w:val="en-IE"/>
        </w:rPr>
        <w:t xml:space="preserve"> perform</w:t>
      </w:r>
      <w:r w:rsidR="00AB6BC7" w:rsidRPr="008A6077">
        <w:rPr>
          <w:u w:val="double"/>
          <w:lang w:val="en-IE"/>
        </w:rPr>
        <w:t>s</w:t>
      </w:r>
      <w:r w:rsidRPr="002060A9">
        <w:rPr>
          <w:lang w:val="en-IE"/>
        </w:rPr>
        <w:t xml:space="preserve"> very well.</w:t>
      </w:r>
    </w:p>
    <w:p w14:paraId="289A8A24" w14:textId="77777777" w:rsidR="00332DCC" w:rsidRPr="002060A9" w:rsidRDefault="00332DCC" w:rsidP="00167A02">
      <w:pPr>
        <w:pStyle w:val="Base"/>
        <w:rPr>
          <w:lang w:val="en-IE"/>
        </w:rPr>
      </w:pPr>
      <w:r w:rsidRPr="002060A9">
        <w:rPr>
          <w:b/>
          <w:lang w:val="en-IE"/>
        </w:rPr>
        <w:t>Tests for cell-mediated immunity:</w:t>
      </w:r>
      <w:r w:rsidRPr="002060A9">
        <w:rPr>
          <w:lang w:val="en-IE"/>
        </w:rPr>
        <w:t xml:space="preserve"> Interferon-gamma release assay and delayed type hypersensitivity methods </w:t>
      </w:r>
      <w:r w:rsidRPr="002060A9">
        <w:rPr>
          <w:i w:val="0"/>
          <w:lang w:val="en-IE"/>
        </w:rPr>
        <w:t>(</w:t>
      </w:r>
      <w:r w:rsidRPr="002060A9">
        <w:rPr>
          <w:lang w:val="en-IE"/>
        </w:rPr>
        <w:t>skin test</w:t>
      </w:r>
      <w:r w:rsidRPr="002060A9">
        <w:rPr>
          <w:i w:val="0"/>
          <w:lang w:val="en-IE"/>
        </w:rPr>
        <w:t>)</w:t>
      </w:r>
      <w:r w:rsidRPr="002060A9">
        <w:rPr>
          <w:lang w:val="en-IE"/>
        </w:rPr>
        <w:t xml:space="preserve"> have been used, but interpretation in both cases is difficult.</w:t>
      </w:r>
    </w:p>
    <w:p w14:paraId="4BB249C4" w14:textId="77777777" w:rsidR="00B66F35" w:rsidRPr="002060A9" w:rsidRDefault="00B66F35" w:rsidP="00167A02">
      <w:pPr>
        <w:pStyle w:val="Base"/>
        <w:rPr>
          <w:lang w:val="en-IE"/>
        </w:rPr>
      </w:pPr>
      <w:r w:rsidRPr="002060A9">
        <w:rPr>
          <w:b/>
          <w:lang w:val="en-IE"/>
        </w:rPr>
        <w:t>Requirements for vaccines and diagnostic biologicals:</w:t>
      </w:r>
      <w:r w:rsidRPr="002060A9">
        <w:rPr>
          <w:lang w:val="en-IE"/>
        </w:rPr>
        <w:t xml:space="preserve"> Vaccines for paratuberculosis may be live attenuated or killed bacteria either incorporated with an adjuvant or lyophilised and adjuvanted on reconstitution. Bacterial counting is difficult and bacterial content of vaccines may be based on weight, while vaccine potency may be judged by batch tests for sensitising ability in guinea-pigs.</w:t>
      </w:r>
    </w:p>
    <w:p w14:paraId="11C4B102" w14:textId="77777777" w:rsidR="00B66F35" w:rsidRPr="002060A9" w:rsidRDefault="00B66F35" w:rsidP="00167A02">
      <w:pPr>
        <w:pStyle w:val="Base"/>
        <w:rPr>
          <w:lang w:val="en-IE"/>
        </w:rPr>
      </w:pPr>
      <w:r w:rsidRPr="002060A9">
        <w:rPr>
          <w:lang w:val="en-IE"/>
        </w:rPr>
        <w:t>Vaccine safety or abnormal toxicity may also be tested in guinea-pigs.</w:t>
      </w:r>
    </w:p>
    <w:p w14:paraId="41C7542C" w14:textId="77777777" w:rsidR="00B66F35" w:rsidRPr="002060A9" w:rsidRDefault="00B66F35" w:rsidP="005772C1">
      <w:pPr>
        <w:pStyle w:val="Base"/>
        <w:spacing w:after="480"/>
        <w:rPr>
          <w:lang w:val="en-IE"/>
        </w:rPr>
      </w:pPr>
      <w:r w:rsidRPr="002060A9">
        <w:rPr>
          <w:lang w:val="en-IE"/>
        </w:rPr>
        <w:lastRenderedPageBreak/>
        <w:t xml:space="preserve">For diagnostic skin tests, Johnin and avian tuberculin are purified protein derivatives </w:t>
      </w:r>
      <w:r w:rsidRPr="002060A9">
        <w:rPr>
          <w:i w:val="0"/>
          <w:iCs w:val="0"/>
          <w:lang w:val="en-IE"/>
        </w:rPr>
        <w:t>(</w:t>
      </w:r>
      <w:r w:rsidRPr="002060A9">
        <w:rPr>
          <w:lang w:val="en-IE"/>
        </w:rPr>
        <w:t>PPD</w:t>
      </w:r>
      <w:r w:rsidRPr="002060A9">
        <w:rPr>
          <w:i w:val="0"/>
          <w:iCs w:val="0"/>
          <w:lang w:val="en-IE"/>
        </w:rPr>
        <w:t>)</w:t>
      </w:r>
      <w:r w:rsidRPr="002060A9">
        <w:rPr>
          <w:lang w:val="en-IE"/>
        </w:rPr>
        <w:t xml:space="preserve"> of a heat-treated culture of </w:t>
      </w:r>
      <w:r w:rsidRPr="002060A9">
        <w:rPr>
          <w:i w:val="0"/>
          <w:lang w:val="en-IE"/>
        </w:rPr>
        <w:t>MAP</w:t>
      </w:r>
      <w:r w:rsidRPr="002060A9">
        <w:rPr>
          <w:lang w:val="en-IE"/>
        </w:rPr>
        <w:t xml:space="preserve"> or </w:t>
      </w:r>
      <w:r w:rsidRPr="002060A9">
        <w:rPr>
          <w:i w:val="0"/>
          <w:lang w:val="en-IE"/>
        </w:rPr>
        <w:t>M. avium</w:t>
      </w:r>
      <w:r w:rsidRPr="002060A9">
        <w:rPr>
          <w:lang w:val="en-IE"/>
        </w:rPr>
        <w:t xml:space="preserve">, respectively. Johnin is standardised for content of PPD by chemical assay and its biological activity is identified in guinea-pigs sensitised with </w:t>
      </w:r>
      <w:r w:rsidRPr="002060A9">
        <w:rPr>
          <w:i w:val="0"/>
          <w:lang w:val="en-IE"/>
        </w:rPr>
        <w:t>MAP</w:t>
      </w:r>
      <w:r w:rsidRPr="002060A9">
        <w:rPr>
          <w:lang w:val="en-IE"/>
        </w:rPr>
        <w:t xml:space="preserve">. Avian tuberculin activity is determined in guinea-pigs sensitised with </w:t>
      </w:r>
      <w:r w:rsidRPr="002060A9">
        <w:rPr>
          <w:i w:val="0"/>
          <w:lang w:val="en-IE"/>
        </w:rPr>
        <w:t>M. avium</w:t>
      </w:r>
      <w:r w:rsidRPr="002060A9">
        <w:rPr>
          <w:lang w:val="en-IE"/>
        </w:rPr>
        <w:t xml:space="preserve"> by comparison with a reference preparation calibrated in international units.</w:t>
      </w:r>
    </w:p>
    <w:p w14:paraId="16F4E98A" w14:textId="77777777" w:rsidR="00B66F35" w:rsidRPr="004622FC" w:rsidRDefault="00B66F35" w:rsidP="0075529F">
      <w:pPr>
        <w:pStyle w:val="A0"/>
        <w:spacing w:after="280"/>
        <w:rPr>
          <w:lang w:val="en-IE"/>
        </w:rPr>
      </w:pPr>
      <w:r w:rsidRPr="004622FC">
        <w:rPr>
          <w:lang w:val="en-IE"/>
        </w:rPr>
        <w:t>A.  introduction</w:t>
      </w:r>
    </w:p>
    <w:p w14:paraId="4CB00688" w14:textId="39728BC5" w:rsidR="00B66F35" w:rsidRPr="002060A9" w:rsidRDefault="00B66F35" w:rsidP="00167A02">
      <w:pPr>
        <w:pStyle w:val="paraA0"/>
        <w:rPr>
          <w:lang w:val="en-IE"/>
        </w:rPr>
      </w:pPr>
      <w:r w:rsidRPr="004622FC">
        <w:rPr>
          <w:i/>
          <w:lang w:val="en-IE"/>
        </w:rPr>
        <w:t xml:space="preserve">Mycobacterium avium </w:t>
      </w:r>
      <w:r w:rsidRPr="004622FC">
        <w:rPr>
          <w:iCs/>
          <w:lang w:val="en-IE"/>
        </w:rPr>
        <w:t>subspecies</w:t>
      </w:r>
      <w:r w:rsidRPr="004622FC">
        <w:rPr>
          <w:i/>
          <w:lang w:val="en-IE"/>
        </w:rPr>
        <w:t xml:space="preserve"> paratuberculosis </w:t>
      </w:r>
      <w:r w:rsidRPr="004622FC">
        <w:rPr>
          <w:iCs/>
          <w:lang w:val="en-IE"/>
        </w:rPr>
        <w:t>(</w:t>
      </w:r>
      <w:r w:rsidRPr="004622FC">
        <w:rPr>
          <w:i/>
          <w:lang w:val="en-IE"/>
        </w:rPr>
        <w:t>MAP</w:t>
      </w:r>
      <w:r w:rsidRPr="004622FC">
        <w:rPr>
          <w:iCs/>
          <w:lang w:val="en-IE"/>
        </w:rPr>
        <w:t>)</w:t>
      </w:r>
      <w:r w:rsidRPr="004622FC">
        <w:rPr>
          <w:i/>
          <w:lang w:val="en-IE"/>
        </w:rPr>
        <w:t xml:space="preserve"> </w:t>
      </w:r>
      <w:r w:rsidRPr="004622FC">
        <w:rPr>
          <w:lang w:val="en-IE"/>
        </w:rPr>
        <w:t xml:space="preserve">is an organism first observed by </w:t>
      </w:r>
      <w:proofErr w:type="spellStart"/>
      <w:r w:rsidRPr="004622FC">
        <w:rPr>
          <w:lang w:val="en-IE"/>
        </w:rPr>
        <w:t>Johne</w:t>
      </w:r>
      <w:proofErr w:type="spellEnd"/>
      <w:r w:rsidRPr="004622FC">
        <w:rPr>
          <w:lang w:val="en-IE"/>
        </w:rPr>
        <w:t xml:space="preserve"> &amp; </w:t>
      </w:r>
      <w:proofErr w:type="spellStart"/>
      <w:r w:rsidRPr="004622FC">
        <w:rPr>
          <w:lang w:val="en-IE"/>
        </w:rPr>
        <w:t>Frothingham</w:t>
      </w:r>
      <w:proofErr w:type="spellEnd"/>
      <w:r w:rsidRPr="004622FC">
        <w:rPr>
          <w:lang w:val="en-IE"/>
        </w:rPr>
        <w:t xml:space="preserve"> in 1895.</w:t>
      </w:r>
      <w:r w:rsidRPr="004622FC">
        <w:rPr>
          <w:i/>
          <w:lang w:val="en-IE"/>
        </w:rPr>
        <w:t xml:space="preserve"> MAP</w:t>
      </w:r>
      <w:r w:rsidRPr="004622FC" w:rsidDel="00E518EC">
        <w:rPr>
          <w:i/>
          <w:lang w:val="en-IE"/>
        </w:rPr>
        <w:t xml:space="preserve"> </w:t>
      </w:r>
      <w:r w:rsidRPr="004622FC">
        <w:rPr>
          <w:lang w:val="en-IE"/>
        </w:rPr>
        <w:t xml:space="preserve">causes paratuberculosis or </w:t>
      </w:r>
      <w:proofErr w:type="spellStart"/>
      <w:r w:rsidRPr="004622FC">
        <w:rPr>
          <w:lang w:val="en-IE"/>
        </w:rPr>
        <w:t>Johne’s</w:t>
      </w:r>
      <w:proofErr w:type="spellEnd"/>
      <w:r w:rsidRPr="004622FC">
        <w:rPr>
          <w:lang w:val="en-IE"/>
        </w:rPr>
        <w:t xml:space="preserve"> disease, an intestinal granulomatous infection (</w:t>
      </w:r>
      <w:proofErr w:type="spellStart"/>
      <w:r w:rsidRPr="004622FC">
        <w:rPr>
          <w:lang w:val="en-IE"/>
        </w:rPr>
        <w:t>Thorel</w:t>
      </w:r>
      <w:proofErr w:type="spellEnd"/>
      <w:r w:rsidRPr="004622FC">
        <w:rPr>
          <w:lang w:val="en-IE"/>
        </w:rPr>
        <w:t xml:space="preserve"> </w:t>
      </w:r>
      <w:r w:rsidRPr="004622FC">
        <w:rPr>
          <w:i/>
          <w:lang w:val="en-IE"/>
        </w:rPr>
        <w:t>et al</w:t>
      </w:r>
      <w:r w:rsidRPr="004622FC">
        <w:rPr>
          <w:lang w:val="en-IE"/>
        </w:rPr>
        <w:t xml:space="preserve">., 1990). </w:t>
      </w:r>
      <w:r w:rsidR="00CF0C6F" w:rsidRPr="004622FC">
        <w:rPr>
          <w:lang w:val="en-IE"/>
        </w:rPr>
        <w:t>P</w:t>
      </w:r>
      <w:r w:rsidRPr="004622FC">
        <w:rPr>
          <w:lang w:val="en-IE"/>
        </w:rPr>
        <w:t xml:space="preserve">aratuberculosis is found most often among domestic </w:t>
      </w:r>
      <w:r w:rsidR="00CF0C6F" w:rsidRPr="004622FC">
        <w:rPr>
          <w:lang w:val="en-IE"/>
        </w:rPr>
        <w:t xml:space="preserve">ruminants </w:t>
      </w:r>
      <w:r w:rsidRPr="004622FC">
        <w:rPr>
          <w:lang w:val="en-IE"/>
        </w:rPr>
        <w:t>(</w:t>
      </w:r>
      <w:r w:rsidR="00CF0C6F" w:rsidRPr="004622FC">
        <w:rPr>
          <w:lang w:val="en-IE"/>
        </w:rPr>
        <w:t xml:space="preserve">cattle, sheep, goats, </w:t>
      </w:r>
      <w:r w:rsidRPr="004622FC">
        <w:rPr>
          <w:lang w:val="en-IE"/>
        </w:rPr>
        <w:t>camelids</w:t>
      </w:r>
      <w:r w:rsidR="00CF0C6F" w:rsidRPr="004622FC">
        <w:rPr>
          <w:lang w:val="en-IE"/>
        </w:rPr>
        <w:t xml:space="preserve"> and</w:t>
      </w:r>
      <w:r w:rsidRPr="004622FC">
        <w:rPr>
          <w:lang w:val="en-IE"/>
        </w:rPr>
        <w:t xml:space="preserve"> buffaloes) </w:t>
      </w:r>
      <w:r w:rsidR="00CF0C6F" w:rsidRPr="004622FC">
        <w:rPr>
          <w:lang w:val="en-IE"/>
        </w:rPr>
        <w:t xml:space="preserve">as well as </w:t>
      </w:r>
      <w:r w:rsidRPr="004622FC">
        <w:rPr>
          <w:lang w:val="en-IE"/>
        </w:rPr>
        <w:t>wild ruminants (</w:t>
      </w:r>
      <w:proofErr w:type="spellStart"/>
      <w:r w:rsidRPr="004622FC">
        <w:rPr>
          <w:lang w:val="en-IE"/>
        </w:rPr>
        <w:t>cervids</w:t>
      </w:r>
      <w:proofErr w:type="spellEnd"/>
      <w:r w:rsidRPr="004622FC">
        <w:rPr>
          <w:lang w:val="en-IE"/>
        </w:rPr>
        <w:t xml:space="preserve">) and has a global distribution. The disease has also been reported in horses, </w:t>
      </w:r>
      <w:r w:rsidR="00F360DE" w:rsidRPr="00BA733F">
        <w:rPr>
          <w:highlight w:val="yellow"/>
          <w:u w:val="double"/>
          <w:lang w:val="en-IE"/>
        </w:rPr>
        <w:t>donkeys,</w:t>
      </w:r>
      <w:r w:rsidR="00F360DE" w:rsidRPr="00BA733F">
        <w:rPr>
          <w:u w:val="double"/>
          <w:lang w:val="en-IE"/>
        </w:rPr>
        <w:t xml:space="preserve"> </w:t>
      </w:r>
      <w:r w:rsidRPr="004622FC">
        <w:rPr>
          <w:lang w:val="en-IE"/>
        </w:rPr>
        <w:t>pigs, rabbits, stoat</w:t>
      </w:r>
      <w:r w:rsidR="001C0F11" w:rsidRPr="00575688">
        <w:rPr>
          <w:highlight w:val="yellow"/>
          <w:u w:val="double"/>
          <w:lang w:val="en-IE"/>
        </w:rPr>
        <w:t>s</w:t>
      </w:r>
      <w:r w:rsidRPr="004622FC">
        <w:rPr>
          <w:lang w:val="en-IE"/>
        </w:rPr>
        <w:t>, fox</w:t>
      </w:r>
      <w:r w:rsidR="001C0F11" w:rsidRPr="00575688">
        <w:rPr>
          <w:highlight w:val="yellow"/>
          <w:u w:val="double"/>
          <w:lang w:val="en-IE"/>
        </w:rPr>
        <w:t>es</w:t>
      </w:r>
      <w:r w:rsidRPr="004622FC">
        <w:rPr>
          <w:lang w:val="en-IE"/>
        </w:rPr>
        <w:t xml:space="preserve"> and weasel</w:t>
      </w:r>
      <w:r w:rsidR="001C0F11" w:rsidRPr="00575688">
        <w:rPr>
          <w:highlight w:val="yellow"/>
          <w:u w:val="double"/>
          <w:lang w:val="en-IE"/>
        </w:rPr>
        <w:t>s</w:t>
      </w:r>
      <w:r w:rsidRPr="004622FC">
        <w:rPr>
          <w:lang w:val="en-IE"/>
        </w:rPr>
        <w:t xml:space="preserve"> (Greig </w:t>
      </w:r>
      <w:r w:rsidRPr="004622FC">
        <w:rPr>
          <w:i/>
          <w:lang w:val="en-IE"/>
        </w:rPr>
        <w:t>et al</w:t>
      </w:r>
      <w:r w:rsidRPr="004622FC">
        <w:rPr>
          <w:lang w:val="en-IE"/>
        </w:rPr>
        <w:t>., 1999)</w:t>
      </w:r>
      <w:r w:rsidR="00A023F6" w:rsidRPr="004622FC">
        <w:rPr>
          <w:lang w:val="en-IE"/>
        </w:rPr>
        <w:t xml:space="preserve">. </w:t>
      </w:r>
      <w:r w:rsidRPr="004622FC">
        <w:rPr>
          <w:lang w:val="en-IE"/>
        </w:rPr>
        <w:t xml:space="preserve">Under natural conditions, the disease in cattle spreads by ingestion of </w:t>
      </w:r>
      <w:r w:rsidRPr="004622FC">
        <w:rPr>
          <w:i/>
          <w:lang w:val="en-IE"/>
        </w:rPr>
        <w:t>MAP</w:t>
      </w:r>
      <w:r w:rsidRPr="004622FC">
        <w:rPr>
          <w:lang w:val="en-IE"/>
        </w:rPr>
        <w:t xml:space="preserve"> from the contaminated environment. The disease persists after the introduction of infected animals. Infection can be spread vertically to the </w:t>
      </w:r>
      <w:proofErr w:type="spellStart"/>
      <w:r w:rsidRPr="004622FC">
        <w:rPr>
          <w:lang w:val="en-IE"/>
        </w:rPr>
        <w:t>fetus</w:t>
      </w:r>
      <w:proofErr w:type="spellEnd"/>
      <w:r w:rsidRPr="004622FC">
        <w:rPr>
          <w:lang w:val="en-IE"/>
        </w:rPr>
        <w:t xml:space="preserve"> (Larson &amp; </w:t>
      </w:r>
      <w:proofErr w:type="spellStart"/>
      <w:r w:rsidRPr="004622FC">
        <w:rPr>
          <w:lang w:val="en-IE"/>
        </w:rPr>
        <w:t>Kopecky</w:t>
      </w:r>
      <w:proofErr w:type="spellEnd"/>
      <w:r w:rsidRPr="004622FC">
        <w:rPr>
          <w:lang w:val="en-IE"/>
        </w:rPr>
        <w:t xml:space="preserve">, 1970) and semen can be infected with the organism (Sweeney </w:t>
      </w:r>
      <w:r w:rsidRPr="004622FC">
        <w:rPr>
          <w:i/>
          <w:lang w:val="en-IE"/>
        </w:rPr>
        <w:t>et al</w:t>
      </w:r>
      <w:r w:rsidRPr="004622FC">
        <w:rPr>
          <w:lang w:val="en-IE"/>
        </w:rPr>
        <w:t xml:space="preserve">., 1995). The primary source of infection in calves is </w:t>
      </w:r>
      <w:r w:rsidRPr="006C394D">
        <w:rPr>
          <w:strike/>
          <w:highlight w:val="yellow"/>
          <w:lang w:val="en-IE"/>
        </w:rPr>
        <w:t xml:space="preserve">milk </w:t>
      </w:r>
      <w:r w:rsidR="00560935" w:rsidRPr="006C394D">
        <w:rPr>
          <w:highlight w:val="yellow"/>
          <w:u w:val="double"/>
          <w:lang w:val="en-IE"/>
        </w:rPr>
        <w:t>faeces</w:t>
      </w:r>
      <w:r w:rsidR="00560935" w:rsidRPr="004622FC">
        <w:rPr>
          <w:lang w:val="en-IE"/>
        </w:rPr>
        <w:t xml:space="preserve"> </w:t>
      </w:r>
      <w:r w:rsidRPr="004622FC">
        <w:rPr>
          <w:lang w:val="en-IE"/>
        </w:rPr>
        <w:t>from infected cows or milk that is contaminated with the faeces of diseased cattle.</w:t>
      </w:r>
      <w:r w:rsidR="00217406" w:rsidRPr="00575688">
        <w:rPr>
          <w:u w:val="double"/>
          <w:lang w:val="en-IE"/>
        </w:rPr>
        <w:t xml:space="preserve"> </w:t>
      </w:r>
      <w:r w:rsidR="002F7860" w:rsidRPr="00575688">
        <w:rPr>
          <w:highlight w:val="yellow"/>
          <w:u w:val="double"/>
          <w:lang w:val="en-IE"/>
        </w:rPr>
        <w:t>Isolates from sheep have different characteristics from tho</w:t>
      </w:r>
      <w:r w:rsidR="0057067F" w:rsidRPr="00575688">
        <w:rPr>
          <w:highlight w:val="yellow"/>
          <w:u w:val="double"/>
          <w:lang w:val="en-IE"/>
        </w:rPr>
        <w:t>se in cattle, but the</w:t>
      </w:r>
      <w:r w:rsidR="006E2F19" w:rsidRPr="00575688">
        <w:rPr>
          <w:highlight w:val="yellow"/>
          <w:u w:val="double"/>
          <w:lang w:val="en-IE"/>
        </w:rPr>
        <w:t xml:space="preserve"> </w:t>
      </w:r>
      <w:r w:rsidR="00F52B59" w:rsidRPr="00575688">
        <w:rPr>
          <w:highlight w:val="yellow"/>
          <w:u w:val="double"/>
          <w:lang w:val="en-IE"/>
        </w:rPr>
        <w:t xml:space="preserve">laboratory </w:t>
      </w:r>
      <w:r w:rsidR="006E2F19" w:rsidRPr="00575688">
        <w:rPr>
          <w:highlight w:val="yellow"/>
          <w:u w:val="double"/>
          <w:lang w:val="en-IE"/>
        </w:rPr>
        <w:t>detection and diagnostic methods are</w:t>
      </w:r>
      <w:r w:rsidR="00F52B59" w:rsidRPr="00575688">
        <w:rPr>
          <w:highlight w:val="yellow"/>
          <w:u w:val="double"/>
          <w:lang w:val="en-IE"/>
        </w:rPr>
        <w:t xml:space="preserve"> the same.</w:t>
      </w:r>
    </w:p>
    <w:p w14:paraId="17F7807A" w14:textId="77777777" w:rsidR="00B66F35" w:rsidRPr="002060A9" w:rsidRDefault="00B66F35" w:rsidP="00167A02">
      <w:pPr>
        <w:pStyle w:val="paraA0"/>
        <w:rPr>
          <w:lang w:val="en-IE"/>
        </w:rPr>
      </w:pPr>
      <w:r w:rsidRPr="002060A9">
        <w:rPr>
          <w:lang w:val="en-IE"/>
        </w:rPr>
        <w:t xml:space="preserve">The identification of </w:t>
      </w:r>
      <w:r w:rsidRPr="002060A9">
        <w:rPr>
          <w:i/>
          <w:lang w:val="en-IE"/>
        </w:rPr>
        <w:t>MAP</w:t>
      </w:r>
      <w:r w:rsidRPr="002060A9">
        <w:rPr>
          <w:lang w:val="en-IE"/>
        </w:rPr>
        <w:t xml:space="preserve"> is based on its mycobactin requirement and </w:t>
      </w:r>
      <w:r w:rsidR="008146EC" w:rsidRPr="002060A9">
        <w:rPr>
          <w:lang w:val="en-IE"/>
        </w:rPr>
        <w:t xml:space="preserve">on </w:t>
      </w:r>
      <w:r w:rsidR="00C06721" w:rsidRPr="002060A9">
        <w:rPr>
          <w:lang w:val="en-IE"/>
        </w:rPr>
        <w:t xml:space="preserve">its association with </w:t>
      </w:r>
      <w:r w:rsidR="008146EC" w:rsidRPr="002060A9">
        <w:rPr>
          <w:lang w:val="en-IE"/>
        </w:rPr>
        <w:t xml:space="preserve">clinical signs and </w:t>
      </w:r>
      <w:r w:rsidR="00C06721" w:rsidRPr="002060A9">
        <w:rPr>
          <w:lang w:val="en-IE"/>
        </w:rPr>
        <w:t xml:space="preserve">defined </w:t>
      </w:r>
      <w:r w:rsidR="008146EC" w:rsidRPr="002060A9">
        <w:rPr>
          <w:lang w:val="en-IE"/>
        </w:rPr>
        <w:t>laboratory findings</w:t>
      </w:r>
      <w:r w:rsidR="00C06721" w:rsidRPr="002060A9">
        <w:rPr>
          <w:lang w:val="en-IE"/>
        </w:rPr>
        <w:t xml:space="preserve">, </w:t>
      </w:r>
      <w:r w:rsidR="00975007" w:rsidRPr="002060A9">
        <w:rPr>
          <w:lang w:val="en-IE"/>
        </w:rPr>
        <w:t xml:space="preserve">such as culture and </w:t>
      </w:r>
      <w:r w:rsidR="00C06721" w:rsidRPr="002060A9">
        <w:rPr>
          <w:lang w:val="en-IE"/>
        </w:rPr>
        <w:t>PCR results</w:t>
      </w:r>
      <w:r w:rsidR="00D36A07" w:rsidRPr="002060A9">
        <w:rPr>
          <w:lang w:val="en-IE"/>
        </w:rPr>
        <w:t>.</w:t>
      </w:r>
      <w:r w:rsidR="00B1521C" w:rsidRPr="002060A9">
        <w:rPr>
          <w:lang w:val="en-IE"/>
        </w:rPr>
        <w:t xml:space="preserve"> </w:t>
      </w:r>
      <w:r w:rsidRPr="002060A9">
        <w:rPr>
          <w:lang w:val="en-IE"/>
        </w:rPr>
        <w:t>Mycobactin dependence has long been used as a taxonomic characteristic for</w:t>
      </w:r>
      <w:r w:rsidRPr="002060A9">
        <w:rPr>
          <w:i/>
          <w:lang w:val="en-IE"/>
        </w:rPr>
        <w:t xml:space="preserve"> MAP</w:t>
      </w:r>
      <w:r w:rsidRPr="002060A9">
        <w:rPr>
          <w:lang w:val="en-IE"/>
        </w:rPr>
        <w:t xml:space="preserve"> because most mycobacteria are able to make mycobactin for themselves. </w:t>
      </w:r>
      <w:r w:rsidRPr="002060A9">
        <w:rPr>
          <w:i/>
          <w:lang w:val="en-IE"/>
        </w:rPr>
        <w:t>MAP, M. </w:t>
      </w:r>
      <w:proofErr w:type="spellStart"/>
      <w:r w:rsidRPr="002060A9">
        <w:rPr>
          <w:i/>
          <w:lang w:val="en-IE"/>
        </w:rPr>
        <w:t>silvaticum</w:t>
      </w:r>
      <w:proofErr w:type="spellEnd"/>
      <w:r w:rsidRPr="002060A9">
        <w:rPr>
          <w:lang w:val="en-IE"/>
        </w:rPr>
        <w:t xml:space="preserve"> and some primary isolates of </w:t>
      </w:r>
      <w:r w:rsidR="0012243E" w:rsidRPr="002060A9">
        <w:rPr>
          <w:i/>
          <w:lang w:val="en-IE"/>
        </w:rPr>
        <w:t>M. </w:t>
      </w:r>
      <w:r w:rsidRPr="002060A9">
        <w:rPr>
          <w:i/>
          <w:lang w:val="en-IE"/>
        </w:rPr>
        <w:t>avium</w:t>
      </w:r>
      <w:r w:rsidRPr="002060A9">
        <w:rPr>
          <w:lang w:val="en-IE"/>
        </w:rPr>
        <w:t xml:space="preserve"> lack this capacity, however, and require mycobactin to grow in the laboratory. Thus, the mycobactin requirement is not confined to </w:t>
      </w:r>
      <w:r w:rsidRPr="002060A9">
        <w:rPr>
          <w:i/>
          <w:lang w:val="en-IE"/>
        </w:rPr>
        <w:t>MAP;</w:t>
      </w:r>
      <w:r w:rsidRPr="002060A9">
        <w:rPr>
          <w:lang w:val="en-IE"/>
        </w:rPr>
        <w:t xml:space="preserve"> this characteristic exists to various degrees within the </w:t>
      </w:r>
      <w:r w:rsidR="0012243E" w:rsidRPr="002060A9">
        <w:rPr>
          <w:i/>
          <w:lang w:val="en-IE"/>
        </w:rPr>
        <w:t>M. </w:t>
      </w:r>
      <w:r w:rsidRPr="002060A9">
        <w:rPr>
          <w:i/>
          <w:lang w:val="en-IE"/>
        </w:rPr>
        <w:t>avium</w:t>
      </w:r>
      <w:r w:rsidRPr="002060A9">
        <w:rPr>
          <w:lang w:val="en-IE"/>
        </w:rPr>
        <w:t xml:space="preserve"> group.</w:t>
      </w:r>
    </w:p>
    <w:p w14:paraId="0D087F79" w14:textId="77777777" w:rsidR="00B66F35" w:rsidRPr="002060A9" w:rsidRDefault="00B66F35" w:rsidP="00167A02">
      <w:pPr>
        <w:pStyle w:val="paraA0"/>
        <w:rPr>
          <w:lang w:val="en-IE"/>
        </w:rPr>
      </w:pPr>
      <w:r w:rsidRPr="002060A9">
        <w:rPr>
          <w:lang w:val="en-IE"/>
        </w:rPr>
        <w:t xml:space="preserve">Clinical signs of paratuberculosis are a slowly progressive wasting and diarrhoea, which is intermittent at first, becoming progressively more severe until it is constantly present in bovines. </w:t>
      </w:r>
      <w:r w:rsidR="00137C52" w:rsidRPr="002060A9">
        <w:rPr>
          <w:lang w:val="en-IE"/>
        </w:rPr>
        <w:t xml:space="preserve">It is also reported as a significant clinical sign in farmed deer. </w:t>
      </w:r>
      <w:r w:rsidRPr="002060A9">
        <w:rPr>
          <w:lang w:val="en-IE"/>
        </w:rPr>
        <w:t>Diarrhoea is less common in small ruminants.</w:t>
      </w:r>
    </w:p>
    <w:p w14:paraId="1A0EEC72" w14:textId="545FDF4D" w:rsidR="00B66F35" w:rsidRPr="002060A9" w:rsidRDefault="00B66F35" w:rsidP="00167A02">
      <w:pPr>
        <w:pStyle w:val="paraA0"/>
        <w:rPr>
          <w:lang w:val="en-IE"/>
        </w:rPr>
      </w:pPr>
      <w:r w:rsidRPr="002060A9">
        <w:rPr>
          <w:lang w:val="en-IE"/>
        </w:rPr>
        <w:t xml:space="preserve">Early lesions occur in the walls of the small intestine and the draining mesenteric lymph nodes, and infection is confined to these sites at this stage. As the disease progresses, gross lesions occur in the ileum, jejunum, terminal small intestine, caecum and colon, and in the mesenteric lymph nodes. </w:t>
      </w:r>
      <w:r w:rsidRPr="002060A9">
        <w:rPr>
          <w:i/>
          <w:lang w:val="en-IE"/>
        </w:rPr>
        <w:t>MAP</w:t>
      </w:r>
      <w:r w:rsidRPr="002060A9" w:rsidDel="00E518EC">
        <w:rPr>
          <w:i/>
          <w:lang w:val="en-IE"/>
        </w:rPr>
        <w:t xml:space="preserve"> </w:t>
      </w:r>
      <w:r w:rsidRPr="002060A9">
        <w:rPr>
          <w:lang w:val="en-IE"/>
        </w:rPr>
        <w:t>is present in the lesions and, terminally, throughout the body. The intestinal lesions are responsible for a protein leak and a protein malabsorption syndrome, which lead to musc</w:t>
      </w:r>
      <w:r w:rsidR="00137C52" w:rsidRPr="002060A9">
        <w:rPr>
          <w:lang w:val="en-IE"/>
        </w:rPr>
        <w:t>le</w:t>
      </w:r>
      <w:r w:rsidRPr="002060A9">
        <w:rPr>
          <w:lang w:val="en-IE"/>
        </w:rPr>
        <w:t xml:space="preserve"> wasting. Clinical signs usually first appear in young adulthood, but the disease can occur in animals at any age over 1–2 years</w:t>
      </w:r>
      <w:r w:rsidR="00137C52" w:rsidRPr="002060A9">
        <w:rPr>
          <w:lang w:val="en-IE"/>
        </w:rPr>
        <w:t xml:space="preserve"> and in dairy cattle is most frequently reported in the 3</w:t>
      </w:r>
      <w:r w:rsidR="00732B30">
        <w:rPr>
          <w:lang w:val="en-IE"/>
        </w:rPr>
        <w:t xml:space="preserve">- to </w:t>
      </w:r>
      <w:r w:rsidR="00137C52" w:rsidRPr="002060A9">
        <w:rPr>
          <w:lang w:val="en-IE"/>
        </w:rPr>
        <w:t>5</w:t>
      </w:r>
      <w:r w:rsidR="00732B30">
        <w:rPr>
          <w:lang w:val="en-IE"/>
        </w:rPr>
        <w:t>-</w:t>
      </w:r>
      <w:r w:rsidR="00137C52" w:rsidRPr="002060A9">
        <w:rPr>
          <w:lang w:val="en-IE"/>
        </w:rPr>
        <w:t>year old age group</w:t>
      </w:r>
      <w:r w:rsidRPr="002060A9">
        <w:rPr>
          <w:lang w:val="en-IE"/>
        </w:rPr>
        <w:t>.</w:t>
      </w:r>
    </w:p>
    <w:p w14:paraId="4991A0B0" w14:textId="77777777" w:rsidR="00B66F35" w:rsidRPr="002060A9" w:rsidRDefault="00B66F35" w:rsidP="00167A02">
      <w:pPr>
        <w:pStyle w:val="paraA0"/>
        <w:rPr>
          <w:lang w:val="en-IE"/>
        </w:rPr>
      </w:pPr>
      <w:r w:rsidRPr="002060A9">
        <w:rPr>
          <w:lang w:val="en-IE"/>
        </w:rPr>
        <w:t>Within a few weeks of infection, a phase of multiplication of</w:t>
      </w:r>
      <w:r w:rsidRPr="002060A9">
        <w:rPr>
          <w:i/>
          <w:lang w:val="en-IE"/>
        </w:rPr>
        <w:t xml:space="preserve"> MAP</w:t>
      </w:r>
      <w:r w:rsidRPr="002060A9">
        <w:rPr>
          <w:lang w:val="en-IE"/>
        </w:rPr>
        <w:t xml:space="preserve"> begins in the walls of the small intestine. Depending on the </w:t>
      </w:r>
      <w:r w:rsidR="00137C52" w:rsidRPr="002060A9">
        <w:rPr>
          <w:lang w:val="en-IE"/>
        </w:rPr>
        <w:t xml:space="preserve">natural </w:t>
      </w:r>
      <w:r w:rsidRPr="002060A9">
        <w:rPr>
          <w:lang w:val="en-IE"/>
        </w:rPr>
        <w:t xml:space="preserve">resistance of the individual, this infection is eliminated or the animal remains infected as a healthy carrier. The proportion of animals in these categories is unknown. A later phase of multiplication of the organisms in a proportion of carriers leads to the extension of lesions, interference with gut metabolism and clinical signs of disease. Subclinical carriers excrete variable numbers of </w:t>
      </w:r>
      <w:r w:rsidRPr="002060A9">
        <w:rPr>
          <w:i/>
          <w:lang w:val="en-IE"/>
        </w:rPr>
        <w:t>MAP</w:t>
      </w:r>
      <w:r w:rsidRPr="002060A9">
        <w:rPr>
          <w:lang w:val="en-IE"/>
        </w:rPr>
        <w:t xml:space="preserve"> in the faeces. In most cases larger numbers of organisms are excreted as clinical disease develops.</w:t>
      </w:r>
    </w:p>
    <w:p w14:paraId="72CE6084" w14:textId="0676B124" w:rsidR="00B66F35" w:rsidRPr="002060A9" w:rsidRDefault="000604EB" w:rsidP="00167A02">
      <w:pPr>
        <w:pStyle w:val="paraA0"/>
        <w:rPr>
          <w:lang w:val="en-IE"/>
        </w:rPr>
      </w:pPr>
      <w:r w:rsidRPr="002060A9">
        <w:rPr>
          <w:lang w:val="en-IE"/>
        </w:rPr>
        <w:t>Cell-mediated immune responses</w:t>
      </w:r>
      <w:r w:rsidR="00087872" w:rsidRPr="002060A9">
        <w:rPr>
          <w:lang w:val="en-IE"/>
        </w:rPr>
        <w:t xml:space="preserve"> (CMI)</w:t>
      </w:r>
      <w:r w:rsidRPr="002060A9">
        <w:rPr>
          <w:lang w:val="en-IE"/>
        </w:rPr>
        <w:t xml:space="preserve"> are</w:t>
      </w:r>
      <w:r w:rsidR="00B66F35" w:rsidRPr="002060A9">
        <w:rPr>
          <w:lang w:val="en-IE"/>
        </w:rPr>
        <w:t xml:space="preserve"> detectable early in the infection and remain present in a proportion of the </w:t>
      </w:r>
      <w:proofErr w:type="spellStart"/>
      <w:r w:rsidR="00B66F35" w:rsidRPr="002060A9">
        <w:rPr>
          <w:lang w:val="en-IE"/>
        </w:rPr>
        <w:t>subclinically</w:t>
      </w:r>
      <w:proofErr w:type="spellEnd"/>
      <w:r w:rsidR="00B66F35" w:rsidRPr="002060A9">
        <w:rPr>
          <w:lang w:val="en-IE"/>
        </w:rPr>
        <w:t xml:space="preserve"> infected carriers, but as the disease progresses, </w:t>
      </w:r>
      <w:r w:rsidRPr="002060A9">
        <w:rPr>
          <w:lang w:val="en-IE"/>
        </w:rPr>
        <w:t>CMI</w:t>
      </w:r>
      <w:r w:rsidR="00B66F35" w:rsidRPr="002060A9">
        <w:rPr>
          <w:lang w:val="en-IE"/>
        </w:rPr>
        <w:t xml:space="preserve"> wanes and may be absent in clinical cases. Serum antibodies are detectable later than </w:t>
      </w:r>
      <w:r w:rsidR="00B736E2" w:rsidRPr="002060A9">
        <w:rPr>
          <w:lang w:val="en-IE"/>
        </w:rPr>
        <w:t>CMI</w:t>
      </w:r>
      <w:r w:rsidR="00B66F35" w:rsidRPr="002060A9">
        <w:rPr>
          <w:lang w:val="en-IE"/>
        </w:rPr>
        <w:t xml:space="preserve">. They may also be present in </w:t>
      </w:r>
      <w:r w:rsidR="00B66F35" w:rsidRPr="006C394D">
        <w:rPr>
          <w:strike/>
          <w:highlight w:val="yellow"/>
          <w:lang w:val="en-IE"/>
        </w:rPr>
        <w:t xml:space="preserve">carriers </w:t>
      </w:r>
      <w:r w:rsidR="00132F23" w:rsidRPr="006C394D">
        <w:rPr>
          <w:highlight w:val="yellow"/>
          <w:u w:val="double"/>
          <w:lang w:val="en-IE"/>
        </w:rPr>
        <w:t>animals</w:t>
      </w:r>
      <w:r w:rsidR="00132F23" w:rsidRPr="002060A9">
        <w:rPr>
          <w:lang w:val="en-IE"/>
        </w:rPr>
        <w:t xml:space="preserve"> </w:t>
      </w:r>
      <w:r w:rsidR="00B66F35" w:rsidRPr="002060A9">
        <w:rPr>
          <w:lang w:val="en-IE"/>
        </w:rPr>
        <w:t>that have recovered from infection. Serum antibodies are present more constantly and are of higher titre as lesions become more extensive, reflecting the amount of antigen present. In sheep, there may be a serological response that is more likely to be detected in multibacillary than in the paucibacillary form of the disease.</w:t>
      </w:r>
    </w:p>
    <w:p w14:paraId="7259AD53" w14:textId="77777777" w:rsidR="00B66F35" w:rsidRPr="002060A9" w:rsidRDefault="00B66F35" w:rsidP="00167A02">
      <w:pPr>
        <w:pStyle w:val="paraA0"/>
        <w:rPr>
          <w:lang w:val="en-IE"/>
        </w:rPr>
      </w:pPr>
      <w:r w:rsidRPr="002060A9">
        <w:rPr>
          <w:lang w:val="en-IE"/>
        </w:rPr>
        <w:t xml:space="preserve">Other mycobacterial diseases and infections, including mammalian and avian tuberculosis, </w:t>
      </w:r>
      <w:r w:rsidR="000604EB" w:rsidRPr="002060A9">
        <w:rPr>
          <w:lang w:val="en-IE"/>
        </w:rPr>
        <w:t xml:space="preserve">stimulate </w:t>
      </w:r>
      <w:r w:rsidR="00B736E2" w:rsidRPr="002060A9">
        <w:rPr>
          <w:lang w:val="en-IE"/>
        </w:rPr>
        <w:t>CMI</w:t>
      </w:r>
      <w:r w:rsidRPr="002060A9">
        <w:rPr>
          <w:lang w:val="en-IE"/>
        </w:rPr>
        <w:t xml:space="preserve"> and the presence of serum antibodies. It follows therefore that these diseases need to be differentiated from paratuberculosis, both clinically and by the use of specific diagnostic tests. Exposure to environmental saprophytic mycobacteria may also sensitise livestock, resulting in nonspecific </w:t>
      </w:r>
      <w:r w:rsidR="00B736E2" w:rsidRPr="002060A9">
        <w:rPr>
          <w:lang w:val="en-IE"/>
        </w:rPr>
        <w:t>CMI</w:t>
      </w:r>
      <w:r w:rsidRPr="002060A9">
        <w:rPr>
          <w:lang w:val="en-IE"/>
        </w:rPr>
        <w:t xml:space="preserve"> reactions.</w:t>
      </w:r>
    </w:p>
    <w:p w14:paraId="755B2F47" w14:textId="77777777" w:rsidR="00B66F35" w:rsidRPr="002060A9" w:rsidRDefault="00B66F35" w:rsidP="00167A02">
      <w:pPr>
        <w:pStyle w:val="paraA0"/>
        <w:rPr>
          <w:lang w:val="en-IE"/>
        </w:rPr>
      </w:pPr>
      <w:r w:rsidRPr="002060A9">
        <w:rPr>
          <w:lang w:val="en-IE"/>
        </w:rPr>
        <w:t xml:space="preserve">Animals vaccinated against paratuberculosis </w:t>
      </w:r>
      <w:r w:rsidR="000604EB" w:rsidRPr="002060A9">
        <w:rPr>
          <w:lang w:val="en-IE"/>
        </w:rPr>
        <w:t xml:space="preserve">with whole cell vaccines </w:t>
      </w:r>
      <w:r w:rsidRPr="002060A9">
        <w:rPr>
          <w:lang w:val="en-IE"/>
        </w:rPr>
        <w:t xml:space="preserve">develop both </w:t>
      </w:r>
      <w:r w:rsidR="00B736E2" w:rsidRPr="002060A9">
        <w:rPr>
          <w:lang w:val="en-IE"/>
        </w:rPr>
        <w:t>CMI</w:t>
      </w:r>
      <w:r w:rsidRPr="002060A9">
        <w:rPr>
          <w:lang w:val="en-IE"/>
        </w:rPr>
        <w:t xml:space="preserve"> and serum antibodies. Vaccination is an aid to the prevention of clinical disease, but does not necessarily prevent infection. It also interferes with programmes for the diagnosis and control of bovine tuberculosis. Thus, if it is necessary to attempt a diagnosis of infection in vaccinates, </w:t>
      </w:r>
      <w:r w:rsidR="00137C52" w:rsidRPr="002060A9">
        <w:rPr>
          <w:lang w:val="en-IE"/>
        </w:rPr>
        <w:t xml:space="preserve">it is advisable to use tests detecting the antigen </w:t>
      </w:r>
      <w:r w:rsidR="00137C52" w:rsidRPr="00E85A02">
        <w:rPr>
          <w:i/>
          <w:lang w:val="en-IE"/>
        </w:rPr>
        <w:t>MAP</w:t>
      </w:r>
      <w:r w:rsidR="00B36B18" w:rsidRPr="002060A9">
        <w:rPr>
          <w:lang w:val="en-IE"/>
        </w:rPr>
        <w:t xml:space="preserve"> i</w:t>
      </w:r>
      <w:r w:rsidR="00F91804" w:rsidRPr="002060A9">
        <w:rPr>
          <w:lang w:val="en-IE"/>
        </w:rPr>
        <w:t>n samples of faeces or tissues</w:t>
      </w:r>
      <w:r w:rsidRPr="002060A9">
        <w:rPr>
          <w:lang w:val="en-IE"/>
        </w:rPr>
        <w:t>.</w:t>
      </w:r>
    </w:p>
    <w:p w14:paraId="4631A6D0" w14:textId="77777777" w:rsidR="00B66F35" w:rsidRPr="002060A9" w:rsidRDefault="00B66F35" w:rsidP="00167A02">
      <w:pPr>
        <w:pStyle w:val="paraA0"/>
        <w:rPr>
          <w:i/>
          <w:lang w:val="en-IE"/>
        </w:rPr>
      </w:pPr>
      <w:r w:rsidRPr="002060A9">
        <w:rPr>
          <w:lang w:val="en-IE"/>
        </w:rPr>
        <w:t xml:space="preserve">In individual animals, especially from a farm in which the disease has not previously been diagnosed, a tentative clinical diagnosis must be confirmed by laboratory tests. However, a definitive diagnosis may be warranted on </w:t>
      </w:r>
      <w:r w:rsidRPr="002060A9">
        <w:rPr>
          <w:lang w:val="en-IE"/>
        </w:rPr>
        <w:lastRenderedPageBreak/>
        <w:t xml:space="preserve">clinical grounds alone if the clinical signs are typical and the disease is known to be present in the herd. Confirmation of paratuberculosis depends on the finding of either gross lesions with the demonstration of typical acid-fast organisms in impression smears or microscopic pathognomonic lesions and the isolation in culture of </w:t>
      </w:r>
      <w:r w:rsidRPr="002060A9">
        <w:rPr>
          <w:i/>
          <w:lang w:val="en-IE"/>
        </w:rPr>
        <w:t>MAP.</w:t>
      </w:r>
    </w:p>
    <w:p w14:paraId="79D94251" w14:textId="4E2CDC65" w:rsidR="00B60464" w:rsidRPr="002060A9" w:rsidRDefault="009731C8" w:rsidP="00AE113E">
      <w:pPr>
        <w:pStyle w:val="paraA0"/>
        <w:keepLines/>
        <w:spacing w:after="480"/>
        <w:rPr>
          <w:i/>
          <w:lang w:val="en-IE"/>
        </w:rPr>
      </w:pPr>
      <w:smartTag w:uri="urn:schemas-microsoft-com:office:smarttags" w:element="stockticker">
        <w:r w:rsidRPr="002060A9">
          <w:rPr>
            <w:i/>
            <w:lang w:val="en-IE"/>
          </w:rPr>
          <w:t>MAP</w:t>
        </w:r>
      </w:smartTag>
      <w:r w:rsidRPr="002060A9">
        <w:rPr>
          <w:lang w:val="en-IE"/>
        </w:rPr>
        <w:t xml:space="preserve"> </w:t>
      </w:r>
      <w:r w:rsidRPr="008A6077">
        <w:rPr>
          <w:strike/>
          <w:lang w:val="en-IE"/>
        </w:rPr>
        <w:t>is classed in Risk Group 2 for human infection and</w:t>
      </w:r>
      <w:r w:rsidR="008A6077">
        <w:rPr>
          <w:strike/>
          <w:lang w:val="en-IE"/>
        </w:rPr>
        <w:t xml:space="preserve"> </w:t>
      </w:r>
      <w:r w:rsidR="007E0BA4" w:rsidRPr="008A6077">
        <w:rPr>
          <w:u w:val="double"/>
          <w:lang w:val="en-IE"/>
        </w:rPr>
        <w:t>or</w:t>
      </w:r>
      <w:r w:rsidR="00463D9C" w:rsidRPr="008A6077">
        <w:rPr>
          <w:u w:val="double"/>
          <w:lang w:val="en-IE"/>
        </w:rPr>
        <w:t>ganisms and potentially infected specimens</w:t>
      </w:r>
      <w:r w:rsidR="00BD1AF0" w:rsidRPr="008A6077">
        <w:rPr>
          <w:u w:val="double"/>
          <w:lang w:val="en-IE"/>
        </w:rPr>
        <w:t xml:space="preserve"> </w:t>
      </w:r>
      <w:r w:rsidRPr="002060A9">
        <w:rPr>
          <w:lang w:val="en-IE"/>
        </w:rPr>
        <w:t xml:space="preserve">should be handled </w:t>
      </w:r>
      <w:r w:rsidRPr="008A6077">
        <w:rPr>
          <w:strike/>
          <w:lang w:val="en-IE"/>
        </w:rPr>
        <w:t xml:space="preserve">with appropriate measures </w:t>
      </w:r>
      <w:r w:rsidR="007E344B" w:rsidRPr="008A6077">
        <w:rPr>
          <w:u w:val="double"/>
          <w:lang w:val="en-IE"/>
        </w:rPr>
        <w:t xml:space="preserve">at an appropriate biosafety and containment level determined by </w:t>
      </w:r>
      <w:proofErr w:type="spellStart"/>
      <w:r w:rsidR="007E344B" w:rsidRPr="008A6077">
        <w:rPr>
          <w:u w:val="double"/>
          <w:lang w:val="en-IE"/>
        </w:rPr>
        <w:t>biorisk</w:t>
      </w:r>
      <w:proofErr w:type="spellEnd"/>
      <w:r w:rsidR="007E344B" w:rsidRPr="008A6077">
        <w:rPr>
          <w:u w:val="double"/>
          <w:lang w:val="en-IE"/>
        </w:rPr>
        <w:t xml:space="preserve"> analysis</w:t>
      </w:r>
      <w:r w:rsidR="007E344B" w:rsidRPr="002060A9">
        <w:rPr>
          <w:lang w:val="en-IE"/>
        </w:rPr>
        <w:t xml:space="preserve"> </w:t>
      </w:r>
      <w:r w:rsidRPr="002060A9">
        <w:rPr>
          <w:lang w:val="en-IE"/>
        </w:rPr>
        <w:t>as described in Chapter 1.1.</w:t>
      </w:r>
      <w:r w:rsidR="00C45D2A">
        <w:rPr>
          <w:lang w:val="en-IE"/>
        </w:rPr>
        <w:t>4</w:t>
      </w:r>
      <w:r w:rsidRPr="002060A9">
        <w:rPr>
          <w:lang w:val="en-IE"/>
        </w:rPr>
        <w:t xml:space="preserve"> </w:t>
      </w:r>
      <w:r w:rsidR="00C45D2A" w:rsidRPr="00C45D2A">
        <w:rPr>
          <w:i/>
          <w:lang w:val="en-IE"/>
        </w:rPr>
        <w:t xml:space="preserve">Biosafety and biosecurity: </w:t>
      </w:r>
      <w:r w:rsidR="00C45D2A" w:rsidRPr="00C45D2A">
        <w:rPr>
          <w:i/>
          <w:iCs/>
        </w:rPr>
        <w:t>Standard for managing biological risk in the veterinary laboratory and animal facilities</w:t>
      </w:r>
      <w:r w:rsidRPr="002060A9">
        <w:rPr>
          <w:lang w:val="en-IE"/>
        </w:rPr>
        <w:t xml:space="preserve">. </w:t>
      </w:r>
      <w:r w:rsidRPr="008A6077">
        <w:rPr>
          <w:strike/>
          <w:lang w:val="en-IE"/>
        </w:rPr>
        <w:t>Biocontainment measures should be determined by risk analysis as described in Chapter 1.1.</w:t>
      </w:r>
      <w:r w:rsidR="00C45D2A" w:rsidRPr="008A6077">
        <w:rPr>
          <w:strike/>
          <w:lang w:val="en-IE"/>
        </w:rPr>
        <w:t>4</w:t>
      </w:r>
      <w:r w:rsidR="008F5FB0" w:rsidRPr="008A6077">
        <w:rPr>
          <w:i/>
          <w:strike/>
          <w:lang w:val="en-IE"/>
        </w:rPr>
        <w:t>.</w:t>
      </w:r>
    </w:p>
    <w:p w14:paraId="1ED20594" w14:textId="77777777" w:rsidR="00B1521C" w:rsidRPr="002060A9" w:rsidRDefault="00B1521C" w:rsidP="00B1521C">
      <w:pPr>
        <w:pStyle w:val="A0"/>
        <w:outlineLvl w:val="0"/>
        <w:rPr>
          <w:lang w:val="en-IE"/>
        </w:rPr>
      </w:pPr>
      <w:r w:rsidRPr="002060A9">
        <w:rPr>
          <w:lang w:val="en-IE"/>
        </w:rPr>
        <w:t>B.  DIAGNOSTIC TECHNIQUES</w:t>
      </w:r>
    </w:p>
    <w:p w14:paraId="7A2CC4D2" w14:textId="77777777" w:rsidR="00B1521C" w:rsidRPr="002060A9" w:rsidRDefault="00B1521C" w:rsidP="00710E28">
      <w:pPr>
        <w:pStyle w:val="Tabletitle"/>
        <w:rPr>
          <w:u w:val="none"/>
          <w:lang w:val="en-IE"/>
        </w:rPr>
      </w:pPr>
      <w:r w:rsidRPr="002060A9">
        <w:rPr>
          <w:u w:val="none"/>
          <w:lang w:val="en-IE"/>
        </w:rPr>
        <w:t xml:space="preserve">Table </w:t>
      </w:r>
      <w:r w:rsidRPr="002060A9">
        <w:rPr>
          <w:noProof/>
          <w:u w:val="none"/>
          <w:lang w:val="en-IE"/>
        </w:rPr>
        <w:t>1</w:t>
      </w:r>
      <w:r w:rsidRPr="002060A9">
        <w:rPr>
          <w:u w:val="none"/>
          <w:lang w:val="en-IE"/>
        </w:rPr>
        <w:t xml:space="preserve">. </w:t>
      </w:r>
      <w:r w:rsidRPr="002060A9">
        <w:rPr>
          <w:b w:val="0"/>
          <w:u w:val="none"/>
          <w:lang w:val="en-IE"/>
        </w:rPr>
        <w:t>Test methods available for diagnosis of paratuberculosis and their purpose</w:t>
      </w:r>
    </w:p>
    <w:tbl>
      <w:tblPr>
        <w:tblW w:w="0" w:type="auto"/>
        <w:jc w:val="center"/>
        <w:tblLayout w:type="fixed"/>
        <w:tblCellMar>
          <w:left w:w="96" w:type="dxa"/>
          <w:right w:w="96" w:type="dxa"/>
        </w:tblCellMar>
        <w:tblLook w:val="0000" w:firstRow="0" w:lastRow="0" w:firstColumn="0" w:lastColumn="0" w:noHBand="0" w:noVBand="0"/>
      </w:tblPr>
      <w:tblGrid>
        <w:gridCol w:w="1689"/>
        <w:gridCol w:w="1134"/>
        <w:gridCol w:w="1418"/>
        <w:gridCol w:w="1134"/>
        <w:gridCol w:w="1134"/>
        <w:gridCol w:w="1134"/>
        <w:gridCol w:w="1404"/>
      </w:tblGrid>
      <w:tr w:rsidR="00B1521C" w:rsidRPr="002060A9" w14:paraId="275A98D7" w14:textId="77777777" w:rsidTr="009355BB">
        <w:trPr>
          <w:trHeight w:val="402"/>
          <w:jc w:val="center"/>
        </w:trPr>
        <w:tc>
          <w:tcPr>
            <w:tcW w:w="1689" w:type="dxa"/>
            <w:vMerge w:val="restart"/>
            <w:tcBorders>
              <w:top w:val="single" w:sz="6" w:space="0" w:color="auto"/>
              <w:left w:val="single" w:sz="6" w:space="0" w:color="auto"/>
            </w:tcBorders>
            <w:vAlign w:val="center"/>
          </w:tcPr>
          <w:p w14:paraId="2287A620" w14:textId="77777777" w:rsidR="00B1521C" w:rsidRPr="002060A9" w:rsidRDefault="00B1521C" w:rsidP="0020514E">
            <w:pPr>
              <w:pStyle w:val="TableHead"/>
              <w:rPr>
                <w:rFonts w:ascii="Arial" w:hAnsi="Arial" w:cs="Arial"/>
                <w:sz w:val="16"/>
                <w:szCs w:val="16"/>
              </w:rPr>
            </w:pPr>
            <w:r w:rsidRPr="002060A9">
              <w:rPr>
                <w:rFonts w:ascii="Arial" w:hAnsi="Arial" w:cs="Arial"/>
                <w:sz w:val="16"/>
                <w:szCs w:val="16"/>
              </w:rPr>
              <w:t>Method</w:t>
            </w:r>
          </w:p>
        </w:tc>
        <w:tc>
          <w:tcPr>
            <w:tcW w:w="7358" w:type="dxa"/>
            <w:gridSpan w:val="6"/>
            <w:tcBorders>
              <w:top w:val="single" w:sz="6" w:space="0" w:color="auto"/>
              <w:left w:val="single" w:sz="6" w:space="0" w:color="auto"/>
              <w:right w:val="single" w:sz="6" w:space="0" w:color="auto"/>
            </w:tcBorders>
            <w:vAlign w:val="center"/>
          </w:tcPr>
          <w:p w14:paraId="48FCDA96" w14:textId="77777777" w:rsidR="00B1521C" w:rsidRPr="002060A9" w:rsidRDefault="00B1521C" w:rsidP="0020514E">
            <w:pPr>
              <w:pStyle w:val="Tabletext"/>
              <w:rPr>
                <w:b/>
                <w:sz w:val="16"/>
                <w:szCs w:val="16"/>
              </w:rPr>
            </w:pPr>
            <w:r w:rsidRPr="002060A9">
              <w:rPr>
                <w:b/>
                <w:sz w:val="16"/>
                <w:szCs w:val="16"/>
              </w:rPr>
              <w:t>Purpose</w:t>
            </w:r>
          </w:p>
        </w:tc>
      </w:tr>
      <w:tr w:rsidR="00B1521C" w:rsidRPr="002060A9" w14:paraId="7DC619D5" w14:textId="77777777" w:rsidTr="009355BB">
        <w:trPr>
          <w:trHeight w:val="402"/>
          <w:jc w:val="center"/>
        </w:trPr>
        <w:tc>
          <w:tcPr>
            <w:tcW w:w="1689" w:type="dxa"/>
            <w:vMerge/>
            <w:tcBorders>
              <w:left w:val="single" w:sz="6" w:space="0" w:color="auto"/>
              <w:bottom w:val="single" w:sz="6" w:space="0" w:color="auto"/>
            </w:tcBorders>
            <w:vAlign w:val="center"/>
          </w:tcPr>
          <w:p w14:paraId="59A63C9B" w14:textId="77777777" w:rsidR="00B1521C" w:rsidRPr="002060A9" w:rsidRDefault="00B1521C" w:rsidP="0020514E">
            <w:pPr>
              <w:pStyle w:val="TableHead"/>
              <w:jc w:val="both"/>
              <w:rPr>
                <w:rFonts w:ascii="Arial" w:hAnsi="Arial" w:cs="Arial"/>
                <w:sz w:val="16"/>
                <w:szCs w:val="16"/>
              </w:rPr>
            </w:pPr>
          </w:p>
        </w:tc>
        <w:tc>
          <w:tcPr>
            <w:tcW w:w="1134" w:type="dxa"/>
            <w:tcBorders>
              <w:top w:val="single" w:sz="6" w:space="0" w:color="auto"/>
              <w:left w:val="single" w:sz="6" w:space="0" w:color="auto"/>
              <w:bottom w:val="single" w:sz="6" w:space="0" w:color="auto"/>
            </w:tcBorders>
            <w:vAlign w:val="center"/>
          </w:tcPr>
          <w:p w14:paraId="596FF19B" w14:textId="77777777" w:rsidR="00B1521C" w:rsidRPr="002060A9" w:rsidRDefault="00B1521C" w:rsidP="0020514E">
            <w:pPr>
              <w:pStyle w:val="Tabletext"/>
              <w:rPr>
                <w:sz w:val="16"/>
                <w:szCs w:val="16"/>
              </w:rPr>
            </w:pPr>
            <w:r w:rsidRPr="002060A9">
              <w:rPr>
                <w:sz w:val="16"/>
                <w:szCs w:val="16"/>
              </w:rPr>
              <w:t>Population freedom from infection</w:t>
            </w:r>
          </w:p>
        </w:tc>
        <w:tc>
          <w:tcPr>
            <w:tcW w:w="1418" w:type="dxa"/>
            <w:tcBorders>
              <w:top w:val="single" w:sz="6" w:space="0" w:color="auto"/>
              <w:left w:val="single" w:sz="6" w:space="0" w:color="auto"/>
              <w:bottom w:val="single" w:sz="6" w:space="0" w:color="auto"/>
            </w:tcBorders>
            <w:vAlign w:val="center"/>
          </w:tcPr>
          <w:p w14:paraId="3694A558" w14:textId="77777777" w:rsidR="00B1521C" w:rsidRPr="002060A9" w:rsidRDefault="00B1521C" w:rsidP="0020514E">
            <w:pPr>
              <w:pStyle w:val="Tabletext"/>
              <w:rPr>
                <w:sz w:val="16"/>
                <w:szCs w:val="16"/>
              </w:rPr>
            </w:pPr>
            <w:r w:rsidRPr="002060A9">
              <w:rPr>
                <w:sz w:val="16"/>
                <w:szCs w:val="16"/>
              </w:rPr>
              <w:t>Individual animal freedom from infection</w:t>
            </w:r>
            <w:r w:rsidR="00710E28" w:rsidRPr="002060A9">
              <w:rPr>
                <w:sz w:val="16"/>
                <w:szCs w:val="16"/>
              </w:rPr>
              <w:t xml:space="preserve"> prior to movement</w:t>
            </w:r>
          </w:p>
        </w:tc>
        <w:tc>
          <w:tcPr>
            <w:tcW w:w="1134" w:type="dxa"/>
            <w:tcBorders>
              <w:top w:val="single" w:sz="6" w:space="0" w:color="auto"/>
              <w:left w:val="single" w:sz="6" w:space="0" w:color="auto"/>
              <w:bottom w:val="single" w:sz="6" w:space="0" w:color="auto"/>
            </w:tcBorders>
            <w:vAlign w:val="center"/>
          </w:tcPr>
          <w:p w14:paraId="7F97F93B" w14:textId="77777777" w:rsidR="00B1521C" w:rsidRPr="002060A9" w:rsidRDefault="00B1521C" w:rsidP="00E85A02">
            <w:pPr>
              <w:pStyle w:val="Tabletext"/>
              <w:rPr>
                <w:sz w:val="16"/>
                <w:szCs w:val="16"/>
              </w:rPr>
            </w:pPr>
            <w:r w:rsidRPr="002060A9">
              <w:rPr>
                <w:sz w:val="16"/>
                <w:szCs w:val="16"/>
              </w:rPr>
              <w:t>Contribut</w:t>
            </w:r>
            <w:r w:rsidR="00E85A02">
              <w:rPr>
                <w:sz w:val="16"/>
                <w:szCs w:val="16"/>
              </w:rPr>
              <w:t>e</w:t>
            </w:r>
            <w:r w:rsidRPr="002060A9">
              <w:rPr>
                <w:sz w:val="16"/>
                <w:szCs w:val="16"/>
              </w:rPr>
              <w:t xml:space="preserve"> to eradication policies</w:t>
            </w:r>
          </w:p>
        </w:tc>
        <w:tc>
          <w:tcPr>
            <w:tcW w:w="1134" w:type="dxa"/>
            <w:tcBorders>
              <w:top w:val="single" w:sz="6" w:space="0" w:color="auto"/>
              <w:left w:val="single" w:sz="6" w:space="0" w:color="auto"/>
              <w:bottom w:val="single" w:sz="6" w:space="0" w:color="auto"/>
            </w:tcBorders>
            <w:vAlign w:val="center"/>
          </w:tcPr>
          <w:p w14:paraId="04414B97" w14:textId="77777777" w:rsidR="00B1521C" w:rsidRPr="002060A9" w:rsidRDefault="00B1521C" w:rsidP="0020514E">
            <w:pPr>
              <w:pStyle w:val="Tabletext"/>
              <w:rPr>
                <w:sz w:val="16"/>
                <w:szCs w:val="16"/>
              </w:rPr>
            </w:pPr>
            <w:r w:rsidRPr="002060A9">
              <w:rPr>
                <w:sz w:val="16"/>
                <w:szCs w:val="16"/>
              </w:rPr>
              <w:t>Confirmation of clinical cases</w:t>
            </w:r>
          </w:p>
        </w:tc>
        <w:tc>
          <w:tcPr>
            <w:tcW w:w="1134" w:type="dxa"/>
            <w:tcBorders>
              <w:top w:val="single" w:sz="6" w:space="0" w:color="auto"/>
              <w:left w:val="single" w:sz="6" w:space="0" w:color="auto"/>
              <w:bottom w:val="single" w:sz="6" w:space="0" w:color="auto"/>
            </w:tcBorders>
            <w:vAlign w:val="center"/>
          </w:tcPr>
          <w:p w14:paraId="57FD9CC5" w14:textId="77777777" w:rsidR="00B1521C" w:rsidRPr="002060A9" w:rsidRDefault="00B1521C" w:rsidP="00EE6120">
            <w:pPr>
              <w:pStyle w:val="Tabletext"/>
              <w:rPr>
                <w:sz w:val="16"/>
                <w:szCs w:val="16"/>
              </w:rPr>
            </w:pPr>
            <w:r w:rsidRPr="002060A9">
              <w:rPr>
                <w:sz w:val="16"/>
                <w:szCs w:val="16"/>
              </w:rPr>
              <w:t xml:space="preserve">Prevalence of infection </w:t>
            </w:r>
            <w:r w:rsidR="00EE6120" w:rsidRPr="002060A9">
              <w:rPr>
                <w:sz w:val="16"/>
                <w:szCs w:val="16"/>
              </w:rPr>
              <w:t>–</w:t>
            </w:r>
            <w:r w:rsidRPr="002060A9">
              <w:rPr>
                <w:sz w:val="16"/>
                <w:szCs w:val="16"/>
              </w:rPr>
              <w:t xml:space="preserve"> surveillance</w:t>
            </w:r>
          </w:p>
        </w:tc>
        <w:tc>
          <w:tcPr>
            <w:tcW w:w="1404" w:type="dxa"/>
            <w:tcBorders>
              <w:top w:val="single" w:sz="6" w:space="0" w:color="auto"/>
              <w:left w:val="single" w:sz="6" w:space="0" w:color="auto"/>
              <w:bottom w:val="single" w:sz="6" w:space="0" w:color="auto"/>
              <w:right w:val="single" w:sz="6" w:space="0" w:color="auto"/>
            </w:tcBorders>
            <w:vAlign w:val="center"/>
          </w:tcPr>
          <w:p w14:paraId="37742542" w14:textId="77777777" w:rsidR="00B1521C" w:rsidRPr="002060A9" w:rsidRDefault="00B1521C" w:rsidP="0020514E">
            <w:pPr>
              <w:pStyle w:val="Tabletext"/>
              <w:rPr>
                <w:sz w:val="16"/>
                <w:szCs w:val="16"/>
              </w:rPr>
            </w:pPr>
            <w:r w:rsidRPr="002060A9">
              <w:rPr>
                <w:sz w:val="16"/>
                <w:szCs w:val="16"/>
              </w:rPr>
              <w:t>Immune status in individual animals or populations post-vaccination</w:t>
            </w:r>
          </w:p>
        </w:tc>
      </w:tr>
      <w:tr w:rsidR="00091419" w:rsidRPr="002060A9" w14:paraId="4CEACABC" w14:textId="77777777" w:rsidTr="009355BB">
        <w:trPr>
          <w:trHeight w:val="402"/>
          <w:jc w:val="center"/>
        </w:trPr>
        <w:tc>
          <w:tcPr>
            <w:tcW w:w="9047" w:type="dxa"/>
            <w:gridSpan w:val="7"/>
            <w:tcBorders>
              <w:top w:val="single" w:sz="6" w:space="0" w:color="auto"/>
              <w:left w:val="single" w:sz="6" w:space="0" w:color="auto"/>
              <w:right w:val="single" w:sz="6" w:space="0" w:color="auto"/>
            </w:tcBorders>
            <w:shd w:val="pct10" w:color="auto" w:fill="auto"/>
          </w:tcPr>
          <w:p w14:paraId="33D9FDCF" w14:textId="77777777" w:rsidR="00091419" w:rsidRPr="002060A9" w:rsidRDefault="00091419" w:rsidP="00BC155B">
            <w:pPr>
              <w:pStyle w:val="Tabletext"/>
              <w:rPr>
                <w:sz w:val="16"/>
                <w:szCs w:val="16"/>
              </w:rPr>
            </w:pPr>
            <w:r w:rsidRPr="002060A9">
              <w:rPr>
                <w:b/>
                <w:sz w:val="16"/>
                <w:szCs w:val="16"/>
              </w:rPr>
              <w:t>Agent identification</w:t>
            </w:r>
            <w:r w:rsidRPr="00D7396C">
              <w:rPr>
                <w:rStyle w:val="Appelnotedebasdep"/>
                <w:b/>
                <w:sz w:val="16"/>
                <w:szCs w:val="16"/>
              </w:rPr>
              <w:footnoteReference w:id="2"/>
            </w:r>
          </w:p>
        </w:tc>
      </w:tr>
      <w:tr w:rsidR="00C55901" w:rsidRPr="002060A9" w14:paraId="098981B0" w14:textId="77777777" w:rsidTr="009355BB">
        <w:trPr>
          <w:trHeight w:val="402"/>
          <w:jc w:val="center"/>
        </w:trPr>
        <w:tc>
          <w:tcPr>
            <w:tcW w:w="1689" w:type="dxa"/>
            <w:tcBorders>
              <w:top w:val="single" w:sz="6" w:space="0" w:color="auto"/>
              <w:left w:val="single" w:sz="6" w:space="0" w:color="auto"/>
            </w:tcBorders>
          </w:tcPr>
          <w:p w14:paraId="667074A6" w14:textId="77777777" w:rsidR="00C55901" w:rsidRPr="002060A9" w:rsidRDefault="00C55901" w:rsidP="0020514E">
            <w:pPr>
              <w:spacing w:before="120" w:after="120" w:line="240" w:lineRule="auto"/>
              <w:jc w:val="center"/>
              <w:rPr>
                <w:rFonts w:ascii="Arial" w:hAnsi="Arial" w:cs="Arial"/>
                <w:b/>
                <w:sz w:val="16"/>
                <w:szCs w:val="16"/>
                <w:lang w:val="en-IE"/>
              </w:rPr>
            </w:pPr>
            <w:r w:rsidRPr="002060A9">
              <w:rPr>
                <w:rFonts w:ascii="Arial" w:hAnsi="Arial" w:cs="Arial"/>
                <w:b/>
                <w:sz w:val="16"/>
                <w:szCs w:val="16"/>
                <w:lang w:val="en-IE"/>
              </w:rPr>
              <w:t>Histopathology</w:t>
            </w:r>
            <w:r w:rsidR="00EC27CE" w:rsidRPr="002060A9">
              <w:rPr>
                <w:rFonts w:ascii="Arial" w:hAnsi="Arial" w:cs="Arial"/>
                <w:b/>
                <w:sz w:val="16"/>
                <w:szCs w:val="16"/>
                <w:lang w:val="en-IE"/>
              </w:rPr>
              <w:t>*</w:t>
            </w:r>
          </w:p>
        </w:tc>
        <w:tc>
          <w:tcPr>
            <w:tcW w:w="1134" w:type="dxa"/>
            <w:tcBorders>
              <w:top w:val="single" w:sz="6" w:space="0" w:color="auto"/>
              <w:left w:val="single" w:sz="6" w:space="0" w:color="auto"/>
            </w:tcBorders>
            <w:vAlign w:val="center"/>
          </w:tcPr>
          <w:p w14:paraId="0337E2CB" w14:textId="77777777" w:rsidR="00C55901" w:rsidRPr="002060A9" w:rsidRDefault="00EC27CE" w:rsidP="0020514E">
            <w:pPr>
              <w:pStyle w:val="Tabletext"/>
              <w:rPr>
                <w:sz w:val="16"/>
                <w:szCs w:val="16"/>
              </w:rPr>
            </w:pPr>
            <w:r w:rsidRPr="002060A9">
              <w:rPr>
                <w:sz w:val="16"/>
                <w:szCs w:val="16"/>
              </w:rPr>
              <w:t>+</w:t>
            </w:r>
          </w:p>
        </w:tc>
        <w:tc>
          <w:tcPr>
            <w:tcW w:w="1418" w:type="dxa"/>
            <w:tcBorders>
              <w:top w:val="single" w:sz="6" w:space="0" w:color="auto"/>
              <w:left w:val="single" w:sz="6" w:space="0" w:color="auto"/>
            </w:tcBorders>
            <w:vAlign w:val="center"/>
          </w:tcPr>
          <w:p w14:paraId="12043B19" w14:textId="77777777" w:rsidR="00C55901" w:rsidRPr="002060A9" w:rsidRDefault="00792CDA" w:rsidP="0020514E">
            <w:pPr>
              <w:pStyle w:val="Tabletext"/>
              <w:rPr>
                <w:sz w:val="16"/>
                <w:szCs w:val="16"/>
              </w:rPr>
            </w:pPr>
            <w:r w:rsidRPr="002060A9">
              <w:rPr>
                <w:sz w:val="16"/>
                <w:szCs w:val="16"/>
              </w:rPr>
              <w:t>–</w:t>
            </w:r>
          </w:p>
        </w:tc>
        <w:tc>
          <w:tcPr>
            <w:tcW w:w="1134" w:type="dxa"/>
            <w:tcBorders>
              <w:top w:val="single" w:sz="6" w:space="0" w:color="auto"/>
              <w:left w:val="single" w:sz="6" w:space="0" w:color="auto"/>
            </w:tcBorders>
            <w:vAlign w:val="center"/>
          </w:tcPr>
          <w:p w14:paraId="475BEE26" w14:textId="77777777" w:rsidR="00C55901" w:rsidRPr="002060A9" w:rsidRDefault="00C55901" w:rsidP="0020514E">
            <w:pPr>
              <w:pStyle w:val="Tabletext"/>
              <w:rPr>
                <w:sz w:val="16"/>
                <w:szCs w:val="16"/>
              </w:rPr>
            </w:pPr>
            <w:r w:rsidRPr="002060A9">
              <w:rPr>
                <w:sz w:val="16"/>
                <w:szCs w:val="16"/>
              </w:rPr>
              <w:t>+</w:t>
            </w:r>
          </w:p>
        </w:tc>
        <w:tc>
          <w:tcPr>
            <w:tcW w:w="1134" w:type="dxa"/>
            <w:tcBorders>
              <w:top w:val="single" w:sz="6" w:space="0" w:color="auto"/>
              <w:left w:val="single" w:sz="6" w:space="0" w:color="auto"/>
            </w:tcBorders>
            <w:vAlign w:val="center"/>
          </w:tcPr>
          <w:p w14:paraId="2CCBFDE6" w14:textId="77777777" w:rsidR="00C55901" w:rsidRPr="002060A9" w:rsidRDefault="00C55901" w:rsidP="0020514E">
            <w:pPr>
              <w:pStyle w:val="Tabletext"/>
              <w:rPr>
                <w:sz w:val="16"/>
                <w:szCs w:val="16"/>
              </w:rPr>
            </w:pPr>
            <w:r w:rsidRPr="002060A9">
              <w:rPr>
                <w:sz w:val="16"/>
                <w:szCs w:val="16"/>
              </w:rPr>
              <w:t>+++</w:t>
            </w:r>
          </w:p>
        </w:tc>
        <w:tc>
          <w:tcPr>
            <w:tcW w:w="1134" w:type="dxa"/>
            <w:tcBorders>
              <w:top w:val="single" w:sz="6" w:space="0" w:color="auto"/>
              <w:left w:val="single" w:sz="6" w:space="0" w:color="auto"/>
            </w:tcBorders>
            <w:vAlign w:val="center"/>
          </w:tcPr>
          <w:p w14:paraId="28D82F15" w14:textId="77777777" w:rsidR="00C55901" w:rsidRPr="002060A9" w:rsidRDefault="0012243E" w:rsidP="0020514E">
            <w:pPr>
              <w:pStyle w:val="Tabletext"/>
              <w:rPr>
                <w:sz w:val="16"/>
                <w:szCs w:val="16"/>
              </w:rPr>
            </w:pPr>
            <w:r w:rsidRPr="002060A9">
              <w:rPr>
                <w:sz w:val="16"/>
                <w:szCs w:val="16"/>
              </w:rPr>
              <w:t>–</w:t>
            </w:r>
          </w:p>
        </w:tc>
        <w:tc>
          <w:tcPr>
            <w:tcW w:w="1404" w:type="dxa"/>
            <w:tcBorders>
              <w:top w:val="single" w:sz="6" w:space="0" w:color="auto"/>
              <w:left w:val="single" w:sz="6" w:space="0" w:color="auto"/>
              <w:right w:val="single" w:sz="6" w:space="0" w:color="auto"/>
            </w:tcBorders>
            <w:vAlign w:val="center"/>
          </w:tcPr>
          <w:p w14:paraId="0892F9E5" w14:textId="77777777" w:rsidR="00C55901" w:rsidRPr="002060A9" w:rsidRDefault="0012243E" w:rsidP="0020514E">
            <w:pPr>
              <w:pStyle w:val="Tabletext"/>
              <w:rPr>
                <w:sz w:val="16"/>
                <w:szCs w:val="16"/>
              </w:rPr>
            </w:pPr>
            <w:r w:rsidRPr="002060A9">
              <w:rPr>
                <w:sz w:val="16"/>
                <w:szCs w:val="16"/>
              </w:rPr>
              <w:t>–</w:t>
            </w:r>
          </w:p>
        </w:tc>
      </w:tr>
      <w:tr w:rsidR="004E37DE" w:rsidRPr="002060A9" w14:paraId="1C6F9D56" w14:textId="77777777" w:rsidTr="009355BB">
        <w:trPr>
          <w:trHeight w:val="402"/>
          <w:jc w:val="center"/>
        </w:trPr>
        <w:tc>
          <w:tcPr>
            <w:tcW w:w="1689" w:type="dxa"/>
            <w:tcBorders>
              <w:top w:val="single" w:sz="6" w:space="0" w:color="auto"/>
              <w:left w:val="single" w:sz="6" w:space="0" w:color="auto"/>
            </w:tcBorders>
          </w:tcPr>
          <w:p w14:paraId="7B40F8F4" w14:textId="77777777" w:rsidR="004E37DE" w:rsidRPr="002060A9" w:rsidRDefault="00C55901" w:rsidP="0020514E">
            <w:pPr>
              <w:spacing w:before="120" w:after="120" w:line="240" w:lineRule="auto"/>
              <w:jc w:val="center"/>
              <w:rPr>
                <w:rFonts w:ascii="Arial" w:hAnsi="Arial" w:cs="Arial"/>
                <w:b/>
                <w:sz w:val="16"/>
                <w:szCs w:val="16"/>
                <w:lang w:val="en-IE"/>
              </w:rPr>
            </w:pPr>
            <w:r w:rsidRPr="002060A9">
              <w:rPr>
                <w:rFonts w:ascii="Arial" w:hAnsi="Arial" w:cs="Arial"/>
                <w:b/>
                <w:sz w:val="16"/>
                <w:szCs w:val="16"/>
                <w:lang w:val="en-IE"/>
              </w:rPr>
              <w:t xml:space="preserve">Faecal </w:t>
            </w:r>
            <w:r w:rsidR="004E37DE" w:rsidRPr="002060A9">
              <w:rPr>
                <w:rFonts w:ascii="Arial" w:hAnsi="Arial" w:cs="Arial"/>
                <w:b/>
                <w:sz w:val="16"/>
                <w:szCs w:val="16"/>
                <w:lang w:val="en-IE"/>
              </w:rPr>
              <w:t>ZN staining</w:t>
            </w:r>
          </w:p>
        </w:tc>
        <w:tc>
          <w:tcPr>
            <w:tcW w:w="1134" w:type="dxa"/>
            <w:tcBorders>
              <w:top w:val="single" w:sz="6" w:space="0" w:color="auto"/>
              <w:left w:val="single" w:sz="6" w:space="0" w:color="auto"/>
            </w:tcBorders>
            <w:vAlign w:val="center"/>
          </w:tcPr>
          <w:p w14:paraId="069B9571" w14:textId="77777777" w:rsidR="004E37DE" w:rsidRPr="002060A9" w:rsidRDefault="0012243E" w:rsidP="0020514E">
            <w:pPr>
              <w:pStyle w:val="Tabletext"/>
              <w:rPr>
                <w:sz w:val="16"/>
                <w:szCs w:val="16"/>
              </w:rPr>
            </w:pPr>
            <w:r w:rsidRPr="002060A9">
              <w:rPr>
                <w:sz w:val="16"/>
                <w:szCs w:val="16"/>
              </w:rPr>
              <w:t>–</w:t>
            </w:r>
          </w:p>
        </w:tc>
        <w:tc>
          <w:tcPr>
            <w:tcW w:w="1418" w:type="dxa"/>
            <w:tcBorders>
              <w:top w:val="single" w:sz="6" w:space="0" w:color="auto"/>
              <w:left w:val="single" w:sz="6" w:space="0" w:color="auto"/>
            </w:tcBorders>
            <w:vAlign w:val="center"/>
          </w:tcPr>
          <w:p w14:paraId="19C0B9A3" w14:textId="77777777" w:rsidR="004E37DE" w:rsidRPr="002060A9" w:rsidRDefault="0012243E" w:rsidP="0020514E">
            <w:pPr>
              <w:pStyle w:val="Tabletext"/>
              <w:rPr>
                <w:sz w:val="16"/>
                <w:szCs w:val="16"/>
              </w:rPr>
            </w:pPr>
            <w:r w:rsidRPr="002060A9">
              <w:rPr>
                <w:sz w:val="16"/>
                <w:szCs w:val="16"/>
              </w:rPr>
              <w:t>–</w:t>
            </w:r>
          </w:p>
        </w:tc>
        <w:tc>
          <w:tcPr>
            <w:tcW w:w="1134" w:type="dxa"/>
            <w:tcBorders>
              <w:top w:val="single" w:sz="6" w:space="0" w:color="auto"/>
              <w:left w:val="single" w:sz="6" w:space="0" w:color="auto"/>
            </w:tcBorders>
            <w:vAlign w:val="center"/>
          </w:tcPr>
          <w:p w14:paraId="119E74CA" w14:textId="77777777" w:rsidR="004E37DE" w:rsidRPr="002060A9" w:rsidRDefault="0012243E" w:rsidP="0020514E">
            <w:pPr>
              <w:pStyle w:val="Tabletext"/>
              <w:rPr>
                <w:sz w:val="16"/>
                <w:szCs w:val="16"/>
              </w:rPr>
            </w:pPr>
            <w:r w:rsidRPr="002060A9">
              <w:rPr>
                <w:sz w:val="16"/>
                <w:szCs w:val="16"/>
              </w:rPr>
              <w:t>–</w:t>
            </w:r>
          </w:p>
        </w:tc>
        <w:tc>
          <w:tcPr>
            <w:tcW w:w="1134" w:type="dxa"/>
            <w:tcBorders>
              <w:top w:val="single" w:sz="6" w:space="0" w:color="auto"/>
              <w:left w:val="single" w:sz="6" w:space="0" w:color="auto"/>
            </w:tcBorders>
            <w:vAlign w:val="center"/>
          </w:tcPr>
          <w:p w14:paraId="06F3234E" w14:textId="77777777" w:rsidR="004E37DE" w:rsidRPr="002060A9" w:rsidRDefault="004E37DE" w:rsidP="0020514E">
            <w:pPr>
              <w:pStyle w:val="Tabletext"/>
              <w:rPr>
                <w:sz w:val="16"/>
                <w:szCs w:val="16"/>
              </w:rPr>
            </w:pPr>
            <w:r w:rsidRPr="002060A9">
              <w:rPr>
                <w:sz w:val="16"/>
                <w:szCs w:val="16"/>
              </w:rPr>
              <w:t>+</w:t>
            </w:r>
          </w:p>
        </w:tc>
        <w:tc>
          <w:tcPr>
            <w:tcW w:w="1134" w:type="dxa"/>
            <w:tcBorders>
              <w:top w:val="single" w:sz="6" w:space="0" w:color="auto"/>
              <w:left w:val="single" w:sz="6" w:space="0" w:color="auto"/>
            </w:tcBorders>
            <w:vAlign w:val="center"/>
          </w:tcPr>
          <w:p w14:paraId="389E2A79" w14:textId="77777777" w:rsidR="004E37DE" w:rsidRPr="002060A9" w:rsidRDefault="0012243E" w:rsidP="0020514E">
            <w:pPr>
              <w:pStyle w:val="Tabletext"/>
              <w:rPr>
                <w:sz w:val="16"/>
                <w:szCs w:val="16"/>
              </w:rPr>
            </w:pPr>
            <w:r w:rsidRPr="002060A9">
              <w:rPr>
                <w:sz w:val="16"/>
                <w:szCs w:val="16"/>
              </w:rPr>
              <w:t>–</w:t>
            </w:r>
          </w:p>
        </w:tc>
        <w:tc>
          <w:tcPr>
            <w:tcW w:w="1404" w:type="dxa"/>
            <w:tcBorders>
              <w:top w:val="single" w:sz="6" w:space="0" w:color="auto"/>
              <w:left w:val="single" w:sz="6" w:space="0" w:color="auto"/>
              <w:right w:val="single" w:sz="6" w:space="0" w:color="auto"/>
            </w:tcBorders>
            <w:vAlign w:val="center"/>
          </w:tcPr>
          <w:p w14:paraId="26D03435" w14:textId="77777777" w:rsidR="004E37DE" w:rsidRPr="002060A9" w:rsidRDefault="0012243E" w:rsidP="0020514E">
            <w:pPr>
              <w:pStyle w:val="Tabletext"/>
              <w:rPr>
                <w:sz w:val="16"/>
                <w:szCs w:val="16"/>
              </w:rPr>
            </w:pPr>
            <w:r w:rsidRPr="002060A9">
              <w:rPr>
                <w:sz w:val="16"/>
                <w:szCs w:val="16"/>
              </w:rPr>
              <w:t>–</w:t>
            </w:r>
          </w:p>
        </w:tc>
      </w:tr>
      <w:tr w:rsidR="004E37DE" w:rsidRPr="002060A9" w14:paraId="75EFBC97" w14:textId="77777777" w:rsidTr="009355BB">
        <w:trPr>
          <w:trHeight w:val="402"/>
          <w:jc w:val="center"/>
        </w:trPr>
        <w:tc>
          <w:tcPr>
            <w:tcW w:w="1689" w:type="dxa"/>
            <w:tcBorders>
              <w:top w:val="single" w:sz="6" w:space="0" w:color="auto"/>
              <w:left w:val="single" w:sz="6" w:space="0" w:color="auto"/>
            </w:tcBorders>
          </w:tcPr>
          <w:p w14:paraId="00F3BC0C" w14:textId="77777777" w:rsidR="004E37DE" w:rsidRPr="002060A9" w:rsidRDefault="004E37DE" w:rsidP="0020514E">
            <w:pPr>
              <w:spacing w:before="120" w:after="120" w:line="240" w:lineRule="auto"/>
              <w:jc w:val="center"/>
              <w:rPr>
                <w:rFonts w:ascii="Arial" w:hAnsi="Arial" w:cs="Arial"/>
                <w:b/>
                <w:sz w:val="16"/>
                <w:szCs w:val="16"/>
                <w:lang w:val="en-IE"/>
              </w:rPr>
            </w:pPr>
            <w:r w:rsidRPr="002060A9">
              <w:rPr>
                <w:rFonts w:ascii="Arial" w:hAnsi="Arial" w:cs="Arial"/>
                <w:b/>
                <w:sz w:val="16"/>
                <w:szCs w:val="16"/>
                <w:lang w:val="en-IE"/>
              </w:rPr>
              <w:t>Culture</w:t>
            </w:r>
          </w:p>
        </w:tc>
        <w:tc>
          <w:tcPr>
            <w:tcW w:w="1134" w:type="dxa"/>
            <w:tcBorders>
              <w:top w:val="single" w:sz="6" w:space="0" w:color="auto"/>
              <w:left w:val="single" w:sz="6" w:space="0" w:color="auto"/>
            </w:tcBorders>
            <w:vAlign w:val="center"/>
          </w:tcPr>
          <w:p w14:paraId="2181B6A2" w14:textId="5A4DE6E7" w:rsidR="004E37DE" w:rsidRPr="00C13626" w:rsidRDefault="006C1E24" w:rsidP="006C1E24">
            <w:pPr>
              <w:pStyle w:val="Tabletext"/>
              <w:rPr>
                <w:sz w:val="16"/>
                <w:szCs w:val="16"/>
                <w:highlight w:val="yellow"/>
              </w:rPr>
            </w:pPr>
            <w:r w:rsidRPr="00C13626">
              <w:rPr>
                <w:sz w:val="16"/>
                <w:szCs w:val="16"/>
                <w:highlight w:val="yellow"/>
              </w:rPr>
              <w:t xml:space="preserve">– </w:t>
            </w:r>
            <w:r w:rsidR="00385298" w:rsidRPr="00C13626">
              <w:rPr>
                <w:strike/>
                <w:sz w:val="16"/>
                <w:szCs w:val="16"/>
                <w:highlight w:val="yellow"/>
              </w:rPr>
              <w:t>+</w:t>
            </w:r>
            <w:r w:rsidR="00492910" w:rsidRPr="00C13626">
              <w:rPr>
                <w:strike/>
                <w:sz w:val="16"/>
                <w:szCs w:val="16"/>
                <w:highlight w:val="yellow"/>
              </w:rPr>
              <w:t>+</w:t>
            </w:r>
          </w:p>
        </w:tc>
        <w:tc>
          <w:tcPr>
            <w:tcW w:w="1418" w:type="dxa"/>
            <w:tcBorders>
              <w:top w:val="single" w:sz="6" w:space="0" w:color="auto"/>
              <w:left w:val="single" w:sz="6" w:space="0" w:color="auto"/>
            </w:tcBorders>
            <w:vAlign w:val="center"/>
          </w:tcPr>
          <w:p w14:paraId="08482705" w14:textId="1A454033" w:rsidR="004E37DE" w:rsidRPr="00C13626" w:rsidRDefault="00385298" w:rsidP="009B59E9">
            <w:pPr>
              <w:pStyle w:val="Tabletext"/>
              <w:rPr>
                <w:sz w:val="16"/>
                <w:szCs w:val="16"/>
                <w:highlight w:val="yellow"/>
              </w:rPr>
            </w:pPr>
            <w:r w:rsidRPr="00C13626">
              <w:rPr>
                <w:sz w:val="16"/>
                <w:szCs w:val="16"/>
                <w:highlight w:val="yellow"/>
              </w:rPr>
              <w:t>+</w:t>
            </w:r>
            <w:r w:rsidRPr="00C13626">
              <w:rPr>
                <w:strike/>
                <w:sz w:val="16"/>
                <w:szCs w:val="16"/>
                <w:highlight w:val="yellow"/>
              </w:rPr>
              <w:t xml:space="preserve"> ++</w:t>
            </w:r>
          </w:p>
        </w:tc>
        <w:tc>
          <w:tcPr>
            <w:tcW w:w="1134" w:type="dxa"/>
            <w:tcBorders>
              <w:top w:val="single" w:sz="6" w:space="0" w:color="auto"/>
              <w:left w:val="single" w:sz="6" w:space="0" w:color="auto"/>
            </w:tcBorders>
            <w:vAlign w:val="center"/>
          </w:tcPr>
          <w:p w14:paraId="530D9257" w14:textId="77777777" w:rsidR="004E37DE" w:rsidRPr="002060A9" w:rsidRDefault="004E37DE" w:rsidP="0020514E">
            <w:pPr>
              <w:pStyle w:val="Tabletext"/>
              <w:rPr>
                <w:sz w:val="16"/>
                <w:szCs w:val="16"/>
              </w:rPr>
            </w:pPr>
            <w:r w:rsidRPr="002060A9">
              <w:rPr>
                <w:sz w:val="16"/>
                <w:szCs w:val="16"/>
              </w:rPr>
              <w:t>+</w:t>
            </w:r>
          </w:p>
        </w:tc>
        <w:tc>
          <w:tcPr>
            <w:tcW w:w="1134" w:type="dxa"/>
            <w:tcBorders>
              <w:top w:val="single" w:sz="6" w:space="0" w:color="auto"/>
              <w:left w:val="single" w:sz="6" w:space="0" w:color="auto"/>
            </w:tcBorders>
            <w:vAlign w:val="center"/>
          </w:tcPr>
          <w:p w14:paraId="4AB3F98C" w14:textId="77777777" w:rsidR="004E37DE" w:rsidRPr="002060A9" w:rsidRDefault="004E37DE" w:rsidP="0020514E">
            <w:pPr>
              <w:pStyle w:val="Tabletext"/>
              <w:rPr>
                <w:sz w:val="16"/>
                <w:szCs w:val="16"/>
              </w:rPr>
            </w:pPr>
            <w:r w:rsidRPr="002060A9">
              <w:rPr>
                <w:sz w:val="16"/>
                <w:szCs w:val="16"/>
              </w:rPr>
              <w:t>++</w:t>
            </w:r>
            <w:r w:rsidR="00480AFD" w:rsidRPr="002060A9">
              <w:rPr>
                <w:sz w:val="16"/>
                <w:szCs w:val="16"/>
              </w:rPr>
              <w:t>+</w:t>
            </w:r>
          </w:p>
        </w:tc>
        <w:tc>
          <w:tcPr>
            <w:tcW w:w="1134" w:type="dxa"/>
            <w:tcBorders>
              <w:top w:val="single" w:sz="6" w:space="0" w:color="auto"/>
              <w:left w:val="single" w:sz="6" w:space="0" w:color="auto"/>
            </w:tcBorders>
            <w:vAlign w:val="center"/>
          </w:tcPr>
          <w:p w14:paraId="75793B3C" w14:textId="77777777" w:rsidR="004E37DE" w:rsidRPr="002060A9" w:rsidRDefault="004E37DE" w:rsidP="0020514E">
            <w:pPr>
              <w:pStyle w:val="Tabletext"/>
              <w:rPr>
                <w:sz w:val="16"/>
                <w:szCs w:val="16"/>
              </w:rPr>
            </w:pPr>
            <w:r w:rsidRPr="002060A9">
              <w:rPr>
                <w:sz w:val="16"/>
                <w:szCs w:val="16"/>
              </w:rPr>
              <w:t>+</w:t>
            </w:r>
          </w:p>
        </w:tc>
        <w:tc>
          <w:tcPr>
            <w:tcW w:w="1404" w:type="dxa"/>
            <w:tcBorders>
              <w:top w:val="single" w:sz="6" w:space="0" w:color="auto"/>
              <w:left w:val="single" w:sz="6" w:space="0" w:color="auto"/>
              <w:right w:val="single" w:sz="6" w:space="0" w:color="auto"/>
            </w:tcBorders>
            <w:vAlign w:val="center"/>
          </w:tcPr>
          <w:p w14:paraId="46E262A9" w14:textId="77777777" w:rsidR="004E37DE" w:rsidRPr="002060A9" w:rsidRDefault="0012243E" w:rsidP="0020514E">
            <w:pPr>
              <w:pStyle w:val="Tabletext"/>
              <w:rPr>
                <w:sz w:val="16"/>
                <w:szCs w:val="16"/>
              </w:rPr>
            </w:pPr>
            <w:r w:rsidRPr="002060A9">
              <w:rPr>
                <w:sz w:val="16"/>
                <w:szCs w:val="16"/>
              </w:rPr>
              <w:t>–</w:t>
            </w:r>
          </w:p>
        </w:tc>
      </w:tr>
      <w:tr w:rsidR="004E37DE" w:rsidRPr="002060A9" w14:paraId="6E4639DD" w14:textId="77777777" w:rsidTr="009355BB">
        <w:trPr>
          <w:trHeight w:val="402"/>
          <w:jc w:val="center"/>
        </w:trPr>
        <w:tc>
          <w:tcPr>
            <w:tcW w:w="1689" w:type="dxa"/>
            <w:tcBorders>
              <w:top w:val="single" w:sz="6" w:space="0" w:color="auto"/>
              <w:left w:val="single" w:sz="6" w:space="0" w:color="auto"/>
              <w:bottom w:val="single" w:sz="6" w:space="0" w:color="auto"/>
            </w:tcBorders>
          </w:tcPr>
          <w:p w14:paraId="0922ECD6" w14:textId="77777777" w:rsidR="004E37DE" w:rsidRPr="002060A9" w:rsidRDefault="004E37DE" w:rsidP="0020514E">
            <w:pPr>
              <w:spacing w:before="120" w:after="120" w:line="240" w:lineRule="auto"/>
              <w:jc w:val="center"/>
              <w:rPr>
                <w:rFonts w:ascii="Arial" w:hAnsi="Arial" w:cs="Arial"/>
                <w:b/>
                <w:sz w:val="16"/>
                <w:szCs w:val="16"/>
                <w:lang w:val="en-IE"/>
              </w:rPr>
            </w:pPr>
            <w:r w:rsidRPr="002060A9">
              <w:rPr>
                <w:rFonts w:ascii="Arial" w:hAnsi="Arial" w:cs="Arial"/>
                <w:b/>
                <w:sz w:val="16"/>
                <w:szCs w:val="16"/>
                <w:lang w:val="en-IE"/>
              </w:rPr>
              <w:t>PCR</w:t>
            </w:r>
          </w:p>
        </w:tc>
        <w:tc>
          <w:tcPr>
            <w:tcW w:w="1134" w:type="dxa"/>
            <w:tcBorders>
              <w:top w:val="single" w:sz="6" w:space="0" w:color="auto"/>
              <w:left w:val="single" w:sz="6" w:space="0" w:color="auto"/>
              <w:bottom w:val="single" w:sz="6" w:space="0" w:color="auto"/>
            </w:tcBorders>
            <w:vAlign w:val="center"/>
          </w:tcPr>
          <w:p w14:paraId="1BE48A83" w14:textId="3DE2BD12" w:rsidR="004E37DE" w:rsidRPr="00C13626" w:rsidRDefault="00492910" w:rsidP="00F64450">
            <w:pPr>
              <w:pStyle w:val="Tabletext"/>
              <w:rPr>
                <w:sz w:val="16"/>
                <w:szCs w:val="16"/>
                <w:highlight w:val="yellow"/>
              </w:rPr>
            </w:pPr>
            <w:r w:rsidRPr="00C13626">
              <w:rPr>
                <w:sz w:val="16"/>
                <w:szCs w:val="16"/>
                <w:highlight w:val="yellow"/>
              </w:rPr>
              <w:t>+</w:t>
            </w:r>
            <w:r w:rsidR="009B59E9" w:rsidRPr="00C13626">
              <w:rPr>
                <w:sz w:val="16"/>
                <w:szCs w:val="16"/>
                <w:highlight w:val="yellow"/>
                <w:u w:val="double"/>
              </w:rPr>
              <w:t>++</w:t>
            </w:r>
          </w:p>
        </w:tc>
        <w:tc>
          <w:tcPr>
            <w:tcW w:w="1418" w:type="dxa"/>
            <w:tcBorders>
              <w:top w:val="single" w:sz="6" w:space="0" w:color="auto"/>
              <w:left w:val="single" w:sz="6" w:space="0" w:color="auto"/>
              <w:bottom w:val="single" w:sz="6" w:space="0" w:color="auto"/>
            </w:tcBorders>
            <w:vAlign w:val="center"/>
          </w:tcPr>
          <w:p w14:paraId="29A282FB" w14:textId="30B2CF49" w:rsidR="004E37DE" w:rsidRPr="00C13626" w:rsidRDefault="002A314F" w:rsidP="0020514E">
            <w:pPr>
              <w:pStyle w:val="Tabletext"/>
              <w:rPr>
                <w:sz w:val="16"/>
                <w:szCs w:val="16"/>
                <w:highlight w:val="yellow"/>
              </w:rPr>
            </w:pPr>
            <w:r w:rsidRPr="00C13626">
              <w:rPr>
                <w:sz w:val="16"/>
                <w:szCs w:val="16"/>
                <w:highlight w:val="yellow"/>
              </w:rPr>
              <w:t>+</w:t>
            </w:r>
            <w:r w:rsidR="009B59E9" w:rsidRPr="00C13626">
              <w:rPr>
                <w:sz w:val="16"/>
                <w:szCs w:val="16"/>
                <w:highlight w:val="yellow"/>
                <w:u w:val="double"/>
              </w:rPr>
              <w:t>++</w:t>
            </w:r>
          </w:p>
        </w:tc>
        <w:tc>
          <w:tcPr>
            <w:tcW w:w="1134" w:type="dxa"/>
            <w:tcBorders>
              <w:top w:val="single" w:sz="6" w:space="0" w:color="auto"/>
              <w:left w:val="single" w:sz="6" w:space="0" w:color="auto"/>
              <w:bottom w:val="single" w:sz="6" w:space="0" w:color="auto"/>
            </w:tcBorders>
            <w:vAlign w:val="center"/>
          </w:tcPr>
          <w:p w14:paraId="5A87A449" w14:textId="77777777" w:rsidR="004E37DE" w:rsidRPr="002060A9" w:rsidRDefault="004E37DE" w:rsidP="0020514E">
            <w:pPr>
              <w:pStyle w:val="Tabletext"/>
              <w:rPr>
                <w:sz w:val="16"/>
                <w:szCs w:val="16"/>
              </w:rPr>
            </w:pPr>
            <w:r w:rsidRPr="002060A9">
              <w:rPr>
                <w:sz w:val="16"/>
                <w:szCs w:val="16"/>
              </w:rPr>
              <w:t>+</w:t>
            </w:r>
          </w:p>
        </w:tc>
        <w:tc>
          <w:tcPr>
            <w:tcW w:w="1134" w:type="dxa"/>
            <w:tcBorders>
              <w:top w:val="single" w:sz="6" w:space="0" w:color="auto"/>
              <w:left w:val="single" w:sz="6" w:space="0" w:color="auto"/>
              <w:bottom w:val="single" w:sz="6" w:space="0" w:color="auto"/>
            </w:tcBorders>
            <w:vAlign w:val="center"/>
          </w:tcPr>
          <w:p w14:paraId="20B65AD7" w14:textId="29537F56" w:rsidR="004E37DE" w:rsidRPr="002060A9" w:rsidRDefault="004E37DE" w:rsidP="0020514E">
            <w:pPr>
              <w:pStyle w:val="Tabletext"/>
              <w:rPr>
                <w:sz w:val="16"/>
                <w:szCs w:val="16"/>
              </w:rPr>
            </w:pPr>
            <w:r w:rsidRPr="002060A9">
              <w:rPr>
                <w:sz w:val="16"/>
                <w:szCs w:val="16"/>
              </w:rPr>
              <w:t>+</w:t>
            </w:r>
            <w:r w:rsidR="00CE3E60" w:rsidRPr="002060A9">
              <w:rPr>
                <w:sz w:val="16"/>
                <w:szCs w:val="16"/>
              </w:rPr>
              <w:t>+</w:t>
            </w:r>
          </w:p>
        </w:tc>
        <w:tc>
          <w:tcPr>
            <w:tcW w:w="1134" w:type="dxa"/>
            <w:tcBorders>
              <w:top w:val="single" w:sz="6" w:space="0" w:color="auto"/>
              <w:left w:val="single" w:sz="6" w:space="0" w:color="auto"/>
              <w:bottom w:val="single" w:sz="6" w:space="0" w:color="auto"/>
            </w:tcBorders>
            <w:vAlign w:val="center"/>
          </w:tcPr>
          <w:p w14:paraId="0EC7A72D" w14:textId="77777777" w:rsidR="004E37DE" w:rsidRPr="002060A9" w:rsidRDefault="004E37DE" w:rsidP="0020514E">
            <w:pPr>
              <w:pStyle w:val="Tabletext"/>
              <w:rPr>
                <w:sz w:val="16"/>
                <w:szCs w:val="16"/>
              </w:rPr>
            </w:pPr>
            <w:r w:rsidRPr="002060A9">
              <w:rPr>
                <w:sz w:val="16"/>
                <w:szCs w:val="16"/>
              </w:rPr>
              <w:t>+</w:t>
            </w:r>
          </w:p>
        </w:tc>
        <w:tc>
          <w:tcPr>
            <w:tcW w:w="1404" w:type="dxa"/>
            <w:tcBorders>
              <w:top w:val="single" w:sz="6" w:space="0" w:color="auto"/>
              <w:left w:val="single" w:sz="6" w:space="0" w:color="auto"/>
              <w:bottom w:val="single" w:sz="6" w:space="0" w:color="auto"/>
              <w:right w:val="single" w:sz="6" w:space="0" w:color="auto"/>
            </w:tcBorders>
            <w:vAlign w:val="center"/>
          </w:tcPr>
          <w:p w14:paraId="1C651E40" w14:textId="77777777" w:rsidR="004E37DE" w:rsidRPr="002060A9" w:rsidRDefault="00060C58" w:rsidP="0020514E">
            <w:pPr>
              <w:pStyle w:val="Tabletext"/>
              <w:rPr>
                <w:sz w:val="16"/>
                <w:szCs w:val="16"/>
              </w:rPr>
            </w:pPr>
            <w:r w:rsidRPr="002060A9">
              <w:rPr>
                <w:sz w:val="16"/>
                <w:szCs w:val="16"/>
              </w:rPr>
              <w:t>–</w:t>
            </w:r>
          </w:p>
        </w:tc>
      </w:tr>
      <w:tr w:rsidR="00091419" w:rsidRPr="002060A9" w14:paraId="473E9793" w14:textId="77777777" w:rsidTr="009355BB">
        <w:trPr>
          <w:trHeight w:val="402"/>
          <w:jc w:val="center"/>
        </w:trPr>
        <w:tc>
          <w:tcPr>
            <w:tcW w:w="9047" w:type="dxa"/>
            <w:gridSpan w:val="7"/>
            <w:tcBorders>
              <w:top w:val="single" w:sz="6" w:space="0" w:color="auto"/>
              <w:left w:val="single" w:sz="6" w:space="0" w:color="auto"/>
              <w:right w:val="single" w:sz="6" w:space="0" w:color="auto"/>
            </w:tcBorders>
            <w:shd w:val="pct10" w:color="auto" w:fill="auto"/>
          </w:tcPr>
          <w:p w14:paraId="1726D178" w14:textId="77777777" w:rsidR="00091419" w:rsidRPr="002060A9" w:rsidRDefault="00091419" w:rsidP="0020514E">
            <w:pPr>
              <w:pStyle w:val="Tabletext"/>
              <w:rPr>
                <w:sz w:val="16"/>
                <w:szCs w:val="16"/>
              </w:rPr>
            </w:pPr>
            <w:r w:rsidRPr="002060A9">
              <w:rPr>
                <w:b/>
                <w:sz w:val="16"/>
                <w:szCs w:val="16"/>
              </w:rPr>
              <w:t>Detection of immune response</w:t>
            </w:r>
            <w:r w:rsidRPr="00D7396C">
              <w:rPr>
                <w:rStyle w:val="Appelnotedebasdep"/>
                <w:b/>
                <w:sz w:val="16"/>
                <w:szCs w:val="16"/>
              </w:rPr>
              <w:footnoteReference w:id="3"/>
            </w:r>
          </w:p>
        </w:tc>
      </w:tr>
      <w:tr w:rsidR="00B1521C" w:rsidRPr="00575688" w14:paraId="4A991FBF" w14:textId="77777777" w:rsidTr="009355BB">
        <w:trPr>
          <w:trHeight w:val="402"/>
          <w:jc w:val="center"/>
        </w:trPr>
        <w:tc>
          <w:tcPr>
            <w:tcW w:w="1689" w:type="dxa"/>
            <w:tcBorders>
              <w:top w:val="single" w:sz="6" w:space="0" w:color="auto"/>
              <w:left w:val="single" w:sz="6" w:space="0" w:color="auto"/>
            </w:tcBorders>
          </w:tcPr>
          <w:p w14:paraId="4749B7F8" w14:textId="77777777" w:rsidR="00B1521C" w:rsidRPr="00575688" w:rsidRDefault="00091419" w:rsidP="0020514E">
            <w:pPr>
              <w:spacing w:before="120" w:after="120" w:line="240" w:lineRule="auto"/>
              <w:jc w:val="center"/>
              <w:rPr>
                <w:rFonts w:ascii="Arial" w:hAnsi="Arial"/>
                <w:b/>
                <w:sz w:val="16"/>
                <w:highlight w:val="yellow"/>
                <w:u w:val="double"/>
                <w:lang w:val="en-IE"/>
              </w:rPr>
            </w:pPr>
            <w:r w:rsidRPr="00575688">
              <w:rPr>
                <w:rFonts w:ascii="Arial" w:hAnsi="Arial"/>
                <w:b/>
                <w:sz w:val="16"/>
                <w:highlight w:val="yellow"/>
                <w:u w:val="double"/>
                <w:lang w:val="en-IE"/>
              </w:rPr>
              <w:t>AGID</w:t>
            </w:r>
            <w:r w:rsidR="00EC27CE" w:rsidRPr="00575688">
              <w:rPr>
                <w:rFonts w:ascii="Arial" w:hAnsi="Arial"/>
                <w:b/>
                <w:sz w:val="16"/>
                <w:highlight w:val="yellow"/>
                <w:u w:val="double"/>
                <w:lang w:val="en-IE"/>
              </w:rPr>
              <w:t>**</w:t>
            </w:r>
          </w:p>
        </w:tc>
        <w:tc>
          <w:tcPr>
            <w:tcW w:w="1134" w:type="dxa"/>
            <w:tcBorders>
              <w:top w:val="single" w:sz="6" w:space="0" w:color="auto"/>
              <w:left w:val="single" w:sz="6" w:space="0" w:color="auto"/>
            </w:tcBorders>
            <w:vAlign w:val="center"/>
          </w:tcPr>
          <w:p w14:paraId="72238F90" w14:textId="77777777" w:rsidR="00B1521C" w:rsidRPr="00575688" w:rsidRDefault="00FC3E0B" w:rsidP="0020514E">
            <w:pPr>
              <w:pStyle w:val="Tabletext"/>
              <w:rPr>
                <w:sz w:val="16"/>
                <w:highlight w:val="yellow"/>
                <w:u w:val="double"/>
              </w:rPr>
            </w:pPr>
            <w:r w:rsidRPr="00575688">
              <w:rPr>
                <w:sz w:val="16"/>
                <w:highlight w:val="yellow"/>
                <w:u w:val="double"/>
              </w:rPr>
              <w:t>++</w:t>
            </w:r>
          </w:p>
        </w:tc>
        <w:tc>
          <w:tcPr>
            <w:tcW w:w="1418" w:type="dxa"/>
            <w:tcBorders>
              <w:top w:val="single" w:sz="6" w:space="0" w:color="auto"/>
              <w:left w:val="single" w:sz="6" w:space="0" w:color="auto"/>
            </w:tcBorders>
            <w:vAlign w:val="center"/>
          </w:tcPr>
          <w:p w14:paraId="59478BC9" w14:textId="57F3879C" w:rsidR="00B1521C" w:rsidRPr="00575688" w:rsidRDefault="00575688" w:rsidP="0020514E">
            <w:pPr>
              <w:pStyle w:val="Tabletext"/>
              <w:rPr>
                <w:sz w:val="16"/>
                <w:highlight w:val="yellow"/>
                <w:u w:val="double"/>
              </w:rPr>
            </w:pPr>
            <w:r w:rsidRPr="00575688">
              <w:rPr>
                <w:sz w:val="16"/>
                <w:highlight w:val="yellow"/>
                <w:u w:val="double"/>
              </w:rPr>
              <w:t>+</w:t>
            </w:r>
          </w:p>
        </w:tc>
        <w:tc>
          <w:tcPr>
            <w:tcW w:w="1134" w:type="dxa"/>
            <w:tcBorders>
              <w:top w:val="single" w:sz="6" w:space="0" w:color="auto"/>
              <w:left w:val="single" w:sz="6" w:space="0" w:color="auto"/>
            </w:tcBorders>
            <w:vAlign w:val="center"/>
          </w:tcPr>
          <w:p w14:paraId="28CA7D41" w14:textId="77777777" w:rsidR="00B1521C" w:rsidRPr="00575688" w:rsidRDefault="00FC3E0B" w:rsidP="0020514E">
            <w:pPr>
              <w:pStyle w:val="Tabletext"/>
              <w:rPr>
                <w:sz w:val="16"/>
                <w:highlight w:val="yellow"/>
                <w:u w:val="double"/>
              </w:rPr>
            </w:pPr>
            <w:r w:rsidRPr="00575688">
              <w:rPr>
                <w:sz w:val="16"/>
                <w:highlight w:val="yellow"/>
                <w:u w:val="double"/>
              </w:rPr>
              <w:t>+</w:t>
            </w:r>
          </w:p>
        </w:tc>
        <w:tc>
          <w:tcPr>
            <w:tcW w:w="1134" w:type="dxa"/>
            <w:tcBorders>
              <w:top w:val="single" w:sz="6" w:space="0" w:color="auto"/>
              <w:left w:val="single" w:sz="6" w:space="0" w:color="auto"/>
            </w:tcBorders>
            <w:vAlign w:val="center"/>
          </w:tcPr>
          <w:p w14:paraId="7B33FB47" w14:textId="07B6A19D" w:rsidR="00B1521C" w:rsidRPr="00575688" w:rsidRDefault="0020514E" w:rsidP="0020514E">
            <w:pPr>
              <w:pStyle w:val="Tabletext"/>
              <w:rPr>
                <w:sz w:val="16"/>
                <w:highlight w:val="yellow"/>
                <w:u w:val="double"/>
              </w:rPr>
            </w:pPr>
            <w:r w:rsidRPr="00575688">
              <w:rPr>
                <w:sz w:val="16"/>
                <w:highlight w:val="yellow"/>
                <w:u w:val="double"/>
              </w:rPr>
              <w:t>+</w:t>
            </w:r>
            <w:r w:rsidR="00575688" w:rsidRPr="00575688">
              <w:rPr>
                <w:sz w:val="16"/>
                <w:highlight w:val="yellow"/>
                <w:u w:val="double"/>
              </w:rPr>
              <w:t>+</w:t>
            </w:r>
          </w:p>
        </w:tc>
        <w:tc>
          <w:tcPr>
            <w:tcW w:w="1134" w:type="dxa"/>
            <w:tcBorders>
              <w:top w:val="single" w:sz="6" w:space="0" w:color="auto"/>
              <w:left w:val="single" w:sz="6" w:space="0" w:color="auto"/>
            </w:tcBorders>
            <w:vAlign w:val="center"/>
          </w:tcPr>
          <w:p w14:paraId="143BDCBD" w14:textId="77777777" w:rsidR="00B1521C" w:rsidRPr="00575688" w:rsidRDefault="00FC3E0B" w:rsidP="0020514E">
            <w:pPr>
              <w:pStyle w:val="Tabletext"/>
              <w:rPr>
                <w:sz w:val="16"/>
                <w:highlight w:val="yellow"/>
                <w:u w:val="double"/>
              </w:rPr>
            </w:pPr>
            <w:r w:rsidRPr="00575688">
              <w:rPr>
                <w:sz w:val="16"/>
                <w:highlight w:val="yellow"/>
                <w:u w:val="double"/>
              </w:rPr>
              <w:t>+++</w:t>
            </w:r>
          </w:p>
        </w:tc>
        <w:tc>
          <w:tcPr>
            <w:tcW w:w="1404" w:type="dxa"/>
            <w:tcBorders>
              <w:top w:val="single" w:sz="6" w:space="0" w:color="auto"/>
              <w:left w:val="single" w:sz="6" w:space="0" w:color="auto"/>
              <w:right w:val="single" w:sz="6" w:space="0" w:color="auto"/>
            </w:tcBorders>
            <w:vAlign w:val="center"/>
          </w:tcPr>
          <w:p w14:paraId="57900192" w14:textId="77777777" w:rsidR="00B1521C" w:rsidRPr="00575688" w:rsidRDefault="00FC3E0B" w:rsidP="0020514E">
            <w:pPr>
              <w:pStyle w:val="Tabletext"/>
              <w:rPr>
                <w:sz w:val="16"/>
                <w:u w:val="double"/>
              </w:rPr>
            </w:pPr>
            <w:r w:rsidRPr="00575688">
              <w:rPr>
                <w:sz w:val="16"/>
                <w:highlight w:val="yellow"/>
                <w:u w:val="double"/>
              </w:rPr>
              <w:t>+++</w:t>
            </w:r>
          </w:p>
        </w:tc>
      </w:tr>
      <w:tr w:rsidR="00C00B66" w:rsidRPr="002060A9" w14:paraId="263107EC" w14:textId="77777777" w:rsidTr="009355BB">
        <w:trPr>
          <w:trHeight w:val="402"/>
          <w:jc w:val="center"/>
        </w:trPr>
        <w:tc>
          <w:tcPr>
            <w:tcW w:w="1689" w:type="dxa"/>
            <w:tcBorders>
              <w:top w:val="single" w:sz="6" w:space="0" w:color="auto"/>
              <w:left w:val="single" w:sz="6" w:space="0" w:color="auto"/>
            </w:tcBorders>
          </w:tcPr>
          <w:p w14:paraId="6F63B6D4" w14:textId="77777777" w:rsidR="00C00B66" w:rsidRPr="002060A9" w:rsidRDefault="00C00B66" w:rsidP="0030227B">
            <w:pPr>
              <w:spacing w:before="120" w:after="120" w:line="240" w:lineRule="auto"/>
              <w:jc w:val="center"/>
              <w:rPr>
                <w:rFonts w:ascii="Arial" w:hAnsi="Arial" w:cs="Arial"/>
                <w:b/>
                <w:sz w:val="16"/>
                <w:szCs w:val="16"/>
                <w:lang w:val="en-IE"/>
              </w:rPr>
            </w:pPr>
            <w:r w:rsidRPr="002060A9">
              <w:rPr>
                <w:rFonts w:ascii="Arial" w:hAnsi="Arial" w:cs="Arial"/>
                <w:b/>
                <w:sz w:val="16"/>
                <w:szCs w:val="16"/>
                <w:lang w:val="en-IE"/>
              </w:rPr>
              <w:t>ELISA</w:t>
            </w:r>
          </w:p>
        </w:tc>
        <w:tc>
          <w:tcPr>
            <w:tcW w:w="1134" w:type="dxa"/>
            <w:tcBorders>
              <w:top w:val="single" w:sz="6" w:space="0" w:color="auto"/>
              <w:left w:val="single" w:sz="6" w:space="0" w:color="auto"/>
            </w:tcBorders>
            <w:vAlign w:val="center"/>
          </w:tcPr>
          <w:p w14:paraId="5F69D80D" w14:textId="6A385B89" w:rsidR="00C00B66" w:rsidRPr="00C13626" w:rsidRDefault="00C00B66" w:rsidP="0030227B">
            <w:pPr>
              <w:pStyle w:val="Tabletext"/>
              <w:rPr>
                <w:sz w:val="16"/>
                <w:highlight w:val="yellow"/>
                <w:lang w:val="cs-CZ"/>
              </w:rPr>
            </w:pPr>
            <w:r w:rsidRPr="00C13626">
              <w:rPr>
                <w:sz w:val="16"/>
                <w:szCs w:val="16"/>
                <w:highlight w:val="yellow"/>
              </w:rPr>
              <w:t>++</w:t>
            </w:r>
            <w:r w:rsidR="005A7BCA" w:rsidRPr="00C13626">
              <w:rPr>
                <w:sz w:val="16"/>
                <w:szCs w:val="16"/>
                <w:highlight w:val="yellow"/>
                <w:u w:val="double"/>
                <w:lang w:val="cs-CZ"/>
              </w:rPr>
              <w:t>+</w:t>
            </w:r>
          </w:p>
        </w:tc>
        <w:tc>
          <w:tcPr>
            <w:tcW w:w="1418" w:type="dxa"/>
            <w:tcBorders>
              <w:top w:val="single" w:sz="6" w:space="0" w:color="auto"/>
              <w:left w:val="single" w:sz="6" w:space="0" w:color="auto"/>
            </w:tcBorders>
            <w:vAlign w:val="center"/>
          </w:tcPr>
          <w:p w14:paraId="7A92606F" w14:textId="0F1C9002" w:rsidR="00C00B66" w:rsidRPr="00C13626" w:rsidRDefault="00C00B66" w:rsidP="0030227B">
            <w:pPr>
              <w:pStyle w:val="Tabletext"/>
              <w:rPr>
                <w:sz w:val="16"/>
                <w:szCs w:val="16"/>
                <w:highlight w:val="yellow"/>
              </w:rPr>
            </w:pPr>
            <w:r w:rsidRPr="00C13626">
              <w:rPr>
                <w:sz w:val="16"/>
                <w:szCs w:val="16"/>
                <w:highlight w:val="yellow"/>
              </w:rPr>
              <w:t>+</w:t>
            </w:r>
            <w:r w:rsidR="005A7BCA" w:rsidRPr="00C13626">
              <w:rPr>
                <w:sz w:val="16"/>
                <w:szCs w:val="16"/>
                <w:highlight w:val="yellow"/>
                <w:u w:val="double"/>
              </w:rPr>
              <w:t>++</w:t>
            </w:r>
          </w:p>
        </w:tc>
        <w:tc>
          <w:tcPr>
            <w:tcW w:w="1134" w:type="dxa"/>
            <w:tcBorders>
              <w:top w:val="single" w:sz="6" w:space="0" w:color="auto"/>
              <w:left w:val="single" w:sz="6" w:space="0" w:color="auto"/>
            </w:tcBorders>
            <w:vAlign w:val="center"/>
          </w:tcPr>
          <w:p w14:paraId="5C8A69E0" w14:textId="55CD4C28" w:rsidR="00C00B66" w:rsidRPr="00C13626" w:rsidRDefault="005A7BCA" w:rsidP="0030227B">
            <w:pPr>
              <w:pStyle w:val="Tabletext"/>
              <w:rPr>
                <w:sz w:val="16"/>
                <w:szCs w:val="16"/>
                <w:highlight w:val="yellow"/>
              </w:rPr>
            </w:pPr>
            <w:r w:rsidRPr="00C13626">
              <w:rPr>
                <w:sz w:val="16"/>
                <w:szCs w:val="16"/>
                <w:highlight w:val="yellow"/>
              </w:rPr>
              <w:t>+</w:t>
            </w:r>
            <w:r w:rsidRPr="00C13626">
              <w:rPr>
                <w:sz w:val="16"/>
                <w:szCs w:val="16"/>
                <w:highlight w:val="yellow"/>
                <w:u w:val="double"/>
              </w:rPr>
              <w:t>+</w:t>
            </w:r>
            <w:r w:rsidR="00C00B66" w:rsidRPr="00C13626">
              <w:rPr>
                <w:sz w:val="16"/>
                <w:szCs w:val="16"/>
                <w:highlight w:val="yellow"/>
                <w:u w:val="double"/>
              </w:rPr>
              <w:t>+</w:t>
            </w:r>
          </w:p>
        </w:tc>
        <w:tc>
          <w:tcPr>
            <w:tcW w:w="1134" w:type="dxa"/>
            <w:tcBorders>
              <w:top w:val="single" w:sz="6" w:space="0" w:color="auto"/>
              <w:left w:val="single" w:sz="6" w:space="0" w:color="auto"/>
            </w:tcBorders>
            <w:vAlign w:val="center"/>
          </w:tcPr>
          <w:p w14:paraId="450C916A" w14:textId="77777777" w:rsidR="00C00B66" w:rsidRPr="002060A9" w:rsidRDefault="00C00B66" w:rsidP="0030227B">
            <w:pPr>
              <w:pStyle w:val="Tabletext"/>
              <w:rPr>
                <w:sz w:val="16"/>
                <w:szCs w:val="16"/>
              </w:rPr>
            </w:pPr>
            <w:r w:rsidRPr="002060A9">
              <w:rPr>
                <w:sz w:val="16"/>
                <w:szCs w:val="16"/>
              </w:rPr>
              <w:t>+</w:t>
            </w:r>
          </w:p>
        </w:tc>
        <w:tc>
          <w:tcPr>
            <w:tcW w:w="1134" w:type="dxa"/>
            <w:tcBorders>
              <w:top w:val="single" w:sz="6" w:space="0" w:color="auto"/>
              <w:left w:val="single" w:sz="6" w:space="0" w:color="auto"/>
            </w:tcBorders>
            <w:vAlign w:val="center"/>
          </w:tcPr>
          <w:p w14:paraId="0E335D96" w14:textId="77777777" w:rsidR="00C00B66" w:rsidRPr="002060A9" w:rsidRDefault="00C00B66" w:rsidP="0030227B">
            <w:pPr>
              <w:pStyle w:val="Tabletext"/>
              <w:rPr>
                <w:sz w:val="16"/>
                <w:szCs w:val="16"/>
              </w:rPr>
            </w:pPr>
            <w:r w:rsidRPr="002060A9">
              <w:rPr>
                <w:sz w:val="16"/>
                <w:szCs w:val="16"/>
              </w:rPr>
              <w:t>+++</w:t>
            </w:r>
          </w:p>
        </w:tc>
        <w:tc>
          <w:tcPr>
            <w:tcW w:w="1404" w:type="dxa"/>
            <w:tcBorders>
              <w:top w:val="single" w:sz="6" w:space="0" w:color="auto"/>
              <w:left w:val="single" w:sz="6" w:space="0" w:color="auto"/>
              <w:right w:val="single" w:sz="6" w:space="0" w:color="auto"/>
            </w:tcBorders>
            <w:vAlign w:val="center"/>
          </w:tcPr>
          <w:p w14:paraId="639A014E" w14:textId="77777777" w:rsidR="00C00B66" w:rsidRPr="002060A9" w:rsidRDefault="00C00B66" w:rsidP="0030227B">
            <w:pPr>
              <w:pStyle w:val="Tabletext"/>
              <w:rPr>
                <w:sz w:val="16"/>
                <w:szCs w:val="16"/>
              </w:rPr>
            </w:pPr>
            <w:r w:rsidRPr="002060A9">
              <w:rPr>
                <w:sz w:val="16"/>
                <w:szCs w:val="16"/>
              </w:rPr>
              <w:t>+++</w:t>
            </w:r>
          </w:p>
        </w:tc>
      </w:tr>
      <w:tr w:rsidR="00B1521C" w:rsidRPr="00385298" w14:paraId="0C59CF45" w14:textId="77777777" w:rsidTr="009355BB">
        <w:trPr>
          <w:trHeight w:val="402"/>
          <w:jc w:val="center"/>
        </w:trPr>
        <w:tc>
          <w:tcPr>
            <w:tcW w:w="1689" w:type="dxa"/>
            <w:tcBorders>
              <w:top w:val="single" w:sz="6" w:space="0" w:color="auto"/>
              <w:left w:val="single" w:sz="6" w:space="0" w:color="auto"/>
            </w:tcBorders>
          </w:tcPr>
          <w:p w14:paraId="4209A281" w14:textId="394FE0EA" w:rsidR="00B1521C" w:rsidRPr="00C13626" w:rsidRDefault="00091419" w:rsidP="0020514E">
            <w:pPr>
              <w:spacing w:before="120" w:after="120" w:line="240" w:lineRule="auto"/>
              <w:jc w:val="center"/>
              <w:rPr>
                <w:rFonts w:ascii="Arial" w:hAnsi="Arial"/>
                <w:b/>
                <w:strike/>
                <w:sz w:val="16"/>
                <w:highlight w:val="yellow"/>
                <w:lang w:val="en-IE"/>
              </w:rPr>
            </w:pPr>
            <w:r w:rsidRPr="00C13626">
              <w:rPr>
                <w:rFonts w:ascii="Arial" w:hAnsi="Arial" w:cs="Arial"/>
                <w:b/>
                <w:strike/>
                <w:sz w:val="16"/>
                <w:szCs w:val="16"/>
                <w:highlight w:val="yellow"/>
                <w:lang w:val="en-IE"/>
              </w:rPr>
              <w:t>CFT</w:t>
            </w:r>
          </w:p>
        </w:tc>
        <w:tc>
          <w:tcPr>
            <w:tcW w:w="1134" w:type="dxa"/>
            <w:tcBorders>
              <w:top w:val="single" w:sz="6" w:space="0" w:color="auto"/>
              <w:left w:val="single" w:sz="6" w:space="0" w:color="auto"/>
            </w:tcBorders>
            <w:vAlign w:val="center"/>
          </w:tcPr>
          <w:p w14:paraId="06AC0A6E" w14:textId="487444C7" w:rsidR="00B1521C" w:rsidRPr="00C13626" w:rsidRDefault="00060C58" w:rsidP="0020514E">
            <w:pPr>
              <w:pStyle w:val="Tabletext"/>
              <w:rPr>
                <w:strike/>
                <w:sz w:val="16"/>
                <w:highlight w:val="yellow"/>
              </w:rPr>
            </w:pPr>
            <w:r w:rsidRPr="00C13626">
              <w:rPr>
                <w:strike/>
                <w:sz w:val="16"/>
                <w:szCs w:val="16"/>
                <w:highlight w:val="yellow"/>
              </w:rPr>
              <w:t>–</w:t>
            </w:r>
          </w:p>
        </w:tc>
        <w:tc>
          <w:tcPr>
            <w:tcW w:w="1418" w:type="dxa"/>
            <w:tcBorders>
              <w:top w:val="single" w:sz="6" w:space="0" w:color="auto"/>
              <w:left w:val="single" w:sz="6" w:space="0" w:color="auto"/>
            </w:tcBorders>
            <w:vAlign w:val="center"/>
          </w:tcPr>
          <w:p w14:paraId="1118D017" w14:textId="2F7F62FB" w:rsidR="00B1521C" w:rsidRPr="00C13626" w:rsidRDefault="00792CDA" w:rsidP="0020514E">
            <w:pPr>
              <w:pStyle w:val="Tabletext"/>
              <w:rPr>
                <w:strike/>
                <w:sz w:val="16"/>
                <w:highlight w:val="yellow"/>
              </w:rPr>
            </w:pPr>
            <w:r w:rsidRPr="00C13626">
              <w:rPr>
                <w:strike/>
                <w:sz w:val="16"/>
                <w:szCs w:val="16"/>
                <w:highlight w:val="yellow"/>
              </w:rPr>
              <w:t>+</w:t>
            </w:r>
          </w:p>
        </w:tc>
        <w:tc>
          <w:tcPr>
            <w:tcW w:w="1134" w:type="dxa"/>
            <w:tcBorders>
              <w:top w:val="single" w:sz="6" w:space="0" w:color="auto"/>
              <w:left w:val="single" w:sz="6" w:space="0" w:color="auto"/>
            </w:tcBorders>
            <w:vAlign w:val="center"/>
          </w:tcPr>
          <w:p w14:paraId="7FF3C9AF" w14:textId="4505051C" w:rsidR="00B1521C" w:rsidRPr="00C13626" w:rsidRDefault="00DF04EC" w:rsidP="0020514E">
            <w:pPr>
              <w:pStyle w:val="Tabletext"/>
              <w:rPr>
                <w:strike/>
                <w:sz w:val="16"/>
                <w:highlight w:val="yellow"/>
              </w:rPr>
            </w:pPr>
            <w:r w:rsidRPr="00C13626">
              <w:rPr>
                <w:strike/>
                <w:sz w:val="16"/>
                <w:szCs w:val="16"/>
                <w:highlight w:val="yellow"/>
              </w:rPr>
              <w:t>+</w:t>
            </w:r>
          </w:p>
        </w:tc>
        <w:tc>
          <w:tcPr>
            <w:tcW w:w="1134" w:type="dxa"/>
            <w:tcBorders>
              <w:top w:val="single" w:sz="6" w:space="0" w:color="auto"/>
              <w:left w:val="single" w:sz="6" w:space="0" w:color="auto"/>
            </w:tcBorders>
            <w:vAlign w:val="center"/>
          </w:tcPr>
          <w:p w14:paraId="468D3BC8" w14:textId="6CA1D969" w:rsidR="00B1521C" w:rsidRPr="00C13626" w:rsidRDefault="0020514E" w:rsidP="0020514E">
            <w:pPr>
              <w:pStyle w:val="Tabletext"/>
              <w:rPr>
                <w:strike/>
                <w:sz w:val="16"/>
                <w:highlight w:val="yellow"/>
              </w:rPr>
            </w:pPr>
            <w:r w:rsidRPr="00C13626">
              <w:rPr>
                <w:strike/>
                <w:sz w:val="16"/>
                <w:szCs w:val="16"/>
                <w:highlight w:val="yellow"/>
              </w:rPr>
              <w:t>+</w:t>
            </w:r>
          </w:p>
        </w:tc>
        <w:tc>
          <w:tcPr>
            <w:tcW w:w="1134" w:type="dxa"/>
            <w:tcBorders>
              <w:top w:val="single" w:sz="6" w:space="0" w:color="auto"/>
              <w:left w:val="single" w:sz="6" w:space="0" w:color="auto"/>
            </w:tcBorders>
            <w:vAlign w:val="center"/>
          </w:tcPr>
          <w:p w14:paraId="333B2F37" w14:textId="181E93F9" w:rsidR="00B1521C" w:rsidRPr="00C13626" w:rsidRDefault="008778F1" w:rsidP="0020514E">
            <w:pPr>
              <w:pStyle w:val="Tabletext"/>
              <w:rPr>
                <w:strike/>
                <w:sz w:val="16"/>
                <w:highlight w:val="yellow"/>
              </w:rPr>
            </w:pPr>
            <w:r w:rsidRPr="00C13626">
              <w:rPr>
                <w:strike/>
                <w:sz w:val="16"/>
                <w:szCs w:val="16"/>
                <w:highlight w:val="yellow"/>
              </w:rPr>
              <w:t>+</w:t>
            </w:r>
          </w:p>
        </w:tc>
        <w:tc>
          <w:tcPr>
            <w:tcW w:w="1404" w:type="dxa"/>
            <w:tcBorders>
              <w:top w:val="single" w:sz="6" w:space="0" w:color="auto"/>
              <w:left w:val="single" w:sz="6" w:space="0" w:color="auto"/>
              <w:right w:val="single" w:sz="6" w:space="0" w:color="auto"/>
            </w:tcBorders>
            <w:vAlign w:val="center"/>
          </w:tcPr>
          <w:p w14:paraId="008F165E" w14:textId="681F70A0" w:rsidR="00B1521C" w:rsidRPr="00C13626" w:rsidRDefault="00492910" w:rsidP="0020514E">
            <w:pPr>
              <w:pStyle w:val="Tabletext"/>
              <w:rPr>
                <w:strike/>
                <w:sz w:val="16"/>
                <w:highlight w:val="yellow"/>
              </w:rPr>
            </w:pPr>
            <w:r w:rsidRPr="00C13626">
              <w:rPr>
                <w:strike/>
                <w:sz w:val="16"/>
                <w:szCs w:val="16"/>
                <w:highlight w:val="yellow"/>
              </w:rPr>
              <w:t>+++</w:t>
            </w:r>
          </w:p>
        </w:tc>
      </w:tr>
      <w:tr w:rsidR="00B1521C" w:rsidRPr="002060A9" w14:paraId="281E7B80" w14:textId="77777777" w:rsidTr="00385298">
        <w:trPr>
          <w:trHeight w:val="402"/>
          <w:jc w:val="center"/>
        </w:trPr>
        <w:tc>
          <w:tcPr>
            <w:tcW w:w="1689" w:type="dxa"/>
            <w:tcBorders>
              <w:top w:val="single" w:sz="6" w:space="0" w:color="auto"/>
              <w:left w:val="single" w:sz="6" w:space="0" w:color="auto"/>
              <w:bottom w:val="single" w:sz="6" w:space="0" w:color="auto"/>
            </w:tcBorders>
          </w:tcPr>
          <w:p w14:paraId="6C71499B" w14:textId="77777777" w:rsidR="00B1521C" w:rsidRPr="002060A9" w:rsidRDefault="00EF6AA1" w:rsidP="00EF6AA1">
            <w:pPr>
              <w:spacing w:before="120" w:after="120" w:line="240" w:lineRule="auto"/>
              <w:jc w:val="center"/>
              <w:rPr>
                <w:rFonts w:ascii="Arial" w:hAnsi="Arial" w:cs="Arial"/>
                <w:b/>
                <w:sz w:val="16"/>
                <w:szCs w:val="16"/>
                <w:lang w:val="en-IE"/>
              </w:rPr>
            </w:pPr>
            <w:r w:rsidRPr="002060A9">
              <w:rPr>
                <w:rFonts w:ascii="Arial" w:hAnsi="Arial" w:cs="Arial"/>
                <w:b/>
                <w:sz w:val="16"/>
                <w:szCs w:val="16"/>
                <w:lang w:val="en-IE"/>
              </w:rPr>
              <w:t>IFN-γ release assay</w:t>
            </w:r>
          </w:p>
        </w:tc>
        <w:tc>
          <w:tcPr>
            <w:tcW w:w="1134" w:type="dxa"/>
            <w:tcBorders>
              <w:top w:val="single" w:sz="6" w:space="0" w:color="auto"/>
              <w:left w:val="single" w:sz="6" w:space="0" w:color="auto"/>
              <w:bottom w:val="single" w:sz="6" w:space="0" w:color="auto"/>
            </w:tcBorders>
            <w:vAlign w:val="center"/>
          </w:tcPr>
          <w:p w14:paraId="5121A5D9" w14:textId="77777777" w:rsidR="00B1521C" w:rsidRPr="002060A9" w:rsidRDefault="00060C58" w:rsidP="0020514E">
            <w:pPr>
              <w:pStyle w:val="Tabletext"/>
              <w:rPr>
                <w:sz w:val="16"/>
                <w:szCs w:val="16"/>
              </w:rPr>
            </w:pPr>
            <w:r w:rsidRPr="002060A9">
              <w:rPr>
                <w:sz w:val="16"/>
                <w:szCs w:val="16"/>
              </w:rPr>
              <w:t>–</w:t>
            </w:r>
          </w:p>
        </w:tc>
        <w:tc>
          <w:tcPr>
            <w:tcW w:w="1418" w:type="dxa"/>
            <w:tcBorders>
              <w:top w:val="single" w:sz="6" w:space="0" w:color="auto"/>
              <w:left w:val="single" w:sz="6" w:space="0" w:color="auto"/>
              <w:bottom w:val="single" w:sz="6" w:space="0" w:color="auto"/>
            </w:tcBorders>
            <w:vAlign w:val="center"/>
          </w:tcPr>
          <w:p w14:paraId="12E452AC" w14:textId="77777777" w:rsidR="00B1521C" w:rsidRPr="002060A9" w:rsidRDefault="00060C58" w:rsidP="0020514E">
            <w:pPr>
              <w:pStyle w:val="Tabletext"/>
              <w:rPr>
                <w:sz w:val="16"/>
                <w:szCs w:val="16"/>
              </w:rPr>
            </w:pPr>
            <w:r w:rsidRPr="002060A9">
              <w:rPr>
                <w:sz w:val="16"/>
                <w:szCs w:val="16"/>
              </w:rPr>
              <w:t>–</w:t>
            </w:r>
          </w:p>
        </w:tc>
        <w:tc>
          <w:tcPr>
            <w:tcW w:w="1134" w:type="dxa"/>
            <w:tcBorders>
              <w:top w:val="single" w:sz="6" w:space="0" w:color="auto"/>
              <w:left w:val="single" w:sz="6" w:space="0" w:color="auto"/>
              <w:bottom w:val="single" w:sz="6" w:space="0" w:color="auto"/>
            </w:tcBorders>
            <w:vAlign w:val="center"/>
          </w:tcPr>
          <w:p w14:paraId="5C4445FB" w14:textId="77777777" w:rsidR="00B1521C" w:rsidRPr="002060A9" w:rsidRDefault="0080227D" w:rsidP="0020514E">
            <w:pPr>
              <w:pStyle w:val="Tabletext"/>
              <w:rPr>
                <w:sz w:val="16"/>
                <w:szCs w:val="16"/>
              </w:rPr>
            </w:pPr>
            <w:r w:rsidRPr="002060A9">
              <w:rPr>
                <w:sz w:val="16"/>
                <w:szCs w:val="16"/>
              </w:rPr>
              <w:t>+</w:t>
            </w:r>
          </w:p>
        </w:tc>
        <w:tc>
          <w:tcPr>
            <w:tcW w:w="1134" w:type="dxa"/>
            <w:tcBorders>
              <w:top w:val="single" w:sz="6" w:space="0" w:color="auto"/>
              <w:left w:val="single" w:sz="6" w:space="0" w:color="auto"/>
              <w:bottom w:val="single" w:sz="6" w:space="0" w:color="auto"/>
            </w:tcBorders>
            <w:vAlign w:val="center"/>
          </w:tcPr>
          <w:p w14:paraId="423DA28C" w14:textId="77777777" w:rsidR="00B1521C" w:rsidRPr="002060A9" w:rsidRDefault="00060C58" w:rsidP="0020514E">
            <w:pPr>
              <w:pStyle w:val="Tabletext"/>
              <w:rPr>
                <w:sz w:val="16"/>
                <w:szCs w:val="16"/>
              </w:rPr>
            </w:pPr>
            <w:r w:rsidRPr="002060A9">
              <w:rPr>
                <w:sz w:val="16"/>
                <w:szCs w:val="16"/>
              </w:rPr>
              <w:t>–</w:t>
            </w:r>
          </w:p>
        </w:tc>
        <w:tc>
          <w:tcPr>
            <w:tcW w:w="1134" w:type="dxa"/>
            <w:tcBorders>
              <w:top w:val="single" w:sz="6" w:space="0" w:color="auto"/>
              <w:left w:val="single" w:sz="6" w:space="0" w:color="auto"/>
              <w:bottom w:val="single" w:sz="6" w:space="0" w:color="auto"/>
            </w:tcBorders>
            <w:vAlign w:val="center"/>
          </w:tcPr>
          <w:p w14:paraId="5191B212" w14:textId="77777777" w:rsidR="00B1521C" w:rsidRPr="002060A9" w:rsidRDefault="00060C58" w:rsidP="0020514E">
            <w:pPr>
              <w:pStyle w:val="Tabletext"/>
              <w:rPr>
                <w:sz w:val="16"/>
                <w:szCs w:val="16"/>
              </w:rPr>
            </w:pPr>
            <w:r w:rsidRPr="002060A9">
              <w:rPr>
                <w:sz w:val="16"/>
                <w:szCs w:val="16"/>
              </w:rPr>
              <w:t>–</w:t>
            </w:r>
          </w:p>
        </w:tc>
        <w:tc>
          <w:tcPr>
            <w:tcW w:w="1404" w:type="dxa"/>
            <w:tcBorders>
              <w:top w:val="single" w:sz="6" w:space="0" w:color="auto"/>
              <w:left w:val="single" w:sz="6" w:space="0" w:color="auto"/>
              <w:bottom w:val="single" w:sz="6" w:space="0" w:color="auto"/>
              <w:right w:val="single" w:sz="6" w:space="0" w:color="auto"/>
            </w:tcBorders>
            <w:vAlign w:val="center"/>
          </w:tcPr>
          <w:p w14:paraId="5D6934E1" w14:textId="77777777" w:rsidR="00B1521C" w:rsidRPr="002060A9" w:rsidRDefault="0080227D" w:rsidP="0020514E">
            <w:pPr>
              <w:pStyle w:val="Tabletext"/>
              <w:rPr>
                <w:sz w:val="16"/>
                <w:szCs w:val="16"/>
              </w:rPr>
            </w:pPr>
            <w:r w:rsidRPr="002060A9">
              <w:rPr>
                <w:sz w:val="16"/>
                <w:szCs w:val="16"/>
              </w:rPr>
              <w:t>+</w:t>
            </w:r>
            <w:r w:rsidR="00480AFD" w:rsidRPr="002060A9">
              <w:rPr>
                <w:sz w:val="16"/>
                <w:szCs w:val="16"/>
              </w:rPr>
              <w:t>++</w:t>
            </w:r>
          </w:p>
        </w:tc>
      </w:tr>
      <w:tr w:rsidR="00385298" w:rsidRPr="002060A9" w14:paraId="5BF77EA0" w14:textId="77777777" w:rsidTr="00385298">
        <w:trPr>
          <w:trHeight w:val="402"/>
          <w:jc w:val="center"/>
        </w:trPr>
        <w:tc>
          <w:tcPr>
            <w:tcW w:w="1689" w:type="dxa"/>
            <w:tcBorders>
              <w:top w:val="single" w:sz="6" w:space="0" w:color="auto"/>
              <w:left w:val="single" w:sz="6" w:space="0" w:color="auto"/>
              <w:bottom w:val="single" w:sz="8" w:space="0" w:color="auto"/>
            </w:tcBorders>
          </w:tcPr>
          <w:p w14:paraId="41AF858D" w14:textId="49B7DD8C" w:rsidR="00385298" w:rsidRPr="002060A9" w:rsidRDefault="00385298" w:rsidP="00385298">
            <w:pPr>
              <w:spacing w:before="120" w:after="120" w:line="240" w:lineRule="auto"/>
              <w:jc w:val="center"/>
              <w:rPr>
                <w:rFonts w:ascii="Arial" w:hAnsi="Arial" w:cs="Arial"/>
                <w:b/>
                <w:sz w:val="16"/>
                <w:szCs w:val="16"/>
                <w:lang w:val="en-IE"/>
              </w:rPr>
            </w:pPr>
            <w:r w:rsidRPr="002060A9">
              <w:rPr>
                <w:rFonts w:ascii="Arial" w:hAnsi="Arial" w:cs="Arial"/>
                <w:b/>
                <w:sz w:val="16"/>
                <w:szCs w:val="16"/>
                <w:lang w:val="en-IE"/>
              </w:rPr>
              <w:t>DTH</w:t>
            </w:r>
          </w:p>
        </w:tc>
        <w:tc>
          <w:tcPr>
            <w:tcW w:w="1134" w:type="dxa"/>
            <w:tcBorders>
              <w:top w:val="single" w:sz="6" w:space="0" w:color="auto"/>
              <w:left w:val="single" w:sz="6" w:space="0" w:color="auto"/>
              <w:bottom w:val="single" w:sz="8" w:space="0" w:color="auto"/>
            </w:tcBorders>
            <w:vAlign w:val="center"/>
          </w:tcPr>
          <w:p w14:paraId="05A3495E" w14:textId="2DBB1276" w:rsidR="00385298" w:rsidRPr="002060A9" w:rsidRDefault="00385298" w:rsidP="00385298">
            <w:pPr>
              <w:pStyle w:val="Tabletext"/>
              <w:rPr>
                <w:sz w:val="16"/>
                <w:szCs w:val="16"/>
              </w:rPr>
            </w:pPr>
            <w:r w:rsidRPr="002060A9">
              <w:rPr>
                <w:sz w:val="16"/>
                <w:szCs w:val="16"/>
              </w:rPr>
              <w:t>–</w:t>
            </w:r>
          </w:p>
        </w:tc>
        <w:tc>
          <w:tcPr>
            <w:tcW w:w="1418" w:type="dxa"/>
            <w:tcBorders>
              <w:top w:val="single" w:sz="6" w:space="0" w:color="auto"/>
              <w:left w:val="single" w:sz="6" w:space="0" w:color="auto"/>
              <w:bottom w:val="single" w:sz="8" w:space="0" w:color="auto"/>
            </w:tcBorders>
            <w:vAlign w:val="center"/>
          </w:tcPr>
          <w:p w14:paraId="64425823" w14:textId="7CC00118" w:rsidR="00385298" w:rsidRPr="002060A9" w:rsidRDefault="00385298" w:rsidP="00385298">
            <w:pPr>
              <w:pStyle w:val="Tabletext"/>
              <w:rPr>
                <w:sz w:val="16"/>
                <w:szCs w:val="16"/>
              </w:rPr>
            </w:pPr>
            <w:r w:rsidRPr="002060A9">
              <w:rPr>
                <w:sz w:val="16"/>
                <w:szCs w:val="16"/>
              </w:rPr>
              <w:t>–</w:t>
            </w:r>
          </w:p>
        </w:tc>
        <w:tc>
          <w:tcPr>
            <w:tcW w:w="1134" w:type="dxa"/>
            <w:tcBorders>
              <w:top w:val="single" w:sz="6" w:space="0" w:color="auto"/>
              <w:left w:val="single" w:sz="6" w:space="0" w:color="auto"/>
              <w:bottom w:val="single" w:sz="8" w:space="0" w:color="auto"/>
            </w:tcBorders>
            <w:vAlign w:val="center"/>
          </w:tcPr>
          <w:p w14:paraId="603C315F" w14:textId="6CF6F9D1" w:rsidR="00385298" w:rsidRPr="002060A9" w:rsidRDefault="00385298" w:rsidP="00385298">
            <w:pPr>
              <w:pStyle w:val="Tabletext"/>
              <w:rPr>
                <w:sz w:val="16"/>
                <w:szCs w:val="16"/>
              </w:rPr>
            </w:pPr>
            <w:r w:rsidRPr="002060A9">
              <w:rPr>
                <w:sz w:val="16"/>
                <w:szCs w:val="16"/>
              </w:rPr>
              <w:t>+</w:t>
            </w:r>
          </w:p>
        </w:tc>
        <w:tc>
          <w:tcPr>
            <w:tcW w:w="1134" w:type="dxa"/>
            <w:tcBorders>
              <w:top w:val="single" w:sz="6" w:space="0" w:color="auto"/>
              <w:left w:val="single" w:sz="6" w:space="0" w:color="auto"/>
              <w:bottom w:val="single" w:sz="8" w:space="0" w:color="auto"/>
            </w:tcBorders>
            <w:vAlign w:val="center"/>
          </w:tcPr>
          <w:p w14:paraId="003EF09E" w14:textId="59DAA9C1" w:rsidR="00385298" w:rsidRPr="002060A9" w:rsidRDefault="00385298" w:rsidP="00385298">
            <w:pPr>
              <w:pStyle w:val="Tabletext"/>
              <w:rPr>
                <w:sz w:val="16"/>
                <w:szCs w:val="16"/>
              </w:rPr>
            </w:pPr>
            <w:r w:rsidRPr="002060A9">
              <w:rPr>
                <w:sz w:val="16"/>
                <w:szCs w:val="16"/>
              </w:rPr>
              <w:t>–</w:t>
            </w:r>
          </w:p>
        </w:tc>
        <w:tc>
          <w:tcPr>
            <w:tcW w:w="1134" w:type="dxa"/>
            <w:tcBorders>
              <w:top w:val="single" w:sz="6" w:space="0" w:color="auto"/>
              <w:left w:val="single" w:sz="6" w:space="0" w:color="auto"/>
              <w:bottom w:val="single" w:sz="8" w:space="0" w:color="auto"/>
            </w:tcBorders>
            <w:vAlign w:val="center"/>
          </w:tcPr>
          <w:p w14:paraId="09A18E7B" w14:textId="34AF416F" w:rsidR="00385298" w:rsidRPr="002060A9" w:rsidRDefault="00385298" w:rsidP="00385298">
            <w:pPr>
              <w:pStyle w:val="Tabletext"/>
              <w:rPr>
                <w:sz w:val="16"/>
                <w:szCs w:val="16"/>
              </w:rPr>
            </w:pPr>
            <w:r w:rsidRPr="002060A9">
              <w:rPr>
                <w:sz w:val="16"/>
                <w:szCs w:val="16"/>
              </w:rPr>
              <w:t>–</w:t>
            </w:r>
          </w:p>
        </w:tc>
        <w:tc>
          <w:tcPr>
            <w:tcW w:w="1404" w:type="dxa"/>
            <w:tcBorders>
              <w:top w:val="single" w:sz="6" w:space="0" w:color="auto"/>
              <w:left w:val="single" w:sz="6" w:space="0" w:color="auto"/>
              <w:bottom w:val="single" w:sz="8" w:space="0" w:color="auto"/>
              <w:right w:val="single" w:sz="6" w:space="0" w:color="auto"/>
            </w:tcBorders>
            <w:vAlign w:val="center"/>
          </w:tcPr>
          <w:p w14:paraId="15E3B731" w14:textId="426DFD84" w:rsidR="00385298" w:rsidRPr="002060A9" w:rsidRDefault="00385298" w:rsidP="00385298">
            <w:pPr>
              <w:pStyle w:val="Tabletext"/>
              <w:rPr>
                <w:sz w:val="16"/>
                <w:szCs w:val="16"/>
              </w:rPr>
            </w:pPr>
            <w:r w:rsidRPr="002060A9">
              <w:rPr>
                <w:sz w:val="16"/>
                <w:szCs w:val="16"/>
              </w:rPr>
              <w:t>+++</w:t>
            </w:r>
          </w:p>
        </w:tc>
      </w:tr>
    </w:tbl>
    <w:p w14:paraId="4F031C9A" w14:textId="1ADC4680" w:rsidR="00A256BE" w:rsidRPr="00A256BE" w:rsidRDefault="00A256BE" w:rsidP="00A256BE">
      <w:pPr>
        <w:pStyle w:val="Textebrut"/>
        <w:spacing w:before="120"/>
        <w:jc w:val="center"/>
        <w:rPr>
          <w:rFonts w:ascii="Arial" w:hAnsi="Arial" w:cs="Arial"/>
          <w:color w:val="000000"/>
          <w:sz w:val="16"/>
          <w:szCs w:val="16"/>
        </w:rPr>
      </w:pPr>
      <w:r w:rsidRPr="009355BB">
        <w:rPr>
          <w:rFonts w:ascii="Arial" w:hAnsi="Arial"/>
          <w:color w:val="000000"/>
          <w:sz w:val="16"/>
        </w:rPr>
        <w:t xml:space="preserve">Key: +++ = recommended </w:t>
      </w:r>
      <w:r w:rsidRPr="008C57B4">
        <w:rPr>
          <w:rFonts w:ascii="Arial" w:hAnsi="Arial" w:cs="Arial"/>
          <w:color w:val="000000"/>
          <w:sz w:val="16"/>
          <w:szCs w:val="16"/>
          <w:u w:val="double"/>
        </w:rPr>
        <w:t xml:space="preserve">for this </w:t>
      </w:r>
      <w:r w:rsidRPr="00A256BE">
        <w:rPr>
          <w:rFonts w:ascii="Arial" w:hAnsi="Arial" w:cs="Arial"/>
          <w:color w:val="000000"/>
          <w:sz w:val="16"/>
          <w:szCs w:val="16"/>
          <w:u w:val="double"/>
        </w:rPr>
        <w:t>purpose</w:t>
      </w:r>
      <w:r w:rsidRPr="00A256BE">
        <w:rPr>
          <w:rFonts w:ascii="Arial" w:hAnsi="Arial" w:cs="Arial"/>
          <w:strike/>
          <w:color w:val="000000"/>
          <w:sz w:val="16"/>
          <w:szCs w:val="16"/>
        </w:rPr>
        <w:t xml:space="preserve"> </w:t>
      </w:r>
      <w:r w:rsidRPr="009355BB">
        <w:rPr>
          <w:rFonts w:ascii="Arial" w:hAnsi="Arial"/>
          <w:strike/>
          <w:color w:val="000000"/>
          <w:sz w:val="16"/>
        </w:rPr>
        <w:t>method</w:t>
      </w:r>
      <w:r w:rsidRPr="009355BB">
        <w:rPr>
          <w:rFonts w:ascii="Arial" w:hAnsi="Arial"/>
          <w:color w:val="000000"/>
          <w:sz w:val="16"/>
        </w:rPr>
        <w:t xml:space="preserve">; ++ </w:t>
      </w:r>
      <w:r w:rsidRPr="00A256BE">
        <w:rPr>
          <w:rFonts w:ascii="Arial" w:hAnsi="Arial" w:cs="Arial"/>
          <w:color w:val="000000"/>
          <w:sz w:val="16"/>
          <w:szCs w:val="16"/>
          <w:u w:val="double"/>
        </w:rPr>
        <w:t>recommended but has limitations</w:t>
      </w:r>
      <w:r w:rsidRPr="009355BB">
        <w:rPr>
          <w:rFonts w:ascii="Arial" w:hAnsi="Arial"/>
          <w:strike/>
          <w:color w:val="000000"/>
          <w:sz w:val="16"/>
        </w:rPr>
        <w:t xml:space="preserve"> suitable method</w:t>
      </w:r>
      <w:r w:rsidRPr="009355BB">
        <w:rPr>
          <w:rFonts w:ascii="Arial" w:hAnsi="Arial"/>
          <w:color w:val="000000"/>
          <w:sz w:val="16"/>
        </w:rPr>
        <w:t xml:space="preserve">; </w:t>
      </w:r>
      <w:r w:rsidRPr="00A256BE">
        <w:rPr>
          <w:rFonts w:ascii="Arial" w:hAnsi="Arial" w:cs="Arial"/>
          <w:color w:val="000000"/>
          <w:sz w:val="16"/>
          <w:szCs w:val="16"/>
        </w:rPr>
        <w:br/>
        <w:t xml:space="preserve">+ = </w:t>
      </w:r>
      <w:r w:rsidRPr="00A256BE">
        <w:rPr>
          <w:rFonts w:ascii="Arial" w:hAnsi="Arial" w:cs="Arial"/>
          <w:color w:val="000000"/>
          <w:sz w:val="16"/>
          <w:szCs w:val="16"/>
          <w:u w:val="double"/>
        </w:rPr>
        <w:t>suitable in very limited circumstances</w:t>
      </w:r>
      <w:r w:rsidRPr="009355BB">
        <w:rPr>
          <w:rFonts w:ascii="Arial" w:hAnsi="Arial"/>
          <w:strike/>
          <w:color w:val="000000"/>
          <w:sz w:val="16"/>
        </w:rPr>
        <w:t xml:space="preserve"> may be used </w:t>
      </w:r>
      <w:r w:rsidRPr="009355BB">
        <w:rPr>
          <w:rFonts w:ascii="Arial" w:hAnsi="Arial"/>
          <w:strike/>
          <w:sz w:val="16"/>
        </w:rPr>
        <w:t xml:space="preserve">in some situations, but cost, reliability, or other factors </w:t>
      </w:r>
      <w:r>
        <w:rPr>
          <w:rFonts w:ascii="Arial" w:hAnsi="Arial" w:cs="Arial"/>
          <w:strike/>
          <w:sz w:val="16"/>
          <w:szCs w:val="16"/>
        </w:rPr>
        <w:br/>
      </w:r>
      <w:r w:rsidRPr="009355BB">
        <w:rPr>
          <w:rFonts w:ascii="Arial" w:hAnsi="Arial"/>
          <w:strike/>
          <w:sz w:val="16"/>
        </w:rPr>
        <w:t>severely limits its application</w:t>
      </w:r>
      <w:r w:rsidRPr="009355BB">
        <w:rPr>
          <w:rFonts w:ascii="Arial" w:hAnsi="Arial"/>
          <w:sz w:val="16"/>
        </w:rPr>
        <w:t xml:space="preserve">; </w:t>
      </w:r>
      <w:r w:rsidRPr="009355BB">
        <w:rPr>
          <w:rFonts w:ascii="Arial" w:hAnsi="Arial"/>
          <w:color w:val="000000"/>
          <w:sz w:val="16"/>
        </w:rPr>
        <w:t xml:space="preserve">– = not appropriate for this purpose; </w:t>
      </w:r>
      <w:r w:rsidRPr="00A256BE">
        <w:rPr>
          <w:rFonts w:ascii="Arial" w:hAnsi="Arial" w:cs="Arial"/>
          <w:strike/>
          <w:color w:val="000000"/>
          <w:sz w:val="16"/>
          <w:szCs w:val="16"/>
        </w:rPr>
        <w:t>n/a = not applicable</w:t>
      </w:r>
      <w:r w:rsidRPr="00A256BE">
        <w:rPr>
          <w:rFonts w:ascii="Arial" w:hAnsi="Arial" w:cs="Arial"/>
          <w:color w:val="000000"/>
          <w:sz w:val="16"/>
          <w:szCs w:val="16"/>
          <w:lang w:val="en-IE"/>
        </w:rPr>
        <w:t xml:space="preserve"> </w:t>
      </w:r>
      <w:r>
        <w:rPr>
          <w:rFonts w:ascii="Arial" w:hAnsi="Arial" w:cs="Arial"/>
          <w:color w:val="000000"/>
          <w:sz w:val="16"/>
          <w:szCs w:val="16"/>
          <w:lang w:val="en-IE"/>
        </w:rPr>
        <w:br/>
      </w:r>
      <w:r w:rsidRPr="009355BB">
        <w:rPr>
          <w:rFonts w:ascii="Arial" w:hAnsi="Arial"/>
          <w:color w:val="000000"/>
          <w:sz w:val="16"/>
          <w:lang w:val="en-IE"/>
        </w:rPr>
        <w:t>* = post-mortem use only</w:t>
      </w:r>
      <w:r w:rsidRPr="00732B30">
        <w:rPr>
          <w:rFonts w:ascii="Arial" w:hAnsi="Arial"/>
          <w:strike/>
          <w:color w:val="000000"/>
          <w:sz w:val="16"/>
          <w:lang w:val="en-IE"/>
        </w:rPr>
        <w:t>; ** = appropriate for the use in sheep and goats</w:t>
      </w:r>
      <w:r w:rsidRPr="009355BB">
        <w:rPr>
          <w:rFonts w:ascii="Arial" w:hAnsi="Arial"/>
          <w:color w:val="000000"/>
          <w:sz w:val="16"/>
          <w:lang w:val="en-IE"/>
        </w:rPr>
        <w:t>.</w:t>
      </w:r>
    </w:p>
    <w:p w14:paraId="6463FA67" w14:textId="521B9BAC" w:rsidR="00C522D4" w:rsidRPr="002060A9" w:rsidRDefault="00B1521C" w:rsidP="009355BB">
      <w:pPr>
        <w:pStyle w:val="paraA0"/>
        <w:jc w:val="center"/>
        <w:rPr>
          <w:sz w:val="16"/>
          <w:szCs w:val="16"/>
          <w:lang w:val="en-IE"/>
        </w:rPr>
      </w:pPr>
      <w:r w:rsidRPr="009355BB">
        <w:rPr>
          <w:strike/>
          <w:sz w:val="16"/>
          <w:lang w:val="en-IE"/>
        </w:rPr>
        <w:t>Although not all of the tests listed as category +++ or ++ have undergone formal validation, their routine nature and the fact that they have been used widely without dubious results, makes them acceptable.</w:t>
      </w:r>
      <w:r w:rsidR="00060C58" w:rsidRPr="009355BB">
        <w:rPr>
          <w:strike/>
          <w:sz w:val="16"/>
          <w:lang w:val="en-IE"/>
        </w:rPr>
        <w:br/>
      </w:r>
      <w:r w:rsidR="00A87564" w:rsidRPr="002060A9">
        <w:rPr>
          <w:sz w:val="16"/>
          <w:szCs w:val="16"/>
          <w:lang w:val="en-IE"/>
        </w:rPr>
        <w:t xml:space="preserve">ZN = </w:t>
      </w:r>
      <w:proofErr w:type="spellStart"/>
      <w:r w:rsidR="00A87564" w:rsidRPr="002060A9">
        <w:rPr>
          <w:sz w:val="16"/>
          <w:szCs w:val="16"/>
          <w:lang w:val="en-IE"/>
        </w:rPr>
        <w:t>Ziehl</w:t>
      </w:r>
      <w:proofErr w:type="spellEnd"/>
      <w:r w:rsidR="00A87564" w:rsidRPr="002060A9">
        <w:rPr>
          <w:sz w:val="16"/>
          <w:szCs w:val="16"/>
          <w:lang w:val="en-IE"/>
        </w:rPr>
        <w:t>–</w:t>
      </w:r>
      <w:proofErr w:type="spellStart"/>
      <w:r w:rsidR="00A87564" w:rsidRPr="002060A9">
        <w:rPr>
          <w:sz w:val="16"/>
          <w:szCs w:val="16"/>
          <w:lang w:val="en-IE"/>
        </w:rPr>
        <w:t>Neelsen</w:t>
      </w:r>
      <w:proofErr w:type="spellEnd"/>
      <w:r w:rsidR="00A87564" w:rsidRPr="002060A9">
        <w:rPr>
          <w:sz w:val="16"/>
          <w:szCs w:val="16"/>
          <w:lang w:val="en-IE"/>
        </w:rPr>
        <w:t xml:space="preserve">; </w:t>
      </w:r>
      <w:r w:rsidR="00060C58" w:rsidRPr="002060A9">
        <w:rPr>
          <w:sz w:val="16"/>
          <w:szCs w:val="16"/>
          <w:lang w:val="en-IE"/>
        </w:rPr>
        <w:t xml:space="preserve">PCR = polymerase chain reaction; </w:t>
      </w:r>
      <w:r w:rsidR="00091419" w:rsidRPr="00631926">
        <w:rPr>
          <w:sz w:val="16"/>
          <w:highlight w:val="yellow"/>
          <w:u w:val="double"/>
          <w:lang w:val="en-IE"/>
        </w:rPr>
        <w:t xml:space="preserve">AGID = agar gel </w:t>
      </w:r>
      <w:proofErr w:type="spellStart"/>
      <w:r w:rsidR="00091419" w:rsidRPr="00631926">
        <w:rPr>
          <w:sz w:val="16"/>
          <w:highlight w:val="yellow"/>
          <w:u w:val="double"/>
          <w:lang w:val="en-IE"/>
        </w:rPr>
        <w:t>immunofiffusion</w:t>
      </w:r>
      <w:proofErr w:type="spellEnd"/>
      <w:r w:rsidR="00091419" w:rsidRPr="00631926">
        <w:rPr>
          <w:sz w:val="16"/>
          <w:szCs w:val="16"/>
          <w:highlight w:val="yellow"/>
          <w:u w:val="double"/>
          <w:lang w:val="en-IE"/>
        </w:rPr>
        <w:t>;</w:t>
      </w:r>
      <w:bookmarkStart w:id="0" w:name="_GoBack"/>
      <w:bookmarkEnd w:id="0"/>
      <w:r w:rsidR="00091419" w:rsidRPr="00631926">
        <w:rPr>
          <w:sz w:val="16"/>
          <w:szCs w:val="16"/>
          <w:u w:val="double"/>
          <w:lang w:val="en-IE"/>
        </w:rPr>
        <w:t xml:space="preserve"> </w:t>
      </w:r>
      <w:r w:rsidR="00060C58" w:rsidRPr="002060A9">
        <w:rPr>
          <w:sz w:val="16"/>
          <w:szCs w:val="16"/>
          <w:lang w:val="en-IE"/>
        </w:rPr>
        <w:t>ELISA = enzyme-linked immunosorbent assay</w:t>
      </w:r>
      <w:r w:rsidR="00385298">
        <w:rPr>
          <w:sz w:val="16"/>
          <w:szCs w:val="16"/>
          <w:lang w:val="en-IE"/>
        </w:rPr>
        <w:t xml:space="preserve">; </w:t>
      </w:r>
      <w:r w:rsidR="00C00B66" w:rsidRPr="00385298">
        <w:rPr>
          <w:strike/>
          <w:sz w:val="16"/>
          <w:szCs w:val="16"/>
          <w:lang w:val="en-IE"/>
        </w:rPr>
        <w:t xml:space="preserve">CFT =  complement fixation test </w:t>
      </w:r>
      <w:r w:rsidR="00EF6AA1" w:rsidRPr="002060A9">
        <w:rPr>
          <w:sz w:val="16"/>
          <w:szCs w:val="16"/>
          <w:lang w:val="en-IE"/>
        </w:rPr>
        <w:t xml:space="preserve">IFN-γ </w:t>
      </w:r>
      <w:r w:rsidR="00091419" w:rsidRPr="002060A9">
        <w:rPr>
          <w:sz w:val="16"/>
          <w:szCs w:val="16"/>
          <w:lang w:val="en-IE"/>
        </w:rPr>
        <w:t xml:space="preserve">= </w:t>
      </w:r>
      <w:r w:rsidR="00EF6AA1" w:rsidRPr="002060A9">
        <w:rPr>
          <w:sz w:val="16"/>
          <w:szCs w:val="16"/>
          <w:lang w:val="en-IE"/>
        </w:rPr>
        <w:t xml:space="preserve">gamma </w:t>
      </w:r>
      <w:r w:rsidR="00091419" w:rsidRPr="002060A9">
        <w:rPr>
          <w:sz w:val="16"/>
          <w:szCs w:val="16"/>
          <w:lang w:val="en-IE"/>
        </w:rPr>
        <w:t>interferon; D</w:t>
      </w:r>
      <w:r w:rsidR="000604EB" w:rsidRPr="002060A9">
        <w:rPr>
          <w:sz w:val="16"/>
          <w:szCs w:val="16"/>
          <w:lang w:val="en-IE"/>
        </w:rPr>
        <w:t>T</w:t>
      </w:r>
      <w:r w:rsidR="00091419" w:rsidRPr="002060A9">
        <w:rPr>
          <w:sz w:val="16"/>
          <w:szCs w:val="16"/>
          <w:lang w:val="en-IE"/>
        </w:rPr>
        <w:t>H = delayed-type hypersensitivity</w:t>
      </w:r>
      <w:r w:rsidR="00060C58" w:rsidRPr="002060A9">
        <w:rPr>
          <w:sz w:val="16"/>
          <w:szCs w:val="16"/>
          <w:lang w:val="en-IE"/>
        </w:rPr>
        <w:t>.</w:t>
      </w:r>
    </w:p>
    <w:p w14:paraId="6A8A382D" w14:textId="77777777" w:rsidR="00B66F35" w:rsidRPr="002060A9" w:rsidRDefault="00B66F35" w:rsidP="00E73E2B">
      <w:pPr>
        <w:pStyle w:val="paraA0"/>
        <w:rPr>
          <w:lang w:val="en-IE"/>
        </w:rPr>
      </w:pPr>
      <w:r w:rsidRPr="002060A9">
        <w:rPr>
          <w:lang w:val="en-IE"/>
        </w:rPr>
        <w:t>To diagnose the presence of paratuberculosis in an individual clinically suspect animal, a number of laboratory tests can be used including: faecal smears, faecal and tissue culture, DNA probes using faeces or tissues, serology, necropsy and histology</w:t>
      </w:r>
      <w:r w:rsidR="00835BEF" w:rsidRPr="002060A9">
        <w:rPr>
          <w:lang w:val="en-IE"/>
        </w:rPr>
        <w:t xml:space="preserve"> (</w:t>
      </w:r>
      <w:r w:rsidR="00060C58" w:rsidRPr="002060A9">
        <w:rPr>
          <w:lang w:val="en-IE"/>
        </w:rPr>
        <w:t xml:space="preserve">Table </w:t>
      </w:r>
      <w:r w:rsidR="00835BEF" w:rsidRPr="002060A9">
        <w:rPr>
          <w:lang w:val="en-IE"/>
        </w:rPr>
        <w:t>1)</w:t>
      </w:r>
      <w:r w:rsidRPr="002060A9">
        <w:rPr>
          <w:lang w:val="en-IE"/>
        </w:rPr>
        <w:t>.</w:t>
      </w:r>
    </w:p>
    <w:p w14:paraId="539A12BA" w14:textId="77777777" w:rsidR="00B66F35" w:rsidRPr="002060A9" w:rsidRDefault="00B66F35" w:rsidP="001947FD">
      <w:pPr>
        <w:pStyle w:val="paraA0"/>
        <w:spacing w:line="200" w:lineRule="exact"/>
        <w:rPr>
          <w:lang w:val="en-IE"/>
        </w:rPr>
      </w:pPr>
      <w:r w:rsidRPr="002060A9">
        <w:rPr>
          <w:lang w:val="en-IE"/>
        </w:rPr>
        <w:t xml:space="preserve">Herd tests to detect subclinical infection are carried out to determine the prevalence of the infection, usually so that control measures can be instituted. As no test is 100% sensitive or specific, control of the disease by the disposal of positive reactors depends on repeated tests at 6-month or yearly intervals over a number of years and the elimination of reactors to serological tests or faecal shedders; the removal of offspring from female reactors is also </w:t>
      </w:r>
      <w:r w:rsidRPr="002060A9">
        <w:rPr>
          <w:lang w:val="en-IE"/>
        </w:rPr>
        <w:lastRenderedPageBreak/>
        <w:t>considered to be prudent. Even these procedures are not always successful without changes in hygiene and livestock management to reduce the transmission of infection within a herd.</w:t>
      </w:r>
      <w:r w:rsidR="000604EB" w:rsidRPr="002060A9">
        <w:rPr>
          <w:lang w:val="en-IE"/>
        </w:rPr>
        <w:t xml:space="preserve"> Similar test strategies with repeated tests at </w:t>
      </w:r>
      <w:r w:rsidR="004D720F" w:rsidRPr="002060A9">
        <w:rPr>
          <w:lang w:val="en-IE"/>
        </w:rPr>
        <w:t xml:space="preserve">the </w:t>
      </w:r>
      <w:r w:rsidR="000604EB" w:rsidRPr="002060A9">
        <w:rPr>
          <w:lang w:val="en-IE"/>
        </w:rPr>
        <w:t>herd level can also be applied within control programmes to estimate herd-level probabilities of freedom from infection, and thus to identify low risk herds for safer trade.</w:t>
      </w:r>
    </w:p>
    <w:p w14:paraId="58A24228" w14:textId="0C9BBB50" w:rsidR="00B66F35" w:rsidRPr="002060A9" w:rsidRDefault="00B66F35" w:rsidP="00E73E2B">
      <w:pPr>
        <w:pStyle w:val="1"/>
        <w:spacing w:line="200" w:lineRule="exact"/>
        <w:rPr>
          <w:lang w:val="en-IE"/>
        </w:rPr>
      </w:pPr>
      <w:r w:rsidRPr="002060A9">
        <w:rPr>
          <w:lang w:val="en-IE"/>
        </w:rPr>
        <w:t>1.</w:t>
      </w:r>
      <w:r w:rsidRPr="002060A9">
        <w:rPr>
          <w:lang w:val="en-IE"/>
        </w:rPr>
        <w:tab/>
        <w:t>Identification of the agent</w:t>
      </w:r>
    </w:p>
    <w:p w14:paraId="63D0DA03" w14:textId="77777777" w:rsidR="00B66F35" w:rsidRPr="002060A9" w:rsidRDefault="00060C58" w:rsidP="00060C58">
      <w:pPr>
        <w:pStyle w:val="11"/>
        <w:rPr>
          <w:lang w:val="en-IE"/>
        </w:rPr>
      </w:pPr>
      <w:r w:rsidRPr="002060A9">
        <w:rPr>
          <w:lang w:val="en-IE"/>
        </w:rPr>
        <w:t>1.1.</w:t>
      </w:r>
      <w:r w:rsidR="00B66F35" w:rsidRPr="002060A9">
        <w:rPr>
          <w:lang w:val="en-IE"/>
        </w:rPr>
        <w:tab/>
        <w:t>Necropsy</w:t>
      </w:r>
    </w:p>
    <w:p w14:paraId="5E488AFE" w14:textId="35A054EC" w:rsidR="00B66F35" w:rsidRPr="004622FC" w:rsidRDefault="00B66F35" w:rsidP="00060C58">
      <w:pPr>
        <w:pStyle w:val="11Para"/>
        <w:rPr>
          <w:lang w:val="en-IE"/>
        </w:rPr>
      </w:pPr>
      <w:r w:rsidRPr="002060A9">
        <w:rPr>
          <w:lang w:val="en-IE"/>
        </w:rPr>
        <w:t xml:space="preserve">Paratuberculosis cannot be diagnosed on superficial examination of the intestines for signs of thickening. The intestines should be opened from the duodenum to the rectum to expose the mucosa. There is not always a close correlation between the severity of clinical signs and the extent of intestinal lesions. The mucosa, especially of the terminal ileum, is inspected for pathognomonic thickening and corrugation. Early lesions are seen by holding the intestine up to the light, when discrete plaques can be visualised. </w:t>
      </w:r>
      <w:r w:rsidRPr="002060A9">
        <w:rPr>
          <w:snapToGrid w:val="0"/>
          <w:lang w:val="en-IE"/>
        </w:rPr>
        <w:t xml:space="preserve">Mucosal hyperaemia, erosions and </w:t>
      </w:r>
      <w:proofErr w:type="spellStart"/>
      <w:r w:rsidRPr="002060A9">
        <w:rPr>
          <w:snapToGrid w:val="0"/>
          <w:lang w:val="en-IE"/>
        </w:rPr>
        <w:t>petechiation</w:t>
      </w:r>
      <w:proofErr w:type="spellEnd"/>
      <w:r w:rsidRPr="002060A9">
        <w:rPr>
          <w:snapToGrid w:val="0"/>
          <w:lang w:val="en-IE"/>
        </w:rPr>
        <w:t xml:space="preserve"> have been observed in deer with paratube</w:t>
      </w:r>
      <w:r w:rsidR="008F7161" w:rsidRPr="002060A9">
        <w:rPr>
          <w:snapToGrid w:val="0"/>
          <w:lang w:val="en-IE"/>
        </w:rPr>
        <w:t>r</w:t>
      </w:r>
      <w:r w:rsidRPr="002060A9">
        <w:rPr>
          <w:snapToGrid w:val="0"/>
          <w:lang w:val="en-IE"/>
        </w:rPr>
        <w:t>culosis.</w:t>
      </w:r>
      <w:r w:rsidRPr="002060A9">
        <w:rPr>
          <w:lang w:val="en-IE"/>
        </w:rPr>
        <w:t xml:space="preserve"> The earliest lesions are thickening and cording of lymphatic</w:t>
      </w:r>
      <w:r w:rsidR="0009339E" w:rsidRPr="002060A9">
        <w:rPr>
          <w:lang w:val="en-IE"/>
        </w:rPr>
        <w:t>s</w:t>
      </w:r>
      <w:r w:rsidRPr="002060A9">
        <w:rPr>
          <w:lang w:val="en-IE"/>
        </w:rPr>
        <w:t>. The mesenteric lymph nodes are usually enlarged and oedematous.</w:t>
      </w:r>
      <w:r w:rsidR="00E82187" w:rsidRPr="002060A9">
        <w:rPr>
          <w:lang w:val="en-IE"/>
        </w:rPr>
        <w:t xml:space="preserve"> Caseous and/or calcified lesions in mesenteric lymph nodes are</w:t>
      </w:r>
      <w:r w:rsidR="00137C52" w:rsidRPr="002060A9">
        <w:rPr>
          <w:lang w:val="en-IE"/>
        </w:rPr>
        <w:t xml:space="preserve"> often seen in goats and to a lesser extent </w:t>
      </w:r>
      <w:r w:rsidR="00137C52" w:rsidRPr="004622FC">
        <w:rPr>
          <w:lang w:val="en-IE"/>
        </w:rPr>
        <w:t>in sheep</w:t>
      </w:r>
      <w:r w:rsidR="00E82187" w:rsidRPr="004622FC">
        <w:rPr>
          <w:lang w:val="en-IE"/>
        </w:rPr>
        <w:t xml:space="preserve"> (</w:t>
      </w:r>
      <w:proofErr w:type="spellStart"/>
      <w:r w:rsidR="00E82187" w:rsidRPr="004622FC">
        <w:rPr>
          <w:lang w:val="en-IE"/>
        </w:rPr>
        <w:t>Fodstad</w:t>
      </w:r>
      <w:proofErr w:type="spellEnd"/>
      <w:r w:rsidR="00E82187" w:rsidRPr="004622FC">
        <w:rPr>
          <w:lang w:val="en-IE"/>
        </w:rPr>
        <w:t xml:space="preserve"> &amp; Gunnarsson, 1979). </w:t>
      </w:r>
      <w:r w:rsidRPr="004622FC">
        <w:rPr>
          <w:lang w:val="en-IE"/>
        </w:rPr>
        <w:t xml:space="preserve">Smears from the affected mucosa and cut surfaces of lymph nodes </w:t>
      </w:r>
      <w:r w:rsidRPr="00412F26">
        <w:rPr>
          <w:strike/>
          <w:highlight w:val="yellow"/>
          <w:lang w:val="en-IE"/>
        </w:rPr>
        <w:t xml:space="preserve">should </w:t>
      </w:r>
      <w:r w:rsidR="00960D1E" w:rsidRPr="00412F26">
        <w:rPr>
          <w:highlight w:val="yellow"/>
          <w:u w:val="double"/>
          <w:lang w:val="en-IE"/>
        </w:rPr>
        <w:t>can</w:t>
      </w:r>
      <w:r w:rsidR="00960D1E" w:rsidRPr="004622FC">
        <w:rPr>
          <w:lang w:val="en-IE"/>
        </w:rPr>
        <w:t xml:space="preserve"> </w:t>
      </w:r>
      <w:r w:rsidRPr="004622FC">
        <w:rPr>
          <w:lang w:val="en-IE"/>
        </w:rPr>
        <w:t xml:space="preserve">be stained by </w:t>
      </w:r>
      <w:proofErr w:type="spellStart"/>
      <w:r w:rsidRPr="004622FC">
        <w:rPr>
          <w:lang w:val="en-IE"/>
        </w:rPr>
        <w:t>Ziehl</w:t>
      </w:r>
      <w:proofErr w:type="spellEnd"/>
      <w:r w:rsidRPr="004622FC">
        <w:rPr>
          <w:lang w:val="en-IE"/>
        </w:rPr>
        <w:t>–</w:t>
      </w:r>
      <w:proofErr w:type="spellStart"/>
      <w:r w:rsidRPr="004622FC">
        <w:rPr>
          <w:lang w:val="en-IE"/>
        </w:rPr>
        <w:t>Neelsen’s</w:t>
      </w:r>
      <w:proofErr w:type="spellEnd"/>
      <w:r w:rsidRPr="004622FC">
        <w:rPr>
          <w:lang w:val="en-IE"/>
        </w:rPr>
        <w:t xml:space="preserve"> method and examined microscopically for acid-fast organisms that have the morphological characteristics of </w:t>
      </w:r>
      <w:r w:rsidRPr="004622FC">
        <w:rPr>
          <w:i/>
          <w:lang w:val="en-IE"/>
        </w:rPr>
        <w:t xml:space="preserve">MAP. </w:t>
      </w:r>
      <w:r w:rsidRPr="004622FC">
        <w:rPr>
          <w:lang w:val="en-IE"/>
        </w:rPr>
        <w:t xml:space="preserve">However, acid-fast organisms are not present in all cases. Diagnosis is therefore best confirmed by the collection of multiple intestinal wall and mesenteric lymph node samples into fixative (10% </w:t>
      </w:r>
      <w:proofErr w:type="spellStart"/>
      <w:r w:rsidRPr="004622FC">
        <w:rPr>
          <w:lang w:val="en-IE"/>
        </w:rPr>
        <w:t>formol</w:t>
      </w:r>
      <w:proofErr w:type="spellEnd"/>
      <w:r w:rsidRPr="004622FC">
        <w:rPr>
          <w:lang w:val="en-IE"/>
        </w:rPr>
        <w:t xml:space="preserve"> saline) for subsequent histology. Both haematoxylin-and-eosin-stained sections and </w:t>
      </w:r>
      <w:proofErr w:type="spellStart"/>
      <w:r w:rsidRPr="004622FC">
        <w:rPr>
          <w:lang w:val="en-IE"/>
        </w:rPr>
        <w:t>Ziehl</w:t>
      </w:r>
      <w:proofErr w:type="spellEnd"/>
      <w:r w:rsidRPr="004622FC">
        <w:rPr>
          <w:lang w:val="en-IE"/>
        </w:rPr>
        <w:t>–</w:t>
      </w:r>
      <w:proofErr w:type="spellStart"/>
      <w:r w:rsidRPr="004622FC">
        <w:rPr>
          <w:lang w:val="en-IE"/>
        </w:rPr>
        <w:t>Neelsen</w:t>
      </w:r>
      <w:proofErr w:type="spellEnd"/>
      <w:r w:rsidRPr="004622FC">
        <w:rPr>
          <w:lang w:val="en-IE"/>
        </w:rPr>
        <w:t xml:space="preserve">-stained sections should be examined. The typical lesions of paratuberculosis consist of infiltration of the intestinal mucosa, submucosa, Peyer’s patches and the cortex of the mesenteric lymph nodes with large macrophages, also known as epithelioid cells, and multinucleate giant cells, in both of which clumps or singly disposed acid-fast bacilli are usually, but not invariably, found. </w:t>
      </w:r>
    </w:p>
    <w:p w14:paraId="20090D50" w14:textId="77777777" w:rsidR="00B66F35" w:rsidRPr="004622FC" w:rsidRDefault="00060C58" w:rsidP="00060C58">
      <w:pPr>
        <w:pStyle w:val="11"/>
        <w:rPr>
          <w:lang w:val="en-IE"/>
        </w:rPr>
      </w:pPr>
      <w:r w:rsidRPr="004622FC">
        <w:rPr>
          <w:lang w:val="en-IE"/>
        </w:rPr>
        <w:t>1.2.</w:t>
      </w:r>
      <w:r w:rsidR="00B66F35" w:rsidRPr="004622FC">
        <w:rPr>
          <w:lang w:val="en-IE"/>
        </w:rPr>
        <w:tab/>
        <w:t>Bacteriology (microscopy)</w:t>
      </w:r>
    </w:p>
    <w:p w14:paraId="16508424" w14:textId="77777777" w:rsidR="00B66F35" w:rsidRPr="004622FC" w:rsidRDefault="00B66F35" w:rsidP="00060C58">
      <w:pPr>
        <w:pStyle w:val="11Para"/>
        <w:rPr>
          <w:lang w:val="en-IE"/>
        </w:rPr>
      </w:pPr>
      <w:proofErr w:type="spellStart"/>
      <w:r w:rsidRPr="004622FC">
        <w:rPr>
          <w:lang w:val="en-IE"/>
        </w:rPr>
        <w:t>Ziehl</w:t>
      </w:r>
      <w:proofErr w:type="spellEnd"/>
      <w:r w:rsidRPr="004622FC">
        <w:rPr>
          <w:lang w:val="en-IE"/>
        </w:rPr>
        <w:t>–</w:t>
      </w:r>
      <w:proofErr w:type="spellStart"/>
      <w:r w:rsidRPr="004622FC">
        <w:rPr>
          <w:lang w:val="en-IE"/>
        </w:rPr>
        <w:t>Neelsen</w:t>
      </w:r>
      <w:proofErr w:type="spellEnd"/>
      <w:r w:rsidRPr="004622FC">
        <w:rPr>
          <w:lang w:val="en-IE"/>
        </w:rPr>
        <w:t xml:space="preserve">-stained smears of faeces or intestinal mucosa are examined microscopically. A presumptive diagnosis of paratuberculosis can be made if clumps (three or more organisms) of small (0.5–1.5 µm), strongly acid-fast bacilli are found. The presence of single acid-fast bacilli in the absence of clumps indicates an inconclusive result. The disadvantages of this test are that it does not differentiate among other mycobacterial species and only a small proportion of cases can be confirmed on microscopic examination of a single faecal sample. </w:t>
      </w:r>
    </w:p>
    <w:p w14:paraId="29EA16E5" w14:textId="77777777" w:rsidR="00B66F35" w:rsidRPr="004622FC" w:rsidRDefault="00060C58" w:rsidP="00060C58">
      <w:pPr>
        <w:pStyle w:val="11"/>
        <w:rPr>
          <w:lang w:val="en-IE"/>
        </w:rPr>
      </w:pPr>
      <w:r w:rsidRPr="004622FC">
        <w:rPr>
          <w:lang w:val="en-IE"/>
        </w:rPr>
        <w:t>1.3.</w:t>
      </w:r>
      <w:r w:rsidR="00B66F35" w:rsidRPr="004622FC">
        <w:rPr>
          <w:lang w:val="en-IE"/>
        </w:rPr>
        <w:tab/>
        <w:t>Bacteriology (culture)</w:t>
      </w:r>
    </w:p>
    <w:p w14:paraId="147D236A" w14:textId="77777777" w:rsidR="00B66F35" w:rsidRPr="004622FC" w:rsidRDefault="00B66F35" w:rsidP="00060C58">
      <w:pPr>
        <w:pStyle w:val="11Para"/>
        <w:rPr>
          <w:lang w:val="en-IE" w:eastAsia="en-AU"/>
        </w:rPr>
      </w:pPr>
      <w:r w:rsidRPr="004622FC">
        <w:rPr>
          <w:lang w:val="en-IE"/>
        </w:rPr>
        <w:t xml:space="preserve">The isolation of </w:t>
      </w:r>
      <w:r w:rsidRPr="004622FC">
        <w:rPr>
          <w:i/>
          <w:snapToGrid w:val="0"/>
          <w:lang w:val="en-IE"/>
        </w:rPr>
        <w:t>M</w:t>
      </w:r>
      <w:r w:rsidR="00E82187" w:rsidRPr="004622FC">
        <w:rPr>
          <w:i/>
          <w:snapToGrid w:val="0"/>
          <w:lang w:val="en-IE"/>
        </w:rPr>
        <w:t>AP</w:t>
      </w:r>
      <w:r w:rsidRPr="004622FC">
        <w:rPr>
          <w:lang w:val="en-IE"/>
        </w:rPr>
        <w:t xml:space="preserve"> from an animal provides the definitive diagnosis of infection with the organism. Although culture is technically difficult and time-consuming to carry out, it is the only test that does not produce false-positive results (100% specificity). </w:t>
      </w:r>
      <w:r w:rsidRPr="004622FC">
        <w:rPr>
          <w:color w:val="000000"/>
          <w:lang w:val="en-IE" w:eastAsia="en-AU"/>
        </w:rPr>
        <w:t xml:space="preserve">However, due to the potential pass-through phenomenon, it is theoretically </w:t>
      </w:r>
      <w:r w:rsidRPr="004622FC">
        <w:rPr>
          <w:lang w:val="en-IE" w:eastAsia="en-AU"/>
        </w:rPr>
        <w:t>possible that faecal culture testing of non-infected animals on contaminated premises can lead to false-positive reactions</w:t>
      </w:r>
      <w:r w:rsidRPr="004622FC">
        <w:rPr>
          <w:lang w:val="en-IE"/>
        </w:rPr>
        <w:t xml:space="preserve"> (Nielsen &amp; Toft, 2008). </w:t>
      </w:r>
    </w:p>
    <w:p w14:paraId="1FC45348" w14:textId="77777777" w:rsidR="00B66F35" w:rsidRPr="002060A9" w:rsidRDefault="00B66F35" w:rsidP="00060C58">
      <w:pPr>
        <w:pStyle w:val="11Para"/>
        <w:rPr>
          <w:lang w:val="en-IE"/>
        </w:rPr>
      </w:pPr>
      <w:r w:rsidRPr="004622FC">
        <w:rPr>
          <w:lang w:val="en-IE"/>
        </w:rPr>
        <w:t xml:space="preserve">The faecal culture is </w:t>
      </w:r>
      <w:r w:rsidR="005B4317" w:rsidRPr="004622FC">
        <w:rPr>
          <w:lang w:val="en-IE"/>
        </w:rPr>
        <w:t xml:space="preserve">widely considered </w:t>
      </w:r>
      <w:r w:rsidR="00B36B18" w:rsidRPr="004622FC">
        <w:rPr>
          <w:lang w:val="en-IE"/>
        </w:rPr>
        <w:t>to be</w:t>
      </w:r>
      <w:r w:rsidR="005B4317" w:rsidRPr="004622FC">
        <w:rPr>
          <w:lang w:val="en-IE"/>
        </w:rPr>
        <w:t xml:space="preserve"> the gold standard for the diagnosis of paratuberculosis</w:t>
      </w:r>
      <w:r w:rsidR="00D65E68" w:rsidRPr="004622FC">
        <w:rPr>
          <w:lang w:val="en-IE"/>
        </w:rPr>
        <w:t xml:space="preserve"> </w:t>
      </w:r>
      <w:r w:rsidRPr="004622FC">
        <w:rPr>
          <w:lang w:val="en-IE"/>
        </w:rPr>
        <w:t>in live animals</w:t>
      </w:r>
      <w:r w:rsidR="005B4317" w:rsidRPr="004622FC">
        <w:rPr>
          <w:lang w:val="en-IE"/>
        </w:rPr>
        <w:t xml:space="preserve"> (affected animals</w:t>
      </w:r>
      <w:r w:rsidR="00D65E68" w:rsidRPr="004622FC">
        <w:rPr>
          <w:lang w:val="en-IE"/>
        </w:rPr>
        <w:t>).</w:t>
      </w:r>
      <w:r w:rsidR="00B36B18" w:rsidRPr="004622FC">
        <w:rPr>
          <w:lang w:val="en-IE"/>
        </w:rPr>
        <w:t xml:space="preserve"> </w:t>
      </w:r>
      <w:r w:rsidR="00D65E68" w:rsidRPr="004622FC">
        <w:rPr>
          <w:lang w:val="en-IE"/>
        </w:rPr>
        <w:t>Actually,</w:t>
      </w:r>
      <w:r w:rsidR="00B36B18" w:rsidRPr="004622FC">
        <w:rPr>
          <w:lang w:val="en-IE"/>
        </w:rPr>
        <w:t xml:space="preserve"> </w:t>
      </w:r>
      <w:r w:rsidR="00D65E68" w:rsidRPr="004622FC">
        <w:rPr>
          <w:lang w:val="en-IE"/>
        </w:rPr>
        <w:t>t</w:t>
      </w:r>
      <w:r w:rsidRPr="004622FC">
        <w:rPr>
          <w:lang w:val="en-IE"/>
        </w:rPr>
        <w:t>he faecal culture is able to detect most animals in advanced stages of the disease</w:t>
      </w:r>
      <w:r w:rsidR="00F848C7" w:rsidRPr="004622FC">
        <w:rPr>
          <w:lang w:val="en-IE"/>
        </w:rPr>
        <w:t>,</w:t>
      </w:r>
      <w:r w:rsidRPr="004622FC">
        <w:rPr>
          <w:lang w:val="en-IE"/>
        </w:rPr>
        <w:t xml:space="preserve"> but identifies only a few animals in early stages of infection (</w:t>
      </w:r>
      <w:r w:rsidR="00053F8B" w:rsidRPr="004622FC">
        <w:rPr>
          <w:lang w:val="en-IE"/>
        </w:rPr>
        <w:t>Nielsen &amp; Toft, 2008</w:t>
      </w:r>
      <w:r w:rsidRPr="004622FC">
        <w:rPr>
          <w:lang w:val="en-IE"/>
        </w:rPr>
        <w:t>)</w:t>
      </w:r>
      <w:r w:rsidR="00F848C7" w:rsidRPr="004622FC">
        <w:rPr>
          <w:lang w:val="en-IE"/>
        </w:rPr>
        <w:t xml:space="preserve"> </w:t>
      </w:r>
      <w:r w:rsidR="00D65E68" w:rsidRPr="004622FC">
        <w:rPr>
          <w:lang w:val="en-IE"/>
        </w:rPr>
        <w:t>according to the conditions, sensitivity of faecal culture is 70% for affected cattle, 74% for infectious cattle and 23</w:t>
      </w:r>
      <w:r w:rsidR="0030227B" w:rsidRPr="004622FC">
        <w:rPr>
          <w:lang w:val="en-IE"/>
        </w:rPr>
        <w:t>–</w:t>
      </w:r>
      <w:r w:rsidR="00D65E68" w:rsidRPr="004622FC">
        <w:rPr>
          <w:lang w:val="en-IE"/>
        </w:rPr>
        <w:t>29% for infected cattle</w:t>
      </w:r>
      <w:r w:rsidRPr="004622FC">
        <w:rPr>
          <w:lang w:val="en-IE"/>
        </w:rPr>
        <w:t>.  The culture of bovine</w:t>
      </w:r>
      <w:r w:rsidR="00F929D9" w:rsidRPr="004622FC">
        <w:rPr>
          <w:lang w:val="en-IE"/>
        </w:rPr>
        <w:t xml:space="preserve">, ovine </w:t>
      </w:r>
      <w:r w:rsidRPr="004622FC">
        <w:rPr>
          <w:lang w:val="en-IE"/>
        </w:rPr>
        <w:t xml:space="preserve">and caprine tissues for </w:t>
      </w:r>
      <w:r w:rsidRPr="004622FC">
        <w:rPr>
          <w:i/>
          <w:snapToGrid w:val="0"/>
          <w:lang w:val="en-IE"/>
        </w:rPr>
        <w:t>M</w:t>
      </w:r>
      <w:r w:rsidRPr="004622FC">
        <w:rPr>
          <w:i/>
          <w:lang w:val="en-IE"/>
        </w:rPr>
        <w:t>AP</w:t>
      </w:r>
      <w:r w:rsidRPr="004622FC">
        <w:rPr>
          <w:lang w:val="en-IE"/>
        </w:rPr>
        <w:t xml:space="preserve"> </w:t>
      </w:r>
      <w:r w:rsidRPr="004622FC">
        <w:rPr>
          <w:snapToGrid w:val="0"/>
          <w:lang w:val="en-IE"/>
        </w:rPr>
        <w:t xml:space="preserve">is more sensitive than histopathological </w:t>
      </w:r>
      <w:r w:rsidR="0048229B" w:rsidRPr="004622FC">
        <w:rPr>
          <w:snapToGrid w:val="0"/>
          <w:lang w:val="en-IE"/>
        </w:rPr>
        <w:t>examination (</w:t>
      </w:r>
      <w:proofErr w:type="spellStart"/>
      <w:r w:rsidR="00F929D9" w:rsidRPr="004622FC">
        <w:rPr>
          <w:lang w:val="en-IE"/>
        </w:rPr>
        <w:t>Fodstad</w:t>
      </w:r>
      <w:proofErr w:type="spellEnd"/>
      <w:r w:rsidR="00F929D9" w:rsidRPr="004622FC">
        <w:rPr>
          <w:lang w:val="en-IE"/>
        </w:rPr>
        <w:t xml:space="preserve"> &amp; Gunnarsson, 1979; </w:t>
      </w:r>
      <w:r w:rsidR="003C1D31" w:rsidRPr="004622FC">
        <w:rPr>
          <w:lang w:val="en-IE"/>
        </w:rPr>
        <w:t xml:space="preserve">Koh </w:t>
      </w:r>
      <w:r w:rsidR="003C1D31" w:rsidRPr="004622FC">
        <w:rPr>
          <w:i/>
          <w:lang w:val="en-IE"/>
        </w:rPr>
        <w:t>et al</w:t>
      </w:r>
      <w:r w:rsidR="00060C58" w:rsidRPr="004622FC">
        <w:rPr>
          <w:i/>
          <w:lang w:val="en-IE"/>
        </w:rPr>
        <w:t>.</w:t>
      </w:r>
      <w:r w:rsidR="003C1D31" w:rsidRPr="004622FC">
        <w:rPr>
          <w:i/>
          <w:lang w:val="en-IE"/>
        </w:rPr>
        <w:t>,</w:t>
      </w:r>
      <w:r w:rsidR="003C1D31" w:rsidRPr="004622FC">
        <w:rPr>
          <w:lang w:val="en-IE"/>
        </w:rPr>
        <w:t xml:space="preserve"> 1988;</w:t>
      </w:r>
      <w:r w:rsidR="00F929D9" w:rsidRPr="004622FC">
        <w:rPr>
          <w:lang w:val="en-IE"/>
        </w:rPr>
        <w:t xml:space="preserve"> Whittington </w:t>
      </w:r>
      <w:r w:rsidR="00F929D9" w:rsidRPr="004622FC">
        <w:rPr>
          <w:i/>
          <w:lang w:val="en-IE"/>
        </w:rPr>
        <w:t>et al</w:t>
      </w:r>
      <w:r w:rsidR="00060C58" w:rsidRPr="004622FC">
        <w:rPr>
          <w:i/>
          <w:lang w:val="en-IE"/>
        </w:rPr>
        <w:t>.</w:t>
      </w:r>
      <w:r w:rsidR="00F929D9" w:rsidRPr="004622FC">
        <w:rPr>
          <w:i/>
          <w:lang w:val="en-IE"/>
        </w:rPr>
        <w:t>,</w:t>
      </w:r>
      <w:r w:rsidR="00F929D9" w:rsidRPr="004622FC">
        <w:rPr>
          <w:lang w:val="en-IE"/>
        </w:rPr>
        <w:t xml:space="preserve"> 1999).</w:t>
      </w:r>
      <w:r w:rsidRPr="002060A9">
        <w:rPr>
          <w:snapToGrid w:val="0"/>
          <w:lang w:val="en-IE"/>
        </w:rPr>
        <w:t xml:space="preserve"> </w:t>
      </w:r>
    </w:p>
    <w:p w14:paraId="49BBA65B" w14:textId="77777777" w:rsidR="00B66F35" w:rsidRPr="002060A9" w:rsidRDefault="00B66F35" w:rsidP="00060C58">
      <w:pPr>
        <w:pStyle w:val="11Para"/>
        <w:rPr>
          <w:lang w:val="en-IE"/>
        </w:rPr>
      </w:pPr>
      <w:r w:rsidRPr="002060A9">
        <w:rPr>
          <w:lang w:val="en-IE"/>
        </w:rPr>
        <w:t>There are several culture methods, which vary with respect to media and sample processing protocols.</w:t>
      </w:r>
      <w:r w:rsidRPr="002060A9">
        <w:rPr>
          <w:snapToGrid w:val="0"/>
          <w:lang w:val="en-IE"/>
        </w:rPr>
        <w:t xml:space="preserve"> The cultivation of </w:t>
      </w:r>
      <w:r w:rsidR="00710E28" w:rsidRPr="002060A9">
        <w:rPr>
          <w:i/>
          <w:snapToGrid w:val="0"/>
          <w:lang w:val="en-IE"/>
        </w:rPr>
        <w:t>M</w:t>
      </w:r>
      <w:r w:rsidR="00710E28" w:rsidRPr="00E85A02">
        <w:rPr>
          <w:i/>
          <w:lang w:val="en-IE"/>
        </w:rPr>
        <w:t>AP</w:t>
      </w:r>
      <w:r w:rsidR="00710E28" w:rsidRPr="002060A9">
        <w:rPr>
          <w:lang w:val="en-IE"/>
        </w:rPr>
        <w:t xml:space="preserve"> </w:t>
      </w:r>
      <w:r w:rsidRPr="002060A9">
        <w:rPr>
          <w:snapToGrid w:val="0"/>
          <w:lang w:val="en-IE"/>
        </w:rPr>
        <w:t>is always performed using special media supplemented with mycobactin J</w:t>
      </w:r>
      <w:r w:rsidR="00A87564" w:rsidRPr="002060A9">
        <w:rPr>
          <w:snapToGrid w:val="0"/>
          <w:lang w:val="en-IE"/>
        </w:rPr>
        <w:t>,</w:t>
      </w:r>
      <w:r w:rsidR="00F30ACB" w:rsidRPr="002060A9">
        <w:rPr>
          <w:snapToGrid w:val="0"/>
          <w:lang w:val="en-IE"/>
        </w:rPr>
        <w:t xml:space="preserve"> which is available commercially</w:t>
      </w:r>
      <w:r w:rsidRPr="002060A9">
        <w:rPr>
          <w:snapToGrid w:val="0"/>
          <w:lang w:val="en-IE"/>
        </w:rPr>
        <w:t>.</w:t>
      </w:r>
    </w:p>
    <w:p w14:paraId="3EE9C98D" w14:textId="77777777" w:rsidR="00B66F35" w:rsidRPr="002060A9" w:rsidRDefault="00B66F35" w:rsidP="00060C58">
      <w:pPr>
        <w:pStyle w:val="11Para"/>
        <w:rPr>
          <w:lang w:val="en-IE"/>
        </w:rPr>
      </w:pPr>
      <w:r w:rsidRPr="002060A9">
        <w:rPr>
          <w:i/>
          <w:lang w:val="en-IE"/>
        </w:rPr>
        <w:t>MAP</w:t>
      </w:r>
      <w:r w:rsidRPr="002060A9" w:rsidDel="00E518EC">
        <w:rPr>
          <w:i/>
          <w:lang w:val="en-IE"/>
        </w:rPr>
        <w:t xml:space="preserve"> </w:t>
      </w:r>
      <w:r w:rsidRPr="002060A9">
        <w:rPr>
          <w:lang w:val="en-IE"/>
        </w:rPr>
        <w:t xml:space="preserve">organisms are vastly outnumbered by other bacteria or fungi in faecal and intestinal tissue specimens. The successful isolation of </w:t>
      </w:r>
      <w:r w:rsidR="00710E28" w:rsidRPr="002060A9">
        <w:rPr>
          <w:i/>
          <w:snapToGrid w:val="0"/>
          <w:lang w:val="en-IE"/>
        </w:rPr>
        <w:t>M</w:t>
      </w:r>
      <w:r w:rsidR="00710E28" w:rsidRPr="00E85A02">
        <w:rPr>
          <w:i/>
          <w:lang w:val="en-IE"/>
        </w:rPr>
        <w:t>AP</w:t>
      </w:r>
      <w:r w:rsidRPr="002060A9">
        <w:rPr>
          <w:i/>
          <w:lang w:val="en-IE"/>
        </w:rPr>
        <w:t xml:space="preserve"> </w:t>
      </w:r>
      <w:r w:rsidRPr="002060A9">
        <w:rPr>
          <w:lang w:val="en-IE"/>
        </w:rPr>
        <w:t xml:space="preserve">from such samples depends on efficient inactivation of these undesirable organisms. The optimal method of decontamination must have the least inhibitory effect on growth of </w:t>
      </w:r>
      <w:r w:rsidR="00710E28" w:rsidRPr="002060A9">
        <w:rPr>
          <w:i/>
          <w:snapToGrid w:val="0"/>
          <w:lang w:val="en-IE"/>
        </w:rPr>
        <w:t>M</w:t>
      </w:r>
      <w:r w:rsidR="00710E28" w:rsidRPr="00E85A02">
        <w:rPr>
          <w:i/>
          <w:lang w:val="en-IE"/>
        </w:rPr>
        <w:t>AP</w:t>
      </w:r>
      <w:r w:rsidRPr="002060A9">
        <w:rPr>
          <w:lang w:val="en-IE"/>
        </w:rPr>
        <w:t xml:space="preserve">. Routine decontamination protocols were shown to decrease the number of </w:t>
      </w:r>
      <w:r w:rsidR="00710E28" w:rsidRPr="002060A9">
        <w:rPr>
          <w:i/>
          <w:snapToGrid w:val="0"/>
          <w:lang w:val="en-IE"/>
        </w:rPr>
        <w:t>M</w:t>
      </w:r>
      <w:r w:rsidR="00710E28" w:rsidRPr="00E85A02">
        <w:rPr>
          <w:i/>
          <w:lang w:val="en-IE"/>
        </w:rPr>
        <w:t>AP</w:t>
      </w:r>
      <w:r w:rsidR="00710E28" w:rsidRPr="002060A9">
        <w:rPr>
          <w:lang w:val="en-IE"/>
        </w:rPr>
        <w:t xml:space="preserve"> </w:t>
      </w:r>
      <w:r w:rsidRPr="002060A9">
        <w:rPr>
          <w:lang w:val="en-IE"/>
        </w:rPr>
        <w:t>organisms isolated per sample by about 2.7 log</w:t>
      </w:r>
      <w:r w:rsidRPr="00167A02">
        <w:rPr>
          <w:vertAlign w:val="subscript"/>
          <w:lang w:val="en-IE"/>
        </w:rPr>
        <w:t>10</w:t>
      </w:r>
      <w:r w:rsidRPr="002060A9">
        <w:rPr>
          <w:lang w:val="en-IE"/>
        </w:rPr>
        <w:t xml:space="preserve"> and 3.1 log</w:t>
      </w:r>
      <w:r w:rsidRPr="00167A02">
        <w:rPr>
          <w:vertAlign w:val="subscript"/>
          <w:lang w:val="en-IE"/>
        </w:rPr>
        <w:t>10</w:t>
      </w:r>
      <w:r w:rsidRPr="002060A9">
        <w:rPr>
          <w:lang w:val="en-IE"/>
        </w:rPr>
        <w:t xml:space="preserve"> for faeces and tissues, respectively</w:t>
      </w:r>
      <w:r w:rsidRPr="002060A9">
        <w:rPr>
          <w:lang w:val="en-IE" w:eastAsia="en-AU"/>
        </w:rPr>
        <w:t>.</w:t>
      </w:r>
    </w:p>
    <w:p w14:paraId="29E5ED8E" w14:textId="77777777" w:rsidR="00B66F35" w:rsidRPr="002060A9" w:rsidRDefault="00B66F35" w:rsidP="00060C58">
      <w:pPr>
        <w:pStyle w:val="11Para"/>
        <w:rPr>
          <w:lang w:val="en-IE"/>
        </w:rPr>
      </w:pPr>
      <w:r w:rsidRPr="002060A9">
        <w:rPr>
          <w:lang w:val="en-IE"/>
        </w:rPr>
        <w:t xml:space="preserve">There are two basic methods </w:t>
      </w:r>
      <w:r w:rsidR="0047414D" w:rsidRPr="002060A9">
        <w:rPr>
          <w:lang w:val="en-IE"/>
        </w:rPr>
        <w:t>of sample decontamination</w:t>
      </w:r>
      <w:r w:rsidRPr="002060A9">
        <w:rPr>
          <w:lang w:val="en-IE"/>
        </w:rPr>
        <w:t xml:space="preserve">: the method using oxalic acid and NaOH for decontamination and </w:t>
      </w:r>
      <w:proofErr w:type="spellStart"/>
      <w:r w:rsidRPr="002060A9">
        <w:rPr>
          <w:lang w:val="en-IE"/>
        </w:rPr>
        <w:t>Löwenstein</w:t>
      </w:r>
      <w:proofErr w:type="spellEnd"/>
      <w:r w:rsidRPr="002060A9">
        <w:rPr>
          <w:lang w:val="en-IE"/>
        </w:rPr>
        <w:t xml:space="preserve">–Jensen (LJ) medium for growth, and the method using </w:t>
      </w:r>
      <w:proofErr w:type="spellStart"/>
      <w:r w:rsidRPr="002060A9">
        <w:rPr>
          <w:lang w:val="en-IE"/>
        </w:rPr>
        <w:lastRenderedPageBreak/>
        <w:t>hexadecylpyridinium</w:t>
      </w:r>
      <w:proofErr w:type="spellEnd"/>
      <w:r w:rsidRPr="002060A9">
        <w:rPr>
          <w:lang w:val="en-IE"/>
        </w:rPr>
        <w:t xml:space="preserve"> chloride (HPC) for decontamination in combination with </w:t>
      </w:r>
      <w:r w:rsidR="0023626E" w:rsidRPr="002060A9">
        <w:rPr>
          <w:lang w:val="en-IE"/>
        </w:rPr>
        <w:t xml:space="preserve">solid media such as </w:t>
      </w:r>
      <w:proofErr w:type="spellStart"/>
      <w:r w:rsidRPr="002060A9">
        <w:rPr>
          <w:lang w:val="en-IE"/>
        </w:rPr>
        <w:t>Herrolds’s</w:t>
      </w:r>
      <w:proofErr w:type="spellEnd"/>
      <w:r w:rsidRPr="002060A9">
        <w:rPr>
          <w:lang w:val="en-IE"/>
        </w:rPr>
        <w:t xml:space="preserve"> egg yolk medium (HEYM) </w:t>
      </w:r>
      <w:r w:rsidR="0047414D" w:rsidRPr="002060A9">
        <w:rPr>
          <w:lang w:val="en-IE"/>
        </w:rPr>
        <w:t xml:space="preserve">or </w:t>
      </w:r>
      <w:r w:rsidR="00F80211" w:rsidRPr="002060A9">
        <w:rPr>
          <w:lang w:val="en-IE"/>
        </w:rPr>
        <w:t xml:space="preserve">Middlebrook </w:t>
      </w:r>
      <w:r w:rsidR="0023626E" w:rsidRPr="002060A9">
        <w:rPr>
          <w:lang w:val="en-IE"/>
        </w:rPr>
        <w:t xml:space="preserve">7H10 and liquid media such as </w:t>
      </w:r>
      <w:r w:rsidR="00F80211" w:rsidRPr="002060A9">
        <w:rPr>
          <w:lang w:val="en-IE"/>
        </w:rPr>
        <w:t xml:space="preserve">Middlebrook </w:t>
      </w:r>
      <w:r w:rsidR="0047414D" w:rsidRPr="002060A9">
        <w:rPr>
          <w:lang w:val="en-IE"/>
        </w:rPr>
        <w:t xml:space="preserve">7H9 or </w:t>
      </w:r>
      <w:r w:rsidR="00653764" w:rsidRPr="002060A9">
        <w:rPr>
          <w:lang w:val="en-IE"/>
        </w:rPr>
        <w:t>commercial equivalents</w:t>
      </w:r>
      <w:r w:rsidR="0047414D" w:rsidRPr="002060A9">
        <w:rPr>
          <w:lang w:val="en-IE"/>
        </w:rPr>
        <w:t xml:space="preserve"> </w:t>
      </w:r>
      <w:r w:rsidRPr="002060A9">
        <w:rPr>
          <w:lang w:val="en-IE"/>
        </w:rPr>
        <w:t xml:space="preserve">for growth. Although it has been published that HEYM supports growth of bovine isolates of </w:t>
      </w:r>
      <w:r w:rsidR="00710E28" w:rsidRPr="00E85A02">
        <w:rPr>
          <w:i/>
          <w:snapToGrid w:val="0"/>
          <w:lang w:val="en-IE"/>
        </w:rPr>
        <w:t>M</w:t>
      </w:r>
      <w:r w:rsidR="00710E28" w:rsidRPr="00E85A02">
        <w:rPr>
          <w:i/>
          <w:lang w:val="en-IE"/>
        </w:rPr>
        <w:t>AP</w:t>
      </w:r>
      <w:r w:rsidR="00710E28" w:rsidRPr="002060A9">
        <w:rPr>
          <w:lang w:val="en-IE"/>
        </w:rPr>
        <w:t xml:space="preserve"> </w:t>
      </w:r>
      <w:r w:rsidRPr="002060A9">
        <w:rPr>
          <w:lang w:val="en-IE"/>
        </w:rPr>
        <w:t xml:space="preserve">significantly better than LJ, recent studies have shown that certain strains grow better on LJ or Middlebrook media. </w:t>
      </w:r>
      <w:r w:rsidR="0023626E" w:rsidRPr="002060A9">
        <w:rPr>
          <w:lang w:val="en-IE"/>
        </w:rPr>
        <w:t xml:space="preserve">The advantage of 7H10 medium is that it better supports the growth of ovine strains compared with HEYM. </w:t>
      </w:r>
      <w:r w:rsidR="0047414D" w:rsidRPr="002060A9">
        <w:rPr>
          <w:lang w:val="en-IE"/>
        </w:rPr>
        <w:t>Liquid media have been reported to be more sensitive than solid media</w:t>
      </w:r>
      <w:r w:rsidR="0023626E" w:rsidRPr="002060A9">
        <w:rPr>
          <w:lang w:val="en-IE"/>
        </w:rPr>
        <w:t xml:space="preserve"> for both ovine and bovine strains</w:t>
      </w:r>
      <w:r w:rsidR="0047414D" w:rsidRPr="002060A9">
        <w:rPr>
          <w:lang w:val="en-IE"/>
        </w:rPr>
        <w:t>.</w:t>
      </w:r>
    </w:p>
    <w:p w14:paraId="74D7376D" w14:textId="77777777" w:rsidR="00B66F35" w:rsidRPr="004622FC" w:rsidRDefault="00B66F35" w:rsidP="00060C58">
      <w:pPr>
        <w:pStyle w:val="11Para"/>
        <w:rPr>
          <w:lang w:val="en-IE"/>
        </w:rPr>
      </w:pPr>
      <w:r w:rsidRPr="002060A9">
        <w:rPr>
          <w:lang w:val="en-IE"/>
        </w:rPr>
        <w:t xml:space="preserve">Primary colonies of </w:t>
      </w:r>
      <w:r w:rsidR="00C924A0" w:rsidRPr="00E85A02">
        <w:rPr>
          <w:i/>
          <w:snapToGrid w:val="0"/>
          <w:lang w:val="en-IE"/>
        </w:rPr>
        <w:t>M</w:t>
      </w:r>
      <w:r w:rsidR="00C924A0" w:rsidRPr="00E85A02">
        <w:rPr>
          <w:i/>
          <w:lang w:val="en-IE"/>
        </w:rPr>
        <w:t>AP</w:t>
      </w:r>
      <w:r w:rsidR="00C924A0" w:rsidRPr="002060A9">
        <w:rPr>
          <w:lang w:val="en-IE"/>
        </w:rPr>
        <w:t xml:space="preserve"> </w:t>
      </w:r>
      <w:r w:rsidRPr="002060A9">
        <w:rPr>
          <w:lang w:val="en-IE"/>
        </w:rPr>
        <w:t>on solid media may be expected to appear any time from 5 weeks to 6</w:t>
      </w:r>
      <w:r w:rsidR="002060A9">
        <w:rPr>
          <w:lang w:val="en-IE"/>
        </w:rPr>
        <w:t> </w:t>
      </w:r>
      <w:r w:rsidRPr="002060A9">
        <w:rPr>
          <w:lang w:val="en-IE"/>
        </w:rPr>
        <w:t xml:space="preserve">months after inoculation. Sheep strains, including the uncommon, bright yellow pigmented types, grow less well than cattle strains on commonly used media such as HEYM or LJ, and primary cultures should not be discarded as negative without prolonged incubation. </w:t>
      </w:r>
      <w:r w:rsidRPr="004622FC">
        <w:rPr>
          <w:lang w:val="en-IE"/>
        </w:rPr>
        <w:t xml:space="preserve">The solid medium </w:t>
      </w:r>
      <w:r w:rsidRPr="004622FC">
        <w:rPr>
          <w:iCs/>
          <w:lang w:val="en-IE"/>
        </w:rPr>
        <w:t xml:space="preserve">Middlebrook 7H10 </w:t>
      </w:r>
      <w:r w:rsidRPr="004622FC">
        <w:rPr>
          <w:lang w:val="en-IE"/>
        </w:rPr>
        <w:t xml:space="preserve">supplemented with egg yolk and mycobactin </w:t>
      </w:r>
      <w:r w:rsidR="00F30ACB" w:rsidRPr="004622FC">
        <w:rPr>
          <w:lang w:val="en-IE"/>
        </w:rPr>
        <w:t xml:space="preserve">is </w:t>
      </w:r>
      <w:r w:rsidRPr="004622FC">
        <w:rPr>
          <w:lang w:val="en-IE"/>
        </w:rPr>
        <w:t xml:space="preserve">excellent for </w:t>
      </w:r>
      <w:r w:rsidR="00FE5560" w:rsidRPr="004622FC">
        <w:rPr>
          <w:lang w:val="en-IE"/>
        </w:rPr>
        <w:t xml:space="preserve">the </w:t>
      </w:r>
      <w:r w:rsidRPr="004622FC">
        <w:rPr>
          <w:lang w:val="en-IE"/>
        </w:rPr>
        <w:t xml:space="preserve">cultivation of ovine strains of </w:t>
      </w:r>
      <w:r w:rsidR="00C924A0" w:rsidRPr="004622FC">
        <w:rPr>
          <w:i/>
          <w:snapToGrid w:val="0"/>
          <w:lang w:val="en-IE"/>
        </w:rPr>
        <w:t>M</w:t>
      </w:r>
      <w:r w:rsidR="00C924A0" w:rsidRPr="004622FC">
        <w:rPr>
          <w:i/>
          <w:lang w:val="en-IE"/>
        </w:rPr>
        <w:t>AP</w:t>
      </w:r>
      <w:r w:rsidR="00C924A0" w:rsidRPr="004622FC">
        <w:rPr>
          <w:lang w:val="en-IE"/>
        </w:rPr>
        <w:t xml:space="preserve"> </w:t>
      </w:r>
      <w:r w:rsidRPr="004622FC">
        <w:rPr>
          <w:lang w:val="en-IE"/>
        </w:rPr>
        <w:t xml:space="preserve">(Whittington </w:t>
      </w:r>
      <w:r w:rsidRPr="004622FC">
        <w:rPr>
          <w:i/>
          <w:lang w:val="en-IE"/>
        </w:rPr>
        <w:t>et al</w:t>
      </w:r>
      <w:r w:rsidRPr="004622FC">
        <w:rPr>
          <w:lang w:val="en-IE"/>
        </w:rPr>
        <w:t>., 1999).</w:t>
      </w:r>
    </w:p>
    <w:p w14:paraId="7F763E70" w14:textId="69FC2EFC" w:rsidR="00B66F35" w:rsidRPr="002060A9" w:rsidRDefault="00B66F35" w:rsidP="00060C58">
      <w:pPr>
        <w:pStyle w:val="11Para"/>
        <w:rPr>
          <w:lang w:val="en-IE"/>
        </w:rPr>
      </w:pPr>
      <w:r w:rsidRPr="004622FC">
        <w:rPr>
          <w:lang w:val="en-IE"/>
        </w:rPr>
        <w:t xml:space="preserve">Primary colonies of the cattle strain of </w:t>
      </w:r>
      <w:r w:rsidR="00C924A0" w:rsidRPr="004622FC">
        <w:rPr>
          <w:i/>
          <w:snapToGrid w:val="0"/>
          <w:lang w:val="en-IE"/>
        </w:rPr>
        <w:t>M</w:t>
      </w:r>
      <w:r w:rsidR="00C924A0" w:rsidRPr="004622FC">
        <w:rPr>
          <w:i/>
          <w:lang w:val="en-IE"/>
        </w:rPr>
        <w:t>AP</w:t>
      </w:r>
      <w:r w:rsidR="00C924A0" w:rsidRPr="004622FC">
        <w:rPr>
          <w:lang w:val="en-IE"/>
        </w:rPr>
        <w:t xml:space="preserve"> </w:t>
      </w:r>
      <w:r w:rsidRPr="004622FC">
        <w:rPr>
          <w:lang w:val="en-IE"/>
        </w:rPr>
        <w:t>on HEYM are very small, convex (hemispherical), soft, non-mucoid and initially colourless and translucent. Colony size is initially pinpoint. It may remain at 0.25–1</w:t>
      </w:r>
      <w:r w:rsidR="00732B30" w:rsidRPr="004622FC">
        <w:rPr>
          <w:lang w:val="en-IE"/>
        </w:rPr>
        <w:t> </w:t>
      </w:r>
      <w:r w:rsidRPr="004622FC">
        <w:rPr>
          <w:lang w:val="en-IE"/>
        </w:rPr>
        <w:t>mm, and tend to remain small when colonies are numerous on a slope. Colony margins are round and even, and their surfaces are smooth and glistening. The colonies</w:t>
      </w:r>
      <w:r w:rsidRPr="002060A9">
        <w:rPr>
          <w:lang w:val="en-IE"/>
        </w:rPr>
        <w:t xml:space="preserve"> become bigger more raised, opaque, off-white cream to buff or beige coloured as incubation continues. Older isolated colonies may reach 2</w:t>
      </w:r>
      <w:r w:rsidR="00732B30">
        <w:rPr>
          <w:lang w:val="en-IE"/>
        </w:rPr>
        <w:t> </w:t>
      </w:r>
      <w:r w:rsidRPr="002060A9">
        <w:rPr>
          <w:bCs/>
          <w:lang w:val="en-IE"/>
        </w:rPr>
        <w:t xml:space="preserve">mm. </w:t>
      </w:r>
      <w:r w:rsidRPr="002060A9">
        <w:rPr>
          <w:lang w:val="en-IE"/>
        </w:rPr>
        <w:t xml:space="preserve">The colonial morphology changes with age from smooth to rough, and from hemispherical to </w:t>
      </w:r>
      <w:proofErr w:type="spellStart"/>
      <w:r w:rsidRPr="002060A9">
        <w:rPr>
          <w:lang w:val="en-IE"/>
        </w:rPr>
        <w:t>mammilate</w:t>
      </w:r>
      <w:proofErr w:type="spellEnd"/>
      <w:r w:rsidRPr="002060A9">
        <w:rPr>
          <w:lang w:val="en-IE"/>
        </w:rPr>
        <w:t>.</w:t>
      </w:r>
    </w:p>
    <w:p w14:paraId="764659FA" w14:textId="77777777" w:rsidR="00B66F35" w:rsidRPr="002060A9" w:rsidRDefault="00B66F35" w:rsidP="00060C58">
      <w:pPr>
        <w:pStyle w:val="11Para"/>
        <w:rPr>
          <w:lang w:val="en-IE"/>
        </w:rPr>
      </w:pPr>
      <w:r w:rsidRPr="002060A9">
        <w:rPr>
          <w:lang w:val="en-IE"/>
        </w:rPr>
        <w:t xml:space="preserve">On modified 7H10 medium, colonies of the cattle strain </w:t>
      </w:r>
      <w:r w:rsidRPr="002060A9">
        <w:rPr>
          <w:bCs/>
          <w:lang w:val="en-IE"/>
        </w:rPr>
        <w:t xml:space="preserve">are </w:t>
      </w:r>
      <w:r w:rsidRPr="002060A9">
        <w:rPr>
          <w:lang w:val="en-IE"/>
        </w:rPr>
        <w:t>less convex than those on HEY</w:t>
      </w:r>
      <w:r w:rsidR="0001377A" w:rsidRPr="002060A9">
        <w:rPr>
          <w:lang w:val="en-IE"/>
        </w:rPr>
        <w:t xml:space="preserve">M, especially in aged cultures. </w:t>
      </w:r>
      <w:r w:rsidRPr="002060A9">
        <w:rPr>
          <w:lang w:val="en-IE"/>
        </w:rPr>
        <w:t xml:space="preserve">They are pinpoint to approximately </w:t>
      </w:r>
      <w:r w:rsidRPr="002060A9">
        <w:rPr>
          <w:bCs/>
          <w:lang w:val="en-IE"/>
        </w:rPr>
        <w:t xml:space="preserve">1 mm </w:t>
      </w:r>
      <w:r w:rsidRPr="002060A9">
        <w:rPr>
          <w:lang w:val="en-IE"/>
        </w:rPr>
        <w:t xml:space="preserve">in diameter and, being buff coloured, </w:t>
      </w:r>
      <w:r w:rsidRPr="002060A9">
        <w:rPr>
          <w:bCs/>
          <w:lang w:val="en-IE"/>
        </w:rPr>
        <w:t xml:space="preserve">are </w:t>
      </w:r>
      <w:r w:rsidRPr="002060A9">
        <w:rPr>
          <w:lang w:val="en-IE"/>
        </w:rPr>
        <w:t xml:space="preserve">only slightly lighter than the media. Compared with colonies of cattle strains on HEYM, those on </w:t>
      </w:r>
      <w:r w:rsidRPr="002060A9">
        <w:rPr>
          <w:bCs/>
          <w:lang w:val="en-IE"/>
        </w:rPr>
        <w:t xml:space="preserve">7H10 </w:t>
      </w:r>
      <w:r w:rsidRPr="002060A9">
        <w:rPr>
          <w:lang w:val="en-IE"/>
        </w:rPr>
        <w:t xml:space="preserve">are more difficult to detect. Colonies of the sheep strain of </w:t>
      </w:r>
      <w:r w:rsidR="00C924A0" w:rsidRPr="00E85A02">
        <w:rPr>
          <w:i/>
          <w:snapToGrid w:val="0"/>
          <w:lang w:val="en-IE"/>
        </w:rPr>
        <w:t>M</w:t>
      </w:r>
      <w:r w:rsidR="00C924A0" w:rsidRPr="00E85A02">
        <w:rPr>
          <w:i/>
          <w:lang w:val="en-IE"/>
        </w:rPr>
        <w:t>AP</w:t>
      </w:r>
      <w:r w:rsidR="00C924A0" w:rsidRPr="002060A9">
        <w:rPr>
          <w:lang w:val="en-IE"/>
        </w:rPr>
        <w:t xml:space="preserve"> </w:t>
      </w:r>
      <w:r w:rsidRPr="002060A9">
        <w:rPr>
          <w:lang w:val="en-IE"/>
        </w:rPr>
        <w:t xml:space="preserve">on modified 7H10 are convex, soft, moist, glistening, off-white to buff, and very similar to the colour of the media. Colonies are typically between pinpoint and 0.5 mm, but can reach 1 </w:t>
      </w:r>
      <w:r w:rsidRPr="002060A9">
        <w:rPr>
          <w:bCs/>
          <w:lang w:val="en-IE"/>
        </w:rPr>
        <w:t xml:space="preserve">mm, </w:t>
      </w:r>
      <w:r w:rsidRPr="002060A9">
        <w:rPr>
          <w:lang w:val="en-IE"/>
        </w:rPr>
        <w:t>and rarely 1.5 mm if few colonies occur on a slope</w:t>
      </w:r>
      <w:r w:rsidRPr="002060A9">
        <w:rPr>
          <w:smallCaps/>
          <w:lang w:val="en-IE"/>
        </w:rPr>
        <w:t>.</w:t>
      </w:r>
    </w:p>
    <w:p w14:paraId="03F6BF70" w14:textId="77777777" w:rsidR="00B66F35" w:rsidRPr="002060A9" w:rsidRDefault="00B66F35" w:rsidP="00060C58">
      <w:pPr>
        <w:pStyle w:val="11Para"/>
        <w:rPr>
          <w:lang w:val="en-IE"/>
        </w:rPr>
      </w:pPr>
      <w:r w:rsidRPr="002060A9">
        <w:rPr>
          <w:lang w:val="en-IE"/>
        </w:rPr>
        <w:t>Saprophytic mycobacteria may have a similar appearance on either medium but are often evident after 5–7 days.</w:t>
      </w:r>
    </w:p>
    <w:p w14:paraId="2C1AE9A8" w14:textId="77777777" w:rsidR="00B66F35" w:rsidRPr="002060A9" w:rsidRDefault="00B66F35" w:rsidP="00060C58">
      <w:pPr>
        <w:pStyle w:val="11Para"/>
        <w:rPr>
          <w:lang w:val="en-IE"/>
        </w:rPr>
      </w:pPr>
      <w:r w:rsidRPr="002060A9">
        <w:rPr>
          <w:lang w:val="en-IE"/>
        </w:rPr>
        <w:t xml:space="preserve">For identification of </w:t>
      </w:r>
      <w:r w:rsidR="00C924A0" w:rsidRPr="002060A9">
        <w:rPr>
          <w:i/>
          <w:snapToGrid w:val="0"/>
          <w:lang w:val="en-IE"/>
        </w:rPr>
        <w:t>M</w:t>
      </w:r>
      <w:r w:rsidR="00C924A0" w:rsidRPr="00E85A02">
        <w:rPr>
          <w:i/>
          <w:lang w:val="en-IE"/>
        </w:rPr>
        <w:t>AP</w:t>
      </w:r>
      <w:r w:rsidRPr="002060A9">
        <w:rPr>
          <w:i/>
          <w:lang w:val="en-IE"/>
        </w:rPr>
        <w:t xml:space="preserve">, </w:t>
      </w:r>
      <w:r w:rsidRPr="002060A9">
        <w:rPr>
          <w:lang w:val="en-IE"/>
        </w:rPr>
        <w:t xml:space="preserve">small inoculum of suspect colonies should be </w:t>
      </w:r>
      <w:proofErr w:type="spellStart"/>
      <w:r w:rsidRPr="002060A9">
        <w:rPr>
          <w:lang w:val="en-IE"/>
        </w:rPr>
        <w:t>subcultured</w:t>
      </w:r>
      <w:proofErr w:type="spellEnd"/>
      <w:r w:rsidRPr="002060A9">
        <w:rPr>
          <w:lang w:val="en-IE"/>
        </w:rPr>
        <w:t xml:space="preserve"> on the same medium with and without mycobactin, to demonstrate mycobactin dependency. Mycobactin is present in the cell wall of the organism, and heavy inoculum may contain enough mycobactin to sup</w:t>
      </w:r>
      <w:r w:rsidR="0020514E" w:rsidRPr="002060A9">
        <w:rPr>
          <w:lang w:val="en-IE"/>
        </w:rPr>
        <w:t xml:space="preserve">port the growth of </w:t>
      </w:r>
      <w:r w:rsidR="0020514E" w:rsidRPr="002060A9">
        <w:rPr>
          <w:i/>
          <w:lang w:val="en-IE"/>
        </w:rPr>
        <w:t>MAP</w:t>
      </w:r>
      <w:r w:rsidRPr="002060A9">
        <w:rPr>
          <w:lang w:val="en-IE"/>
        </w:rPr>
        <w:t xml:space="preserve"> on medium that contains no mycobactin.</w:t>
      </w:r>
      <w:r w:rsidR="00865887" w:rsidRPr="002060A9">
        <w:rPr>
          <w:lang w:val="en-IE"/>
        </w:rPr>
        <w:t xml:space="preserve"> In addition, the PCR </w:t>
      </w:r>
      <w:r w:rsidR="00766CAB" w:rsidRPr="002060A9">
        <w:rPr>
          <w:lang w:val="en-IE"/>
        </w:rPr>
        <w:t>confirmation (targeting IS</w:t>
      </w:r>
      <w:r w:rsidR="00766CAB" w:rsidRPr="002060A9">
        <w:rPr>
          <w:i/>
          <w:lang w:val="en-IE"/>
        </w:rPr>
        <w:t>900</w:t>
      </w:r>
      <w:r w:rsidR="00766CAB" w:rsidRPr="002060A9">
        <w:rPr>
          <w:lang w:val="en-IE"/>
        </w:rPr>
        <w:t xml:space="preserve"> or F57) should be </w:t>
      </w:r>
      <w:r w:rsidR="00865887" w:rsidRPr="002060A9">
        <w:rPr>
          <w:lang w:val="en-IE"/>
        </w:rPr>
        <w:t xml:space="preserve">used to confirm the identification of </w:t>
      </w:r>
      <w:r w:rsidR="00865887" w:rsidRPr="00E85A02">
        <w:rPr>
          <w:i/>
          <w:lang w:val="en-IE"/>
        </w:rPr>
        <w:t>MAP</w:t>
      </w:r>
      <w:r w:rsidR="00865887" w:rsidRPr="002060A9">
        <w:rPr>
          <w:lang w:val="en-IE"/>
        </w:rPr>
        <w:t xml:space="preserve"> isolates.</w:t>
      </w:r>
    </w:p>
    <w:p w14:paraId="1F828DD4" w14:textId="77777777" w:rsidR="00B66F35" w:rsidRPr="002060A9" w:rsidRDefault="00060C58" w:rsidP="00060C58">
      <w:pPr>
        <w:pStyle w:val="111"/>
        <w:rPr>
          <w:lang w:val="en-IE"/>
        </w:rPr>
      </w:pPr>
      <w:r w:rsidRPr="002060A9">
        <w:rPr>
          <w:lang w:val="en-IE"/>
        </w:rPr>
        <w:t>1.3.1.</w:t>
      </w:r>
      <w:r w:rsidR="00B66F35" w:rsidRPr="002060A9">
        <w:rPr>
          <w:lang w:val="en-IE"/>
        </w:rPr>
        <w:tab/>
        <w:t>Media</w:t>
      </w:r>
    </w:p>
    <w:p w14:paraId="6E87AF8A" w14:textId="77777777" w:rsidR="00B66F35" w:rsidRPr="002060A9" w:rsidRDefault="00B66F35" w:rsidP="00060C58">
      <w:pPr>
        <w:pStyle w:val="111Para"/>
        <w:rPr>
          <w:lang w:val="en-IE"/>
        </w:rPr>
      </w:pPr>
      <w:r w:rsidRPr="002060A9">
        <w:rPr>
          <w:lang w:val="en-IE"/>
        </w:rPr>
        <w:t xml:space="preserve">Examples of suitable media are: </w:t>
      </w:r>
    </w:p>
    <w:p w14:paraId="666643CE" w14:textId="77777777" w:rsidR="00B66F35" w:rsidRPr="002060A9" w:rsidRDefault="00B66F35" w:rsidP="00060C58">
      <w:pPr>
        <w:pStyle w:val="i"/>
        <w:rPr>
          <w:lang w:val="en-IE"/>
        </w:rPr>
      </w:pPr>
      <w:proofErr w:type="spellStart"/>
      <w:r w:rsidRPr="002060A9">
        <w:rPr>
          <w:lang w:val="en-IE"/>
        </w:rPr>
        <w:t>i</w:t>
      </w:r>
      <w:proofErr w:type="spellEnd"/>
      <w:r w:rsidRPr="002060A9">
        <w:rPr>
          <w:lang w:val="en-IE"/>
        </w:rPr>
        <w:t>)</w:t>
      </w:r>
      <w:r w:rsidRPr="002060A9">
        <w:rPr>
          <w:lang w:val="en-IE"/>
        </w:rPr>
        <w:tab/>
      </w:r>
      <w:proofErr w:type="spellStart"/>
      <w:r w:rsidRPr="002060A9">
        <w:rPr>
          <w:lang w:val="en-IE"/>
        </w:rPr>
        <w:t>Herrold’s</w:t>
      </w:r>
      <w:proofErr w:type="spellEnd"/>
      <w:r w:rsidRPr="002060A9">
        <w:rPr>
          <w:lang w:val="en-IE"/>
        </w:rPr>
        <w:t xml:space="preserve"> egg yolk medium with mycobactin</w:t>
      </w:r>
      <w:r w:rsidR="00060C58" w:rsidRPr="002060A9">
        <w:rPr>
          <w:lang w:val="en-IE"/>
        </w:rPr>
        <w:t xml:space="preserve"> </w:t>
      </w:r>
    </w:p>
    <w:p w14:paraId="7C442DA5" w14:textId="77777777" w:rsidR="00B66F35" w:rsidRPr="002060A9" w:rsidRDefault="00B66F35" w:rsidP="00060C58">
      <w:pPr>
        <w:pStyle w:val="afourthpara"/>
        <w:rPr>
          <w:lang w:val="en-IE"/>
        </w:rPr>
      </w:pPr>
      <w:r w:rsidRPr="002060A9">
        <w:rPr>
          <w:lang w:val="en-IE"/>
        </w:rPr>
        <w:t>For 1 litre of medium: 9 g peptone; 4.5 g sodium chloride; 2.7 g beef extract; 27 ml glycerol; 4.1 g sodium pyruvate; 15.3 g agar; 2 mg mycobactin; 870 ml distilled water; six egg yolks (120 ml); and 5.1 ml of a 2% aqueous solution of malachite green. Measure the first six ingredients and dissolve by heating in distilled water. Adjust the pH of the liquid medium to 6.9–7.0 using 4% NaOH, and test to ensure the pH of the solid phase is 7.2–7.3. Add the mycobactin dissolved in 4 ml ethyl alcohol. Autoclave at 121°C for 25 minutes. Cool to 56°C and aseptically add six sterile egg yolks</w:t>
      </w:r>
      <w:r w:rsidRPr="00D7396C">
        <w:rPr>
          <w:rStyle w:val="Appelnotedebasdep"/>
          <w:rFonts w:cs="Arial"/>
          <w:lang w:val="en-IE"/>
        </w:rPr>
        <w:footnoteReference w:id="4"/>
      </w:r>
      <w:r w:rsidRPr="002060A9">
        <w:rPr>
          <w:lang w:val="en-IE"/>
        </w:rPr>
        <w:t xml:space="preserve"> and sterile malachite green solution. Blend gently and dispense into sterile tubes.</w:t>
      </w:r>
    </w:p>
    <w:p w14:paraId="5E97FDCA" w14:textId="77777777" w:rsidR="00B66F35" w:rsidRPr="002060A9" w:rsidRDefault="00B66F35" w:rsidP="000D7072">
      <w:pPr>
        <w:pStyle w:val="i"/>
        <w:ind w:firstLine="1"/>
        <w:rPr>
          <w:lang w:val="en-IE"/>
        </w:rPr>
      </w:pPr>
      <w:r w:rsidRPr="002060A9">
        <w:rPr>
          <w:lang w:val="en-IE"/>
        </w:rPr>
        <w:t>It is permissible to add 50 mg chloramphenicol, 100,000 U penicillin and 50 mg amphotericin B.</w:t>
      </w:r>
    </w:p>
    <w:p w14:paraId="07F00920" w14:textId="77777777" w:rsidR="00B66F35" w:rsidRPr="002060A9" w:rsidRDefault="00B66F35" w:rsidP="00717BE4">
      <w:pPr>
        <w:pStyle w:val="i"/>
        <w:rPr>
          <w:i/>
          <w:lang w:val="en-IE"/>
        </w:rPr>
      </w:pPr>
      <w:r w:rsidRPr="002060A9">
        <w:rPr>
          <w:lang w:val="en-IE"/>
        </w:rPr>
        <w:t>ii)</w:t>
      </w:r>
      <w:r w:rsidRPr="002060A9">
        <w:rPr>
          <w:lang w:val="en-IE"/>
        </w:rPr>
        <w:tab/>
      </w:r>
      <w:r w:rsidRPr="002060A9">
        <w:rPr>
          <w:i/>
          <w:lang w:val="en-IE"/>
        </w:rPr>
        <w:t>Modified Dubos’s medium</w:t>
      </w:r>
      <w:r w:rsidR="00060C58" w:rsidRPr="002060A9">
        <w:rPr>
          <w:i/>
          <w:lang w:val="en-IE"/>
        </w:rPr>
        <w:t xml:space="preserve"> </w:t>
      </w:r>
    </w:p>
    <w:p w14:paraId="1E9AC2D4" w14:textId="46B581EC" w:rsidR="00B66F35" w:rsidRPr="002060A9" w:rsidRDefault="00B66F35" w:rsidP="00060C58">
      <w:pPr>
        <w:pStyle w:val="afourthpara"/>
        <w:rPr>
          <w:lang w:val="en-IE"/>
        </w:rPr>
      </w:pPr>
      <w:r w:rsidRPr="002060A9">
        <w:rPr>
          <w:lang w:val="en-IE"/>
        </w:rPr>
        <w:t xml:space="preserve">For 1 litre of medium: 2.5 g casamino acids; 0.3 g asparagine; 2.5 g anhydrous disodium hydrogen phosphate; 1 g potassium dihydrogen phosphate; 1.5 g sodium citrate; 0.6 g </w:t>
      </w:r>
      <w:r w:rsidRPr="002060A9">
        <w:rPr>
          <w:lang w:val="en-IE"/>
        </w:rPr>
        <w:lastRenderedPageBreak/>
        <w:t>crystalline magnesium sulphate; 25 ml glycerol; 50 ml of a 1% solution of Tween 80; and 15</w:t>
      </w:r>
      <w:r w:rsidR="00B6500D">
        <w:rPr>
          <w:lang w:val="en-IE"/>
        </w:rPr>
        <w:t> </w:t>
      </w:r>
      <w:r w:rsidRPr="002060A9">
        <w:rPr>
          <w:lang w:val="en-IE"/>
        </w:rPr>
        <w:t>g agar. Dissolve each salt in distilled water with minimum heat and make up to 800</w:t>
      </w:r>
      <w:r w:rsidR="004B2056" w:rsidRPr="002060A9">
        <w:rPr>
          <w:lang w:val="en-IE"/>
        </w:rPr>
        <w:t> </w:t>
      </w:r>
      <w:r w:rsidRPr="002060A9">
        <w:rPr>
          <w:lang w:val="en-IE"/>
        </w:rPr>
        <w:t>ml. Add mycobactin in alcoholic solution at 0.05% (2 mg dissolved in 4 ml ethyl alcohol), heat the medium to 100°C by free-steaming, and then sterilise by autoclaving at 115°C for 15 minutes. Cool to 56°C in a water bath, add antibiotics (100,000 U penicillin; 50 mg chloramphenicol; and 50 mg amphotericin B) and serum (200 ml of bovine serum sterilised by filtering through a Seitz ‘EX’ pad and inactivated by heat at 56°C for 1 hour). The medium is kept thoroughly mixed and then dispensed into sterile tubes. An advantage of this medium is that it is transparent, which facilitates the early detection of colonies.</w:t>
      </w:r>
    </w:p>
    <w:p w14:paraId="32310D51" w14:textId="77777777" w:rsidR="00653764" w:rsidRPr="002060A9" w:rsidRDefault="00653764" w:rsidP="004743EE">
      <w:pPr>
        <w:pStyle w:val="i"/>
        <w:rPr>
          <w:lang w:val="en-IE"/>
        </w:rPr>
      </w:pPr>
      <w:r w:rsidRPr="002060A9">
        <w:rPr>
          <w:lang w:val="en-IE"/>
        </w:rPr>
        <w:t>iii)</w:t>
      </w:r>
      <w:r w:rsidRPr="002060A9">
        <w:rPr>
          <w:lang w:val="en-IE"/>
        </w:rPr>
        <w:tab/>
        <w:t>Modified Middlebrook 7H10 and 7H9</w:t>
      </w:r>
    </w:p>
    <w:p w14:paraId="1ED8AF26" w14:textId="77777777" w:rsidR="007837F2" w:rsidRPr="002060A9" w:rsidRDefault="007837F2" w:rsidP="004743EE">
      <w:pPr>
        <w:pStyle w:val="afourthpara"/>
        <w:rPr>
          <w:lang w:val="en-IE"/>
        </w:rPr>
      </w:pPr>
      <w:r w:rsidRPr="002060A9">
        <w:rPr>
          <w:lang w:val="en-IE"/>
        </w:rPr>
        <w:t>Middlebrook media with added Mycobactin and various commercially available supplements can be used. Further advice on formulation can be obtained from the OIE Reference Laboratories.</w:t>
      </w:r>
    </w:p>
    <w:p w14:paraId="79C40CA8" w14:textId="77777777" w:rsidR="00B66F35" w:rsidRPr="002060A9" w:rsidRDefault="00C95580" w:rsidP="004D2ACF">
      <w:pPr>
        <w:pStyle w:val="i"/>
        <w:spacing w:after="240"/>
        <w:rPr>
          <w:lang w:val="en-IE"/>
        </w:rPr>
      </w:pPr>
      <w:r w:rsidRPr="002060A9">
        <w:rPr>
          <w:lang w:val="en-IE"/>
        </w:rPr>
        <w:t>iv</w:t>
      </w:r>
      <w:r w:rsidR="00B66F35" w:rsidRPr="002060A9">
        <w:rPr>
          <w:lang w:val="en-IE"/>
        </w:rPr>
        <w:t>)</w:t>
      </w:r>
      <w:r w:rsidR="00B66F35" w:rsidRPr="002060A9">
        <w:rPr>
          <w:lang w:val="en-IE"/>
        </w:rPr>
        <w:tab/>
      </w:r>
      <w:proofErr w:type="spellStart"/>
      <w:r w:rsidR="00B66F35" w:rsidRPr="002060A9">
        <w:rPr>
          <w:i/>
          <w:iCs/>
          <w:lang w:val="en-IE"/>
        </w:rPr>
        <w:t>Löwenstein</w:t>
      </w:r>
      <w:proofErr w:type="spellEnd"/>
      <w:r w:rsidR="00B66F35" w:rsidRPr="002060A9">
        <w:rPr>
          <w:i/>
          <w:iCs/>
          <w:lang w:val="en-IE"/>
        </w:rPr>
        <w:t>–Jensen medium</w:t>
      </w:r>
      <w:r w:rsidR="00B66F35" w:rsidRPr="002060A9">
        <w:rPr>
          <w:i/>
          <w:lang w:val="en-IE"/>
        </w:rPr>
        <w:t xml:space="preserve"> with or without mycobactin</w:t>
      </w:r>
      <w:r w:rsidR="00060C58" w:rsidRPr="002060A9">
        <w:rPr>
          <w:i/>
          <w:lang w:val="en-IE"/>
        </w:rPr>
        <w:t xml:space="preserve"> </w:t>
      </w:r>
    </w:p>
    <w:p w14:paraId="712690A6" w14:textId="77777777" w:rsidR="00B66F35" w:rsidRPr="002060A9" w:rsidRDefault="00060C58" w:rsidP="00060C58">
      <w:pPr>
        <w:pStyle w:val="111"/>
        <w:rPr>
          <w:lang w:val="en-IE"/>
        </w:rPr>
      </w:pPr>
      <w:r w:rsidRPr="002060A9">
        <w:rPr>
          <w:lang w:val="en-IE"/>
        </w:rPr>
        <w:t>1.3.2.</w:t>
      </w:r>
      <w:r w:rsidR="00B66F35" w:rsidRPr="002060A9">
        <w:rPr>
          <w:lang w:val="en-IE"/>
        </w:rPr>
        <w:tab/>
        <w:t>Sample preparation</w:t>
      </w:r>
    </w:p>
    <w:p w14:paraId="6F8827D0" w14:textId="77777777" w:rsidR="00B66F35" w:rsidRPr="002060A9" w:rsidRDefault="00060C58" w:rsidP="00060C58">
      <w:pPr>
        <w:pStyle w:val="i"/>
        <w:rPr>
          <w:lang w:val="en-IE"/>
        </w:rPr>
      </w:pPr>
      <w:proofErr w:type="spellStart"/>
      <w:r w:rsidRPr="002060A9">
        <w:rPr>
          <w:lang w:val="en-IE"/>
        </w:rPr>
        <w:t>i</w:t>
      </w:r>
      <w:proofErr w:type="spellEnd"/>
      <w:r w:rsidRPr="002060A9">
        <w:rPr>
          <w:lang w:val="en-IE"/>
        </w:rPr>
        <w:t>)</w:t>
      </w:r>
      <w:r w:rsidR="00B66F35" w:rsidRPr="002060A9">
        <w:rPr>
          <w:lang w:val="en-IE"/>
        </w:rPr>
        <w:tab/>
        <w:t>Processing tissue specimens</w:t>
      </w:r>
    </w:p>
    <w:p w14:paraId="556C4BF9" w14:textId="77777777" w:rsidR="00B66F35" w:rsidRPr="002060A9" w:rsidRDefault="00B66F35" w:rsidP="00846008">
      <w:pPr>
        <w:pStyle w:val="afourthpara"/>
        <w:rPr>
          <w:lang w:val="en-IE"/>
        </w:rPr>
      </w:pPr>
      <w:r w:rsidRPr="002060A9">
        <w:rPr>
          <w:lang w:val="en-IE"/>
        </w:rPr>
        <w:t>Chemical preservatives should not be used. The tissues can be frozen at –</w:t>
      </w:r>
      <w:r w:rsidR="001443FF" w:rsidRPr="002060A9">
        <w:rPr>
          <w:lang w:val="en-IE"/>
        </w:rPr>
        <w:t>7</w:t>
      </w:r>
      <w:r w:rsidRPr="002060A9">
        <w:rPr>
          <w:lang w:val="en-IE"/>
        </w:rPr>
        <w:t>0°C.</w:t>
      </w:r>
    </w:p>
    <w:p w14:paraId="36AB8193" w14:textId="77777777" w:rsidR="00B66F35" w:rsidRPr="002060A9" w:rsidRDefault="00B66F35" w:rsidP="00846008">
      <w:pPr>
        <w:pStyle w:val="afourthpara"/>
        <w:rPr>
          <w:lang w:val="en-IE"/>
        </w:rPr>
      </w:pPr>
      <w:r w:rsidRPr="002060A9">
        <w:rPr>
          <w:lang w:val="en-IE"/>
        </w:rPr>
        <w:t>To avoid contamination, the faeces should be rinsed from portions of intestinal tract before shipment to the laboratory.</w:t>
      </w:r>
    </w:p>
    <w:p w14:paraId="6C96B061" w14:textId="77777777" w:rsidR="00B66F35" w:rsidRPr="002060A9" w:rsidRDefault="00060C58" w:rsidP="00846008">
      <w:pPr>
        <w:pStyle w:val="ififthlevel"/>
        <w:rPr>
          <w:lang w:val="en-IE"/>
        </w:rPr>
      </w:pPr>
      <w:r w:rsidRPr="002060A9">
        <w:rPr>
          <w:lang w:val="en-IE"/>
        </w:rPr>
        <w:t>a</w:t>
      </w:r>
      <w:r w:rsidR="00B66F35" w:rsidRPr="002060A9">
        <w:rPr>
          <w:lang w:val="en-IE"/>
        </w:rPr>
        <w:t>)</w:t>
      </w:r>
      <w:r w:rsidR="00B66F35" w:rsidRPr="002060A9">
        <w:rPr>
          <w:lang w:val="en-IE"/>
        </w:rPr>
        <w:tab/>
        <w:t>Digestion/sedimentation method for decontamination of tissues</w:t>
      </w:r>
    </w:p>
    <w:p w14:paraId="6BF95A1E" w14:textId="77777777" w:rsidR="00B66F35" w:rsidRPr="002060A9" w:rsidRDefault="00B66F35" w:rsidP="00846008">
      <w:pPr>
        <w:pStyle w:val="ififthpara"/>
        <w:rPr>
          <w:lang w:val="en-IE"/>
        </w:rPr>
      </w:pPr>
      <w:r w:rsidRPr="002060A9">
        <w:rPr>
          <w:lang w:val="en-IE"/>
        </w:rPr>
        <w:t xml:space="preserve">Approximately 4 g of mucosa from the </w:t>
      </w:r>
      <w:proofErr w:type="spellStart"/>
      <w:r w:rsidRPr="002060A9">
        <w:rPr>
          <w:lang w:val="en-IE"/>
        </w:rPr>
        <w:t>ileocaecal</w:t>
      </w:r>
      <w:proofErr w:type="spellEnd"/>
      <w:r w:rsidRPr="002060A9">
        <w:rPr>
          <w:lang w:val="en-IE"/>
        </w:rPr>
        <w:t xml:space="preserve"> valve or 4 g of mesenteric node are placed in a sterile blender jar containing 50 ml of trypsin (2.5%). The mixture is adjusted to neutrality using 4% NaOH and pH paper, and stirred for 30 minutes at room temperature on a magnetic mixer. The digested mixture is filtered through gauze. The filtrate is centrifuged at approximately 2000–3000 </w:t>
      </w:r>
      <w:r w:rsidRPr="00A6440F">
        <w:rPr>
          <w:b/>
          <w:i/>
          <w:lang w:val="en-IE"/>
        </w:rPr>
        <w:t>g</w:t>
      </w:r>
      <w:r w:rsidRPr="002060A9">
        <w:rPr>
          <w:lang w:val="en-IE"/>
        </w:rPr>
        <w:t xml:space="preserve"> for 30 minutes. The supernatant fluid is poured off and discarded. The sediment is resuspended in 20 ml of 0.75% HPC and allowed to stand undisturbed for 18 hours at room temperature. The particles that settle to the bottom of the tube are to be used as the inoculum and are removed by pipette without disturbing the supernatant fluid. Alternatively, other methods of decontamination can be used, such as treatment with 5% oxalic acid.</w:t>
      </w:r>
    </w:p>
    <w:p w14:paraId="58032BDB" w14:textId="77777777" w:rsidR="00B66F35" w:rsidRPr="002060A9" w:rsidRDefault="00060C58" w:rsidP="00846008">
      <w:pPr>
        <w:pStyle w:val="ififthlevel"/>
        <w:rPr>
          <w:lang w:val="en-IE"/>
        </w:rPr>
      </w:pPr>
      <w:r w:rsidRPr="002060A9">
        <w:rPr>
          <w:lang w:val="en-IE"/>
        </w:rPr>
        <w:t>b</w:t>
      </w:r>
      <w:r w:rsidR="00B66F35" w:rsidRPr="002060A9">
        <w:rPr>
          <w:lang w:val="en-IE"/>
        </w:rPr>
        <w:t>)</w:t>
      </w:r>
      <w:r w:rsidR="00B66F35" w:rsidRPr="002060A9">
        <w:rPr>
          <w:lang w:val="en-IE"/>
        </w:rPr>
        <w:tab/>
        <w:t>Double incubation method for decontamination of tissues</w:t>
      </w:r>
      <w:r w:rsidR="00846008" w:rsidRPr="002060A9">
        <w:rPr>
          <w:lang w:val="en-IE"/>
        </w:rPr>
        <w:t xml:space="preserve"> </w:t>
      </w:r>
    </w:p>
    <w:p w14:paraId="0CB64D40" w14:textId="46E7C691" w:rsidR="00B66F35" w:rsidRPr="002060A9" w:rsidRDefault="00B66F35" w:rsidP="00846008">
      <w:pPr>
        <w:pStyle w:val="ififthpara"/>
        <w:rPr>
          <w:lang w:val="en-IE"/>
        </w:rPr>
      </w:pPr>
      <w:r w:rsidRPr="002060A9">
        <w:rPr>
          <w:lang w:val="en-IE"/>
        </w:rPr>
        <w:t xml:space="preserve">About 2 g of tissue sample (trimmed of fat) is finely chopped using a sterile scalpel blade or scissors and homogenised in a stomacher for </w:t>
      </w:r>
      <w:r w:rsidRPr="002060A9">
        <w:rPr>
          <w:bCs/>
          <w:lang w:val="en-IE"/>
        </w:rPr>
        <w:t xml:space="preserve">1 </w:t>
      </w:r>
      <w:r w:rsidRPr="002060A9">
        <w:rPr>
          <w:lang w:val="en-IE"/>
        </w:rPr>
        <w:t xml:space="preserve">minute in 25 </w:t>
      </w:r>
      <w:r w:rsidRPr="002060A9">
        <w:rPr>
          <w:bCs/>
          <w:lang w:val="en-IE"/>
        </w:rPr>
        <w:t>ml</w:t>
      </w:r>
      <w:r w:rsidRPr="002060A9">
        <w:rPr>
          <w:lang w:val="en-IE"/>
        </w:rPr>
        <w:t xml:space="preserve"> 0.75% HPC. Allow the sample to stand so that foam dissipates and larger pieces of tissue settle. Pour tissue homogenate into a centrifuge tube taking care to avoid carry over of fat or large tissue pieces. Allow to settle for 30 minutes then take 10 </w:t>
      </w:r>
      <w:r w:rsidRPr="002060A9">
        <w:rPr>
          <w:bCs/>
          <w:lang w:val="en-IE"/>
        </w:rPr>
        <w:t>ml</w:t>
      </w:r>
      <w:r w:rsidRPr="002060A9">
        <w:rPr>
          <w:lang w:val="en-IE"/>
        </w:rPr>
        <w:t xml:space="preserve"> of the suspension from just above the sediment to a 30 ml tube and incubate for 3 hours at 37°C. Centrifuge for 30 minutes at 900 </w:t>
      </w:r>
      <w:r w:rsidRPr="002060A9">
        <w:rPr>
          <w:b/>
          <w:bCs/>
          <w:i/>
          <w:iCs/>
          <w:lang w:val="en-IE"/>
        </w:rPr>
        <w:t>g</w:t>
      </w:r>
      <w:r w:rsidRPr="002060A9">
        <w:rPr>
          <w:lang w:val="en-IE"/>
        </w:rPr>
        <w:t>, discard supernatant fluid and resuspend pellet in 1</w:t>
      </w:r>
      <w:r w:rsidR="00B6500D">
        <w:rPr>
          <w:lang w:val="en-IE"/>
        </w:rPr>
        <w:t> </w:t>
      </w:r>
      <w:r w:rsidRPr="002060A9">
        <w:rPr>
          <w:lang w:val="en-IE"/>
        </w:rPr>
        <w:t>ml a</w:t>
      </w:r>
      <w:r w:rsidRPr="002060A9">
        <w:rPr>
          <w:snapToGrid w:val="0"/>
          <w:lang w:val="en-IE"/>
        </w:rPr>
        <w:t xml:space="preserve">ntibiotic cocktail </w:t>
      </w:r>
      <w:r w:rsidRPr="002060A9">
        <w:rPr>
          <w:lang w:val="en-IE"/>
        </w:rPr>
        <w:t>containing 100 µg of each of vancomycin, amphotericin and nalidixic acid (VAN). Incubate overnight at 37°C. Use the suspension to inoculate media as described below.</w:t>
      </w:r>
    </w:p>
    <w:p w14:paraId="48BE37D0" w14:textId="77777777" w:rsidR="00B66F35" w:rsidRPr="002060A9" w:rsidRDefault="00060C58" w:rsidP="00846008">
      <w:pPr>
        <w:pStyle w:val="ififthlevel"/>
        <w:rPr>
          <w:lang w:val="en-IE"/>
        </w:rPr>
      </w:pPr>
      <w:r w:rsidRPr="002060A9">
        <w:rPr>
          <w:lang w:val="en-IE"/>
        </w:rPr>
        <w:t>c</w:t>
      </w:r>
      <w:r w:rsidR="00B66F35" w:rsidRPr="002060A9">
        <w:rPr>
          <w:lang w:val="en-IE"/>
        </w:rPr>
        <w:t>)</w:t>
      </w:r>
      <w:r w:rsidR="00B66F35" w:rsidRPr="002060A9">
        <w:rPr>
          <w:lang w:val="en-IE"/>
        </w:rPr>
        <w:tab/>
        <w:t>Inoculation of culture media and incubation</w:t>
      </w:r>
    </w:p>
    <w:p w14:paraId="446FFCCE" w14:textId="77777777" w:rsidR="00B66F35" w:rsidRPr="002060A9" w:rsidRDefault="00B66F35" w:rsidP="00846008">
      <w:pPr>
        <w:pStyle w:val="ififthpara"/>
        <w:rPr>
          <w:lang w:val="en-IE"/>
        </w:rPr>
      </w:pPr>
      <w:r w:rsidRPr="002060A9">
        <w:rPr>
          <w:lang w:val="en-IE"/>
        </w:rPr>
        <w:t xml:space="preserve">Approximately 0.1 ml of inoculum is transferred to each of three slants of </w:t>
      </w:r>
      <w:proofErr w:type="spellStart"/>
      <w:r w:rsidRPr="002060A9">
        <w:rPr>
          <w:lang w:val="en-IE"/>
        </w:rPr>
        <w:t>Herrold’s</w:t>
      </w:r>
      <w:proofErr w:type="spellEnd"/>
      <w:r w:rsidRPr="002060A9">
        <w:rPr>
          <w:lang w:val="en-IE"/>
        </w:rPr>
        <w:t xml:space="preserve"> medium containing mycobactin and to one slant of </w:t>
      </w:r>
      <w:proofErr w:type="spellStart"/>
      <w:r w:rsidRPr="002060A9">
        <w:rPr>
          <w:lang w:val="en-IE"/>
        </w:rPr>
        <w:t>Herrold’s</w:t>
      </w:r>
      <w:proofErr w:type="spellEnd"/>
      <w:r w:rsidRPr="002060A9">
        <w:rPr>
          <w:lang w:val="en-IE"/>
        </w:rPr>
        <w:t xml:space="preserve"> medium without mycobactin. The inoculum is distributed evenly over the surface of the slants. The tubes are allowed to remain in a slanted position at 37°C for approximately 1 week with screw caps loose. The tubes are returned to a vertical position when the free moisture has evaporated from the slants. The lids are tightened and the tubes are placed in baskets in an incubator at 37°C.</w:t>
      </w:r>
    </w:p>
    <w:p w14:paraId="1742474D" w14:textId="77777777" w:rsidR="00B66F35" w:rsidRPr="002060A9" w:rsidRDefault="00B66F35" w:rsidP="00846008">
      <w:pPr>
        <w:pStyle w:val="ififthpara"/>
        <w:rPr>
          <w:lang w:val="en-IE"/>
        </w:rPr>
      </w:pPr>
      <w:r w:rsidRPr="002060A9">
        <w:rPr>
          <w:lang w:val="en-IE"/>
        </w:rPr>
        <w:t xml:space="preserve">The egg in </w:t>
      </w:r>
      <w:proofErr w:type="spellStart"/>
      <w:r w:rsidRPr="002060A9">
        <w:rPr>
          <w:lang w:val="en-IE"/>
        </w:rPr>
        <w:t>Herrold’s</w:t>
      </w:r>
      <w:proofErr w:type="spellEnd"/>
      <w:r w:rsidRPr="002060A9">
        <w:rPr>
          <w:lang w:val="en-IE"/>
        </w:rPr>
        <w:t xml:space="preserve"> medium contributes sufficient phospholipids to neutralise the bactericidal activity of residual HPC in the inoculum. The other media (Modified Dubos and Middlebrook) do not have this property. Other treatments can be used for sample decontamination, for example oxalic acid at 5%.</w:t>
      </w:r>
    </w:p>
    <w:p w14:paraId="64B60DFE" w14:textId="77777777" w:rsidR="00B66F35" w:rsidRPr="002060A9" w:rsidRDefault="00B66F35" w:rsidP="00846008">
      <w:pPr>
        <w:pStyle w:val="ififthpara"/>
        <w:rPr>
          <w:lang w:val="en-IE"/>
        </w:rPr>
      </w:pPr>
      <w:r w:rsidRPr="002060A9">
        <w:rPr>
          <w:lang w:val="en-IE"/>
        </w:rPr>
        <w:lastRenderedPageBreak/>
        <w:t xml:space="preserve">HPC is relatively ineffective in controlling the growth of contaminating fungi. Amphotericin B (fungizone) was found to control effectively fungal overgrowth of inoculated media. Fungizone may be incorporated in the </w:t>
      </w:r>
      <w:proofErr w:type="spellStart"/>
      <w:r w:rsidRPr="002060A9">
        <w:rPr>
          <w:lang w:val="en-IE"/>
        </w:rPr>
        <w:t>Herrold’s</w:t>
      </w:r>
      <w:proofErr w:type="spellEnd"/>
      <w:r w:rsidRPr="002060A9">
        <w:rPr>
          <w:lang w:val="en-IE"/>
        </w:rPr>
        <w:t xml:space="preserve"> medium at a final concentration of 50 µg per ml of medium. Due to loss of antifungal activity, storage of </w:t>
      </w:r>
      <w:proofErr w:type="spellStart"/>
      <w:r w:rsidRPr="002060A9">
        <w:rPr>
          <w:lang w:val="en-IE"/>
        </w:rPr>
        <w:t>Herrold’s</w:t>
      </w:r>
      <w:proofErr w:type="spellEnd"/>
      <w:r w:rsidRPr="002060A9">
        <w:rPr>
          <w:lang w:val="en-IE"/>
        </w:rPr>
        <w:t xml:space="preserve"> medium containing fungizone should be limited to 1 month at 4°C.</w:t>
      </w:r>
    </w:p>
    <w:p w14:paraId="3743ABE1" w14:textId="77777777" w:rsidR="00B66F35" w:rsidRPr="002060A9" w:rsidRDefault="00B66F35" w:rsidP="00846008">
      <w:pPr>
        <w:pStyle w:val="ififthpara"/>
        <w:rPr>
          <w:lang w:val="en-IE"/>
        </w:rPr>
      </w:pPr>
      <w:r w:rsidRPr="002060A9">
        <w:rPr>
          <w:lang w:val="en-IE"/>
        </w:rPr>
        <w:t>The slants are incubated for at least 4 months and observed weekly from the sixth week onwards.</w:t>
      </w:r>
    </w:p>
    <w:p w14:paraId="3A25B214" w14:textId="77777777" w:rsidR="00B66F35" w:rsidRPr="002060A9" w:rsidRDefault="00060C58" w:rsidP="00060C58">
      <w:pPr>
        <w:pStyle w:val="i"/>
        <w:rPr>
          <w:lang w:val="en-IE"/>
        </w:rPr>
      </w:pPr>
      <w:r w:rsidRPr="002060A9">
        <w:rPr>
          <w:lang w:val="en-IE"/>
        </w:rPr>
        <w:t>ii)</w:t>
      </w:r>
      <w:r w:rsidR="00B66F35" w:rsidRPr="002060A9">
        <w:rPr>
          <w:lang w:val="en-IE"/>
        </w:rPr>
        <w:tab/>
        <w:t>Processing faecal specimens</w:t>
      </w:r>
    </w:p>
    <w:p w14:paraId="532D6CDA" w14:textId="77777777" w:rsidR="00B66F35" w:rsidRPr="002060A9" w:rsidRDefault="00B66F35" w:rsidP="00846008">
      <w:pPr>
        <w:pStyle w:val="afourthpara"/>
        <w:rPr>
          <w:lang w:val="en-IE"/>
        </w:rPr>
      </w:pPr>
      <w:r w:rsidRPr="002060A9">
        <w:rPr>
          <w:lang w:val="en-IE"/>
        </w:rPr>
        <w:t>No chemical preservative is used. The faecal specimens can be frozen at –70°C.</w:t>
      </w:r>
    </w:p>
    <w:p w14:paraId="10B5BAE5" w14:textId="77777777" w:rsidR="00B66F35" w:rsidRPr="002060A9" w:rsidRDefault="00060C58" w:rsidP="00846008">
      <w:pPr>
        <w:pStyle w:val="ififthlevel"/>
        <w:rPr>
          <w:lang w:val="en-IE"/>
        </w:rPr>
      </w:pPr>
      <w:r w:rsidRPr="002060A9">
        <w:rPr>
          <w:lang w:val="en-IE"/>
        </w:rPr>
        <w:t>a</w:t>
      </w:r>
      <w:r w:rsidR="00B66F35" w:rsidRPr="002060A9">
        <w:rPr>
          <w:lang w:val="en-IE"/>
        </w:rPr>
        <w:t>)</w:t>
      </w:r>
      <w:r w:rsidR="00B66F35" w:rsidRPr="002060A9">
        <w:rPr>
          <w:lang w:val="en-IE"/>
        </w:rPr>
        <w:tab/>
        <w:t>Suspension and decontamination of faeces</w:t>
      </w:r>
    </w:p>
    <w:p w14:paraId="26CF928C" w14:textId="77777777" w:rsidR="00B66F35" w:rsidRPr="002060A9" w:rsidRDefault="00B66F35" w:rsidP="00846008">
      <w:pPr>
        <w:pStyle w:val="ififthpara"/>
        <w:rPr>
          <w:lang w:val="en-IE"/>
        </w:rPr>
      </w:pPr>
      <w:r w:rsidRPr="002060A9">
        <w:rPr>
          <w:lang w:val="en-IE"/>
        </w:rPr>
        <w:t xml:space="preserve">1 g of faeces is transferred to a 50 ml tube containing 20 ml of sterile distilled water. The mixture is shaken for 30 minutes at room temperature. The larger particles are allowed to settle for 30 minutes. The uppermost 5 ml of faeces suspension is transferred to a 50 ml tube containing 20 ml of </w:t>
      </w:r>
      <w:r w:rsidR="00311F27" w:rsidRPr="002060A9">
        <w:rPr>
          <w:lang w:val="en-IE"/>
        </w:rPr>
        <w:t xml:space="preserve">0.95% </w:t>
      </w:r>
      <w:r w:rsidRPr="002060A9">
        <w:rPr>
          <w:lang w:val="en-IE"/>
        </w:rPr>
        <w:t>HPC. The tube is inverted several times to assure uniform distribution and allowed to stand undisturbed for 18 hours at room temperature.</w:t>
      </w:r>
    </w:p>
    <w:p w14:paraId="0435D6E9" w14:textId="77777777" w:rsidR="00B66F35" w:rsidRPr="002060A9" w:rsidRDefault="00060C58" w:rsidP="00846008">
      <w:pPr>
        <w:pStyle w:val="ififthlevel"/>
        <w:rPr>
          <w:lang w:val="en-IE"/>
        </w:rPr>
      </w:pPr>
      <w:r w:rsidRPr="002060A9">
        <w:rPr>
          <w:lang w:val="en-IE"/>
        </w:rPr>
        <w:t>b</w:t>
      </w:r>
      <w:r w:rsidR="00B66F35" w:rsidRPr="002060A9">
        <w:rPr>
          <w:lang w:val="en-IE"/>
        </w:rPr>
        <w:t>)</w:t>
      </w:r>
      <w:r w:rsidR="00B66F35" w:rsidRPr="002060A9">
        <w:rPr>
          <w:lang w:val="en-IE"/>
        </w:rPr>
        <w:tab/>
        <w:t>Inoculation of culture media</w:t>
      </w:r>
    </w:p>
    <w:p w14:paraId="20825827" w14:textId="77777777" w:rsidR="00B66F35" w:rsidRPr="002060A9" w:rsidRDefault="00B66F35" w:rsidP="00846008">
      <w:pPr>
        <w:pStyle w:val="ififthpara"/>
        <w:rPr>
          <w:lang w:val="en-IE"/>
        </w:rPr>
      </w:pPr>
      <w:r w:rsidRPr="002060A9">
        <w:rPr>
          <w:lang w:val="en-IE"/>
        </w:rPr>
        <w:t xml:space="preserve">0.1 ml of the undisturbed sediment is transferred to each of four slants of </w:t>
      </w:r>
      <w:proofErr w:type="spellStart"/>
      <w:r w:rsidRPr="002060A9">
        <w:rPr>
          <w:lang w:val="en-IE"/>
        </w:rPr>
        <w:t>Herrold’s</w:t>
      </w:r>
      <w:proofErr w:type="spellEnd"/>
      <w:r w:rsidRPr="002060A9">
        <w:rPr>
          <w:lang w:val="en-IE"/>
        </w:rPr>
        <w:t xml:space="preserve"> medium, three with mycobactin and one without mycobactin. A smear may be made from the sediment and stained by the </w:t>
      </w:r>
      <w:proofErr w:type="spellStart"/>
      <w:r w:rsidRPr="002060A9">
        <w:rPr>
          <w:lang w:val="en-IE"/>
        </w:rPr>
        <w:t>Ziehl</w:t>
      </w:r>
      <w:proofErr w:type="spellEnd"/>
      <w:r w:rsidRPr="002060A9">
        <w:rPr>
          <w:lang w:val="en-IE"/>
        </w:rPr>
        <w:t>–</w:t>
      </w:r>
      <w:proofErr w:type="spellStart"/>
      <w:r w:rsidRPr="002060A9">
        <w:rPr>
          <w:lang w:val="en-IE"/>
        </w:rPr>
        <w:t>Neelsen</w:t>
      </w:r>
      <w:proofErr w:type="spellEnd"/>
      <w:r w:rsidRPr="002060A9">
        <w:rPr>
          <w:lang w:val="en-IE"/>
        </w:rPr>
        <w:t xml:space="preserve"> method.</w:t>
      </w:r>
    </w:p>
    <w:p w14:paraId="437C89CA" w14:textId="77777777" w:rsidR="00B66F35" w:rsidRPr="002060A9" w:rsidRDefault="00060C58" w:rsidP="00846008">
      <w:pPr>
        <w:pStyle w:val="ififthlevel"/>
        <w:rPr>
          <w:lang w:val="en-IE"/>
        </w:rPr>
      </w:pPr>
      <w:r w:rsidRPr="002060A9">
        <w:rPr>
          <w:lang w:val="en-IE"/>
        </w:rPr>
        <w:t>c</w:t>
      </w:r>
      <w:r w:rsidR="00B66F35" w:rsidRPr="002060A9">
        <w:rPr>
          <w:lang w:val="en-IE"/>
        </w:rPr>
        <w:t>)</w:t>
      </w:r>
      <w:r w:rsidR="00B66F35" w:rsidRPr="002060A9">
        <w:rPr>
          <w:lang w:val="en-IE"/>
        </w:rPr>
        <w:tab/>
        <w:t>Incubation and observation of slants</w:t>
      </w:r>
    </w:p>
    <w:p w14:paraId="1BBED803" w14:textId="77777777" w:rsidR="00B66F35" w:rsidRPr="002060A9" w:rsidRDefault="00B66F35" w:rsidP="00846008">
      <w:pPr>
        <w:pStyle w:val="ififthpara"/>
        <w:rPr>
          <w:lang w:val="en-IE"/>
        </w:rPr>
      </w:pPr>
      <w:r w:rsidRPr="002060A9">
        <w:rPr>
          <w:lang w:val="en-IE"/>
        </w:rPr>
        <w:t>The same as for tissue specimens.</w:t>
      </w:r>
    </w:p>
    <w:p w14:paraId="0371A577" w14:textId="77777777" w:rsidR="00B66F35" w:rsidRPr="004622FC" w:rsidRDefault="00B66F35" w:rsidP="00846008">
      <w:pPr>
        <w:pStyle w:val="11Para"/>
        <w:rPr>
          <w:lang w:val="en-IE"/>
        </w:rPr>
      </w:pPr>
      <w:r w:rsidRPr="002060A9">
        <w:rPr>
          <w:lang w:val="en-IE"/>
        </w:rPr>
        <w:t xml:space="preserve">Variations in the above methods have been </w:t>
      </w:r>
      <w:r w:rsidRPr="004622FC">
        <w:rPr>
          <w:lang w:val="en-IE"/>
        </w:rPr>
        <w:t>described (Collins</w:t>
      </w:r>
      <w:r w:rsidRPr="004622FC">
        <w:rPr>
          <w:smallCaps/>
          <w:lang w:val="en-IE"/>
        </w:rPr>
        <w:t xml:space="preserve"> </w:t>
      </w:r>
      <w:r w:rsidRPr="004622FC">
        <w:rPr>
          <w:i/>
          <w:lang w:val="en-IE"/>
        </w:rPr>
        <w:t>et al</w:t>
      </w:r>
      <w:r w:rsidRPr="004622FC">
        <w:rPr>
          <w:lang w:val="en-IE"/>
        </w:rPr>
        <w:t xml:space="preserve">., 1990; </w:t>
      </w:r>
      <w:proofErr w:type="spellStart"/>
      <w:r w:rsidRPr="004622FC">
        <w:rPr>
          <w:lang w:val="en-IE"/>
        </w:rPr>
        <w:t>Merkal</w:t>
      </w:r>
      <w:proofErr w:type="spellEnd"/>
      <w:r w:rsidRPr="004622FC">
        <w:rPr>
          <w:lang w:val="en-IE"/>
        </w:rPr>
        <w:t xml:space="preserve"> </w:t>
      </w:r>
      <w:r w:rsidRPr="004622FC">
        <w:rPr>
          <w:i/>
          <w:lang w:val="en-IE"/>
        </w:rPr>
        <w:t>et al</w:t>
      </w:r>
      <w:r w:rsidRPr="004622FC">
        <w:rPr>
          <w:lang w:val="en-IE"/>
        </w:rPr>
        <w:t xml:space="preserve">., 1968). The sensitivity of culture may be enhanced using liquid media and with centrifugation rather than sedimentation techniques. The double incubation method described by Whitlock </w:t>
      </w:r>
      <w:r w:rsidRPr="004622FC">
        <w:rPr>
          <w:i/>
          <w:lang w:val="en-IE"/>
        </w:rPr>
        <w:t>et al</w:t>
      </w:r>
      <w:r w:rsidRPr="004622FC">
        <w:rPr>
          <w:lang w:val="en-IE"/>
        </w:rPr>
        <w:t>. (1991) assists with decontamination of the inoculum and offers higher sensitivity than the sedimentation or filtration protocols (</w:t>
      </w:r>
      <w:proofErr w:type="spellStart"/>
      <w:r w:rsidRPr="004622FC">
        <w:rPr>
          <w:lang w:val="en-IE"/>
        </w:rPr>
        <w:t>Eamens</w:t>
      </w:r>
      <w:proofErr w:type="spellEnd"/>
      <w:r w:rsidRPr="004622FC">
        <w:rPr>
          <w:lang w:val="en-IE"/>
        </w:rPr>
        <w:t xml:space="preserve"> </w:t>
      </w:r>
      <w:r w:rsidRPr="004622FC">
        <w:rPr>
          <w:i/>
          <w:lang w:val="en-IE"/>
        </w:rPr>
        <w:t>et al</w:t>
      </w:r>
      <w:r w:rsidRPr="004622FC">
        <w:rPr>
          <w:lang w:val="en-IE"/>
        </w:rPr>
        <w:t xml:space="preserve">., 2000). The double incubation method involves mixing 2 g faeces with 15 ml saline or water followed by sedimentation for 30 minutes and transferring </w:t>
      </w:r>
      <w:r w:rsidRPr="004622FC">
        <w:rPr>
          <w:bCs/>
          <w:lang w:val="en-IE"/>
        </w:rPr>
        <w:t>(</w:t>
      </w:r>
      <w:r w:rsidRPr="004622FC">
        <w:rPr>
          <w:lang w:val="en-IE"/>
        </w:rPr>
        <w:t>avoiding fibrous matter) the top 5</w:t>
      </w:r>
      <w:r w:rsidR="0009339E" w:rsidRPr="004622FC">
        <w:rPr>
          <w:lang w:val="en-IE"/>
        </w:rPr>
        <w:t> </w:t>
      </w:r>
      <w:r w:rsidRPr="004622FC">
        <w:rPr>
          <w:bCs/>
          <w:lang w:val="en-IE"/>
        </w:rPr>
        <w:t xml:space="preserve">ml </w:t>
      </w:r>
      <w:r w:rsidRPr="004622FC">
        <w:rPr>
          <w:lang w:val="en-IE"/>
        </w:rPr>
        <w:t xml:space="preserve">of the suspension to 25 ml of 0.9% HPC in half-strength brain–heart infusion. After incubating at 37°C for 16–24 hours, the mixture is centrifuged at 900 </w:t>
      </w:r>
      <w:r w:rsidRPr="004622FC">
        <w:rPr>
          <w:b/>
          <w:bCs/>
          <w:i/>
          <w:iCs/>
          <w:lang w:val="en-IE"/>
        </w:rPr>
        <w:t>g</w:t>
      </w:r>
      <w:r w:rsidRPr="004622FC">
        <w:rPr>
          <w:lang w:val="en-IE"/>
        </w:rPr>
        <w:t xml:space="preserve"> for 30 minutes (room temperature), the supernatant is discarded and pellet resuspended</w:t>
      </w:r>
      <w:r w:rsidRPr="004622FC">
        <w:rPr>
          <w:bCs/>
          <w:lang w:val="en-IE"/>
        </w:rPr>
        <w:t xml:space="preserve"> </w:t>
      </w:r>
      <w:r w:rsidRPr="004622FC">
        <w:rPr>
          <w:lang w:val="en-IE"/>
        </w:rPr>
        <w:t xml:space="preserve">in 1 </w:t>
      </w:r>
      <w:r w:rsidRPr="004622FC">
        <w:rPr>
          <w:bCs/>
          <w:lang w:val="en-IE"/>
        </w:rPr>
        <w:t>ml</w:t>
      </w:r>
      <w:r w:rsidRPr="004622FC">
        <w:rPr>
          <w:lang w:val="en-IE"/>
        </w:rPr>
        <w:t xml:space="preserve"> VAN. The mixture is incubated for 24–72</w:t>
      </w:r>
      <w:r w:rsidR="002060A9" w:rsidRPr="004622FC">
        <w:rPr>
          <w:lang w:val="en-IE"/>
        </w:rPr>
        <w:t> </w:t>
      </w:r>
      <w:r w:rsidRPr="004622FC">
        <w:rPr>
          <w:lang w:val="en-IE"/>
        </w:rPr>
        <w:t xml:space="preserve">hours at 37°C and used to inoculate media </w:t>
      </w:r>
      <w:r w:rsidRPr="004622FC">
        <w:rPr>
          <w:bCs/>
          <w:lang w:val="en-IE"/>
        </w:rPr>
        <w:t xml:space="preserve">as </w:t>
      </w:r>
      <w:r w:rsidRPr="004622FC">
        <w:rPr>
          <w:lang w:val="en-IE"/>
        </w:rPr>
        <w:t>described above</w:t>
      </w:r>
      <w:r w:rsidRPr="004622FC">
        <w:rPr>
          <w:smallCaps/>
          <w:lang w:val="en-IE"/>
        </w:rPr>
        <w:t>.</w:t>
      </w:r>
    </w:p>
    <w:p w14:paraId="39E56673" w14:textId="77777777" w:rsidR="00B66F35" w:rsidRPr="004622FC" w:rsidRDefault="00846008" w:rsidP="00846008">
      <w:pPr>
        <w:pStyle w:val="11"/>
        <w:rPr>
          <w:lang w:val="en-IE"/>
        </w:rPr>
      </w:pPr>
      <w:r w:rsidRPr="004622FC">
        <w:rPr>
          <w:lang w:val="en-IE"/>
        </w:rPr>
        <w:t>1.4.</w:t>
      </w:r>
      <w:r w:rsidRPr="004622FC">
        <w:rPr>
          <w:lang w:val="en-IE"/>
        </w:rPr>
        <w:tab/>
      </w:r>
      <w:r w:rsidR="00B66F35" w:rsidRPr="004622FC">
        <w:rPr>
          <w:lang w:val="en-IE"/>
        </w:rPr>
        <w:t>DNA probes and polymerase chain reaction</w:t>
      </w:r>
    </w:p>
    <w:p w14:paraId="309827AA" w14:textId="77777777" w:rsidR="00B66F35" w:rsidRPr="004622FC" w:rsidRDefault="00B66F35" w:rsidP="00846008">
      <w:pPr>
        <w:pStyle w:val="11Para"/>
        <w:rPr>
          <w:lang w:val="en-IE"/>
        </w:rPr>
      </w:pPr>
      <w:r w:rsidRPr="004622FC">
        <w:rPr>
          <w:lang w:val="en-IE"/>
        </w:rPr>
        <w:t xml:space="preserve">DNA probes are being developed that offer a means of detecting </w:t>
      </w:r>
      <w:r w:rsidR="00C924A0" w:rsidRPr="004622FC">
        <w:rPr>
          <w:i/>
          <w:snapToGrid w:val="0"/>
          <w:lang w:val="en-IE"/>
        </w:rPr>
        <w:t>M</w:t>
      </w:r>
      <w:r w:rsidR="00C924A0" w:rsidRPr="004622FC">
        <w:rPr>
          <w:i/>
          <w:lang w:val="en-IE"/>
        </w:rPr>
        <w:t>AP</w:t>
      </w:r>
      <w:r w:rsidR="00C924A0" w:rsidRPr="004622FC">
        <w:rPr>
          <w:lang w:val="en-IE"/>
        </w:rPr>
        <w:t xml:space="preserve"> </w:t>
      </w:r>
      <w:r w:rsidRPr="004622FC">
        <w:rPr>
          <w:lang w:val="en-IE"/>
        </w:rPr>
        <w:t xml:space="preserve">in diagnostic samples and of rapidly identifying bacterial isolates (Ellingson </w:t>
      </w:r>
      <w:r w:rsidRPr="004622FC">
        <w:rPr>
          <w:i/>
          <w:lang w:val="en-IE"/>
        </w:rPr>
        <w:t>et al</w:t>
      </w:r>
      <w:r w:rsidRPr="004622FC">
        <w:rPr>
          <w:lang w:val="en-IE"/>
        </w:rPr>
        <w:t xml:space="preserve">., 1998). They have been used to distinguish between </w:t>
      </w:r>
      <w:r w:rsidR="00C924A0" w:rsidRPr="004622FC">
        <w:rPr>
          <w:i/>
          <w:snapToGrid w:val="0"/>
          <w:lang w:val="en-IE"/>
        </w:rPr>
        <w:t>M</w:t>
      </w:r>
      <w:r w:rsidR="00C924A0" w:rsidRPr="004622FC">
        <w:rPr>
          <w:i/>
          <w:lang w:val="en-IE"/>
        </w:rPr>
        <w:t>AP</w:t>
      </w:r>
      <w:r w:rsidR="00C924A0" w:rsidRPr="004622FC">
        <w:rPr>
          <w:lang w:val="en-IE"/>
        </w:rPr>
        <w:t xml:space="preserve"> </w:t>
      </w:r>
      <w:r w:rsidRPr="004622FC">
        <w:rPr>
          <w:lang w:val="en-IE"/>
        </w:rPr>
        <w:t>and other mycobacteria.</w:t>
      </w:r>
    </w:p>
    <w:p w14:paraId="58366F16" w14:textId="749A72CA" w:rsidR="00B66F35" w:rsidRPr="004622FC" w:rsidRDefault="00B66F35" w:rsidP="00846008">
      <w:pPr>
        <w:pStyle w:val="11Para"/>
        <w:rPr>
          <w:lang w:val="en-IE"/>
        </w:rPr>
      </w:pPr>
      <w:r w:rsidRPr="004622FC">
        <w:rPr>
          <w:lang w:val="en-IE"/>
        </w:rPr>
        <w:t xml:space="preserve">McFadden </w:t>
      </w:r>
      <w:r w:rsidRPr="004622FC">
        <w:rPr>
          <w:i/>
          <w:lang w:val="en-IE"/>
        </w:rPr>
        <w:t xml:space="preserve">et al. </w:t>
      </w:r>
      <w:r w:rsidRPr="004622FC">
        <w:rPr>
          <w:lang w:val="en-IE"/>
        </w:rPr>
        <w:t xml:space="preserve">have identified a sequence (McFadden </w:t>
      </w:r>
      <w:r w:rsidRPr="004622FC">
        <w:rPr>
          <w:i/>
          <w:lang w:val="en-IE"/>
        </w:rPr>
        <w:t>et al</w:t>
      </w:r>
      <w:r w:rsidRPr="004622FC">
        <w:rPr>
          <w:lang w:val="en-IE"/>
        </w:rPr>
        <w:t>., 1987), termed IS</w:t>
      </w:r>
      <w:r w:rsidRPr="004622FC">
        <w:rPr>
          <w:i/>
          <w:iCs/>
          <w:lang w:val="en-IE"/>
        </w:rPr>
        <w:t>900</w:t>
      </w:r>
      <w:r w:rsidRPr="004622FC">
        <w:rPr>
          <w:lang w:val="en-IE"/>
        </w:rPr>
        <w:t xml:space="preserve">, which is an insertion sequence specific for </w:t>
      </w:r>
      <w:r w:rsidR="00C924A0" w:rsidRPr="004622FC">
        <w:rPr>
          <w:i/>
          <w:snapToGrid w:val="0"/>
          <w:lang w:val="en-IE"/>
        </w:rPr>
        <w:t>M</w:t>
      </w:r>
      <w:r w:rsidR="00C924A0" w:rsidRPr="004622FC">
        <w:rPr>
          <w:i/>
          <w:lang w:val="en-IE"/>
        </w:rPr>
        <w:t>AP</w:t>
      </w:r>
      <w:r w:rsidR="00001C75" w:rsidRPr="00412F26">
        <w:rPr>
          <w:i/>
          <w:u w:val="double"/>
          <w:lang w:val="en-IE"/>
        </w:rPr>
        <w:t xml:space="preserve"> </w:t>
      </w:r>
      <w:r w:rsidR="00001C75" w:rsidRPr="00412F26">
        <w:rPr>
          <w:iCs/>
          <w:highlight w:val="yellow"/>
          <w:u w:val="double"/>
          <w:lang w:val="en-IE"/>
        </w:rPr>
        <w:t>(Var</w:t>
      </w:r>
      <w:r w:rsidR="00E8626C" w:rsidRPr="00412F26">
        <w:rPr>
          <w:iCs/>
          <w:highlight w:val="yellow"/>
          <w:u w:val="double"/>
          <w:lang w:val="en-IE"/>
        </w:rPr>
        <w:t xml:space="preserve">y </w:t>
      </w:r>
      <w:r w:rsidR="00E8626C" w:rsidRPr="00412F26">
        <w:rPr>
          <w:i/>
          <w:highlight w:val="yellow"/>
          <w:u w:val="double"/>
          <w:lang w:val="en-IE"/>
        </w:rPr>
        <w:t>et al.</w:t>
      </w:r>
      <w:r w:rsidR="00EA230A" w:rsidRPr="00412F26">
        <w:rPr>
          <w:i/>
          <w:highlight w:val="yellow"/>
          <w:u w:val="double"/>
          <w:lang w:val="en-IE"/>
        </w:rPr>
        <w:t>,</w:t>
      </w:r>
      <w:r w:rsidR="00EA230A" w:rsidRPr="00412F26">
        <w:rPr>
          <w:iCs/>
          <w:highlight w:val="yellow"/>
          <w:u w:val="double"/>
          <w:lang w:val="en-IE"/>
        </w:rPr>
        <w:t xml:space="preserve"> 1990)</w:t>
      </w:r>
      <w:r w:rsidRPr="004622FC">
        <w:rPr>
          <w:lang w:val="en-IE"/>
        </w:rPr>
        <w:t xml:space="preserve">. It has been reported that a small number of isolates other than </w:t>
      </w:r>
      <w:r w:rsidR="00C924A0" w:rsidRPr="004622FC">
        <w:rPr>
          <w:i/>
          <w:snapToGrid w:val="0"/>
          <w:lang w:val="en-IE"/>
        </w:rPr>
        <w:t>M</w:t>
      </w:r>
      <w:r w:rsidR="00C924A0" w:rsidRPr="004622FC">
        <w:rPr>
          <w:i/>
          <w:lang w:val="en-IE"/>
        </w:rPr>
        <w:t>AP</w:t>
      </w:r>
      <w:r w:rsidR="00C924A0" w:rsidRPr="004622FC">
        <w:rPr>
          <w:lang w:val="en-IE"/>
        </w:rPr>
        <w:t xml:space="preserve"> </w:t>
      </w:r>
      <w:r w:rsidRPr="004622FC">
        <w:rPr>
          <w:lang w:val="en-IE"/>
        </w:rPr>
        <w:t xml:space="preserve">have produced amplified products the same size as expected from </w:t>
      </w:r>
      <w:r w:rsidR="00C924A0" w:rsidRPr="004622FC">
        <w:rPr>
          <w:i/>
          <w:snapToGrid w:val="0"/>
          <w:lang w:val="en-IE"/>
        </w:rPr>
        <w:t>M</w:t>
      </w:r>
      <w:r w:rsidR="00C924A0" w:rsidRPr="004622FC">
        <w:rPr>
          <w:i/>
          <w:lang w:val="en-IE"/>
        </w:rPr>
        <w:t>AP</w:t>
      </w:r>
      <w:r w:rsidRPr="004622FC">
        <w:rPr>
          <w:lang w:val="en-IE"/>
        </w:rPr>
        <w:t>. A restriction enzyme digest may be applied to positive IS</w:t>
      </w:r>
      <w:r w:rsidRPr="004622FC">
        <w:rPr>
          <w:i/>
          <w:iCs/>
          <w:lang w:val="en-IE"/>
        </w:rPr>
        <w:t>900</w:t>
      </w:r>
      <w:r w:rsidRPr="004622FC">
        <w:rPr>
          <w:lang w:val="en-IE"/>
        </w:rPr>
        <w:t xml:space="preserve"> products to confirm that their sequence is consistent with </w:t>
      </w:r>
      <w:r w:rsidR="00C924A0" w:rsidRPr="004622FC">
        <w:rPr>
          <w:i/>
          <w:snapToGrid w:val="0"/>
          <w:lang w:val="en-IE"/>
        </w:rPr>
        <w:t>M</w:t>
      </w:r>
      <w:r w:rsidR="00C924A0" w:rsidRPr="004622FC">
        <w:rPr>
          <w:i/>
          <w:lang w:val="en-IE"/>
        </w:rPr>
        <w:t>AP</w:t>
      </w:r>
      <w:r w:rsidRPr="004622FC">
        <w:rPr>
          <w:lang w:val="en-IE"/>
        </w:rPr>
        <w:t xml:space="preserve">. </w:t>
      </w:r>
    </w:p>
    <w:p w14:paraId="3B508006" w14:textId="11F047C6" w:rsidR="00B66F35" w:rsidRPr="004622FC" w:rsidRDefault="00B66F35" w:rsidP="00846008">
      <w:pPr>
        <w:pStyle w:val="11Para"/>
        <w:rPr>
          <w:lang w:val="en-IE"/>
        </w:rPr>
      </w:pPr>
      <w:r w:rsidRPr="004622FC">
        <w:rPr>
          <w:lang w:val="en-IE"/>
        </w:rPr>
        <w:t xml:space="preserve">The identifications of new DNA sequences considered to be unique to </w:t>
      </w:r>
      <w:r w:rsidR="00C924A0" w:rsidRPr="004622FC">
        <w:rPr>
          <w:i/>
          <w:snapToGrid w:val="0"/>
          <w:lang w:val="en-IE"/>
        </w:rPr>
        <w:t>M</w:t>
      </w:r>
      <w:r w:rsidR="00C924A0" w:rsidRPr="004622FC">
        <w:rPr>
          <w:i/>
          <w:lang w:val="en-IE"/>
        </w:rPr>
        <w:t>AP</w:t>
      </w:r>
      <w:r w:rsidR="00C924A0" w:rsidRPr="004622FC">
        <w:rPr>
          <w:lang w:val="en-IE"/>
        </w:rPr>
        <w:t xml:space="preserve"> </w:t>
      </w:r>
      <w:r w:rsidR="001E0DDD" w:rsidRPr="004622FC">
        <w:rPr>
          <w:lang w:val="en-IE"/>
        </w:rPr>
        <w:t>(</w:t>
      </w:r>
      <w:r w:rsidRPr="004622FC">
        <w:rPr>
          <w:lang w:val="en-IE"/>
        </w:rPr>
        <w:t>ISMav2, f57, and ISMap02 sequences</w:t>
      </w:r>
      <w:r w:rsidR="001E0DDD" w:rsidRPr="004622FC">
        <w:rPr>
          <w:lang w:val="en-IE"/>
        </w:rPr>
        <w:t>)</w:t>
      </w:r>
      <w:r w:rsidRPr="004622FC">
        <w:rPr>
          <w:lang w:val="en-IE"/>
        </w:rPr>
        <w:t>,</w:t>
      </w:r>
      <w:r w:rsidRPr="004622FC" w:rsidDel="00B21D90">
        <w:rPr>
          <w:lang w:val="en-IE"/>
        </w:rPr>
        <w:t xml:space="preserve"> </w:t>
      </w:r>
      <w:r w:rsidRPr="004622FC">
        <w:rPr>
          <w:lang w:val="en-IE"/>
        </w:rPr>
        <w:t>offer additional tools for rapid identification of this organism</w:t>
      </w:r>
      <w:r w:rsidRPr="004622FC">
        <w:rPr>
          <w:i/>
          <w:lang w:val="en-IE"/>
        </w:rPr>
        <w:t xml:space="preserve"> </w:t>
      </w:r>
      <w:r w:rsidRPr="004622FC">
        <w:rPr>
          <w:lang w:val="en-IE"/>
        </w:rPr>
        <w:t>using the polymerase chain reaction (PCR) technology</w:t>
      </w:r>
      <w:r w:rsidRPr="004622FC" w:rsidDel="00B667D3">
        <w:rPr>
          <w:lang w:val="en-IE"/>
        </w:rPr>
        <w:t xml:space="preserve"> </w:t>
      </w:r>
      <w:r w:rsidRPr="004622FC">
        <w:rPr>
          <w:lang w:val="en-IE"/>
        </w:rPr>
        <w:t>(</w:t>
      </w:r>
      <w:proofErr w:type="spellStart"/>
      <w:r w:rsidRPr="004622FC">
        <w:rPr>
          <w:lang w:val="en-IE"/>
        </w:rPr>
        <w:t>Stabel</w:t>
      </w:r>
      <w:proofErr w:type="spellEnd"/>
      <w:r w:rsidRPr="004622FC">
        <w:rPr>
          <w:lang w:val="en-IE"/>
        </w:rPr>
        <w:t xml:space="preserve"> &amp; </w:t>
      </w:r>
      <w:proofErr w:type="spellStart"/>
      <w:r w:rsidRPr="004622FC">
        <w:rPr>
          <w:lang w:val="en-IE"/>
        </w:rPr>
        <w:t>Bannantine</w:t>
      </w:r>
      <w:proofErr w:type="spellEnd"/>
      <w:r w:rsidRPr="004622FC">
        <w:rPr>
          <w:lang w:val="en-IE"/>
        </w:rPr>
        <w:t xml:space="preserve">, 2005; </w:t>
      </w:r>
      <w:proofErr w:type="spellStart"/>
      <w:r w:rsidRPr="004622FC">
        <w:rPr>
          <w:lang w:val="en-IE"/>
        </w:rPr>
        <w:t>Strommenger</w:t>
      </w:r>
      <w:proofErr w:type="spellEnd"/>
      <w:r w:rsidRPr="004622FC">
        <w:rPr>
          <w:lang w:val="en-IE"/>
        </w:rPr>
        <w:t xml:space="preserve"> </w:t>
      </w:r>
      <w:r w:rsidRPr="004622FC">
        <w:rPr>
          <w:i/>
          <w:lang w:val="en-IE"/>
        </w:rPr>
        <w:t>et al</w:t>
      </w:r>
      <w:r w:rsidRPr="004622FC">
        <w:rPr>
          <w:lang w:val="en-IE"/>
        </w:rPr>
        <w:t xml:space="preserve">., 2001; </w:t>
      </w:r>
      <w:proofErr w:type="spellStart"/>
      <w:r w:rsidRPr="004622FC">
        <w:rPr>
          <w:lang w:val="en-IE"/>
        </w:rPr>
        <w:t>Vansnick</w:t>
      </w:r>
      <w:proofErr w:type="spellEnd"/>
      <w:r w:rsidRPr="004622FC">
        <w:rPr>
          <w:lang w:val="en-IE"/>
        </w:rPr>
        <w:t xml:space="preserve"> </w:t>
      </w:r>
      <w:r w:rsidRPr="004622FC">
        <w:rPr>
          <w:i/>
          <w:lang w:val="en-IE"/>
        </w:rPr>
        <w:t>et al</w:t>
      </w:r>
      <w:r w:rsidRPr="004622FC">
        <w:rPr>
          <w:lang w:val="en-IE"/>
        </w:rPr>
        <w:t>., 2004). The restriction enzyme analysis of IS</w:t>
      </w:r>
      <w:r w:rsidRPr="004622FC">
        <w:rPr>
          <w:i/>
          <w:lang w:val="en-IE"/>
        </w:rPr>
        <w:t>1311</w:t>
      </w:r>
      <w:r w:rsidRPr="004622FC">
        <w:rPr>
          <w:lang w:val="en-IE"/>
        </w:rPr>
        <w:t xml:space="preserve">, an insertion sequence common to </w:t>
      </w:r>
      <w:r w:rsidRPr="004622FC">
        <w:rPr>
          <w:i/>
          <w:lang w:val="en-IE"/>
        </w:rPr>
        <w:t xml:space="preserve">M. </w:t>
      </w:r>
      <w:r w:rsidR="000A2B71" w:rsidRPr="00412F26">
        <w:rPr>
          <w:i/>
          <w:highlight w:val="yellow"/>
          <w:u w:val="double"/>
          <w:lang w:val="en-IE"/>
        </w:rPr>
        <w:t>a</w:t>
      </w:r>
      <w:r w:rsidR="002B68B7" w:rsidRPr="00412F26">
        <w:rPr>
          <w:i/>
          <w:highlight w:val="yellow"/>
          <w:u w:val="double"/>
          <w:lang w:val="en-IE"/>
        </w:rPr>
        <w:t>vium</w:t>
      </w:r>
      <w:r w:rsidR="007A3BAD" w:rsidRPr="00412F26">
        <w:rPr>
          <w:i/>
          <w:highlight w:val="yellow"/>
          <w:u w:val="double"/>
          <w:lang w:val="en-IE"/>
        </w:rPr>
        <w:t xml:space="preserve"> </w:t>
      </w:r>
      <w:r w:rsidR="00CB249D" w:rsidRPr="00412F26">
        <w:rPr>
          <w:iCs/>
          <w:highlight w:val="yellow"/>
          <w:u w:val="double"/>
          <w:lang w:val="en-IE"/>
        </w:rPr>
        <w:t>s</w:t>
      </w:r>
      <w:r w:rsidR="007A3BAD" w:rsidRPr="00412F26">
        <w:rPr>
          <w:iCs/>
          <w:highlight w:val="yellow"/>
          <w:u w:val="double"/>
          <w:lang w:val="en-IE"/>
        </w:rPr>
        <w:t>ubsp</w:t>
      </w:r>
      <w:r w:rsidR="007A3BAD">
        <w:rPr>
          <w:i/>
          <w:lang w:val="en-IE"/>
        </w:rPr>
        <w:t>.</w:t>
      </w:r>
      <w:r w:rsidR="0007569F" w:rsidRPr="004622FC">
        <w:rPr>
          <w:i/>
          <w:lang w:val="en-IE"/>
        </w:rPr>
        <w:t xml:space="preserve"> </w:t>
      </w:r>
      <w:r w:rsidRPr="004622FC">
        <w:rPr>
          <w:i/>
          <w:lang w:val="en-IE"/>
        </w:rPr>
        <w:t xml:space="preserve">avium </w:t>
      </w:r>
      <w:r w:rsidRPr="004622FC">
        <w:rPr>
          <w:lang w:val="en-IE"/>
        </w:rPr>
        <w:t xml:space="preserve">and </w:t>
      </w:r>
      <w:r w:rsidR="00C924A0" w:rsidRPr="004622FC">
        <w:rPr>
          <w:i/>
          <w:snapToGrid w:val="0"/>
          <w:lang w:val="en-IE"/>
        </w:rPr>
        <w:t>M</w:t>
      </w:r>
      <w:r w:rsidR="00C924A0" w:rsidRPr="004622FC">
        <w:rPr>
          <w:i/>
          <w:lang w:val="en-IE"/>
        </w:rPr>
        <w:t>AP</w:t>
      </w:r>
      <w:r w:rsidR="00C924A0" w:rsidRPr="004622FC">
        <w:rPr>
          <w:lang w:val="en-IE"/>
        </w:rPr>
        <w:t xml:space="preserve"> </w:t>
      </w:r>
      <w:r w:rsidRPr="004622FC">
        <w:rPr>
          <w:lang w:val="en-IE"/>
        </w:rPr>
        <w:t xml:space="preserve">can be used to distinguish between these species and for typing of ovine, bovine and bison strains of </w:t>
      </w:r>
      <w:r w:rsidR="00C924A0" w:rsidRPr="004622FC">
        <w:rPr>
          <w:i/>
          <w:snapToGrid w:val="0"/>
          <w:lang w:val="en-IE"/>
        </w:rPr>
        <w:t>M</w:t>
      </w:r>
      <w:r w:rsidR="00C924A0" w:rsidRPr="004622FC">
        <w:rPr>
          <w:i/>
          <w:lang w:val="en-IE"/>
        </w:rPr>
        <w:t>AP</w:t>
      </w:r>
      <w:r w:rsidR="00C924A0" w:rsidRPr="004622FC">
        <w:rPr>
          <w:lang w:val="en-IE"/>
        </w:rPr>
        <w:t xml:space="preserve"> </w:t>
      </w:r>
      <w:r w:rsidRPr="004622FC">
        <w:rPr>
          <w:lang w:val="en-IE"/>
        </w:rPr>
        <w:t xml:space="preserve">(Sevilla </w:t>
      </w:r>
      <w:r w:rsidRPr="004622FC">
        <w:rPr>
          <w:i/>
          <w:lang w:val="en-IE"/>
        </w:rPr>
        <w:t>et al</w:t>
      </w:r>
      <w:r w:rsidRPr="004622FC">
        <w:rPr>
          <w:lang w:val="en-IE"/>
        </w:rPr>
        <w:t xml:space="preserve">., 2005; Whittington </w:t>
      </w:r>
      <w:r w:rsidRPr="004622FC">
        <w:rPr>
          <w:i/>
          <w:lang w:val="en-IE"/>
        </w:rPr>
        <w:t>et al</w:t>
      </w:r>
      <w:r w:rsidRPr="004622FC">
        <w:rPr>
          <w:lang w:val="en-IE"/>
        </w:rPr>
        <w:t>., 1998).</w:t>
      </w:r>
    </w:p>
    <w:p w14:paraId="1A4C48A3" w14:textId="77777777" w:rsidR="00EB3A9E" w:rsidRPr="004622FC" w:rsidRDefault="00C538AE" w:rsidP="00F848C7">
      <w:pPr>
        <w:pStyle w:val="11Para"/>
        <w:rPr>
          <w:lang w:val="en-IE"/>
        </w:rPr>
      </w:pPr>
      <w:r w:rsidRPr="004622FC">
        <w:rPr>
          <w:lang w:val="en-IE"/>
        </w:rPr>
        <w:t xml:space="preserve">In recent years, </w:t>
      </w:r>
      <w:r w:rsidR="00F848C7" w:rsidRPr="004622FC">
        <w:rPr>
          <w:lang w:val="en-IE"/>
        </w:rPr>
        <w:t>real-ti</w:t>
      </w:r>
      <w:r w:rsidRPr="004622FC">
        <w:rPr>
          <w:lang w:val="en-IE"/>
        </w:rPr>
        <w:t xml:space="preserve">me PCR methods have been extensively developed to detect </w:t>
      </w:r>
      <w:r w:rsidRPr="004622FC">
        <w:rPr>
          <w:i/>
          <w:lang w:val="en-IE"/>
        </w:rPr>
        <w:t>MAP</w:t>
      </w:r>
      <w:r w:rsidRPr="004622FC">
        <w:rPr>
          <w:lang w:val="en-IE"/>
        </w:rPr>
        <w:t xml:space="preserve"> from different specimens</w:t>
      </w:r>
      <w:r w:rsidR="00EB3A9E" w:rsidRPr="004622FC">
        <w:rPr>
          <w:lang w:val="en-IE"/>
        </w:rPr>
        <w:t xml:space="preserve"> (blood, milk, faeces, tissues and environmental samples). The technique is rapid and offers hope for detection of fastidious and slow growing microorganisms, such as </w:t>
      </w:r>
      <w:r w:rsidR="00EB3A9E" w:rsidRPr="004622FC">
        <w:rPr>
          <w:i/>
          <w:lang w:val="en-IE"/>
        </w:rPr>
        <w:t>MAP</w:t>
      </w:r>
      <w:r w:rsidR="00EB3A9E" w:rsidRPr="004622FC">
        <w:rPr>
          <w:lang w:val="en-IE"/>
        </w:rPr>
        <w:t xml:space="preserve">. </w:t>
      </w:r>
      <w:r w:rsidRPr="004622FC">
        <w:rPr>
          <w:lang w:val="en-IE"/>
        </w:rPr>
        <w:t xml:space="preserve">However, this molecular tool is greatly inﬂuenced by the quality of nucleic acid samples. Therefore, </w:t>
      </w:r>
      <w:r w:rsidR="00F848C7" w:rsidRPr="004622FC">
        <w:rPr>
          <w:lang w:val="en-IE"/>
        </w:rPr>
        <w:t xml:space="preserve">a </w:t>
      </w:r>
      <w:r w:rsidRPr="004622FC">
        <w:rPr>
          <w:lang w:val="en-IE"/>
        </w:rPr>
        <w:t xml:space="preserve">DNA extraction method </w:t>
      </w:r>
      <w:r w:rsidR="00F848C7" w:rsidRPr="004622FC">
        <w:rPr>
          <w:lang w:val="en-IE"/>
        </w:rPr>
        <w:t>that</w:t>
      </w:r>
      <w:r w:rsidRPr="004622FC">
        <w:rPr>
          <w:lang w:val="en-IE"/>
        </w:rPr>
        <w:t xml:space="preserve"> provides a high quality DNA sample and a maximum bacterial DNA recovery is a critical step to use </w:t>
      </w:r>
      <w:r w:rsidR="00F848C7" w:rsidRPr="004622FC">
        <w:rPr>
          <w:lang w:val="en-IE"/>
        </w:rPr>
        <w:t>r</w:t>
      </w:r>
      <w:r w:rsidRPr="004622FC">
        <w:rPr>
          <w:lang w:val="en-IE"/>
        </w:rPr>
        <w:t>eal</w:t>
      </w:r>
      <w:r w:rsidR="00F848C7" w:rsidRPr="004622FC">
        <w:rPr>
          <w:lang w:val="en-IE"/>
        </w:rPr>
        <w:t>-r</w:t>
      </w:r>
      <w:r w:rsidRPr="004622FC">
        <w:rPr>
          <w:lang w:val="en-IE"/>
        </w:rPr>
        <w:t xml:space="preserve">ime PCR </w:t>
      </w:r>
      <w:r w:rsidR="00C81B1B" w:rsidRPr="004622FC">
        <w:rPr>
          <w:lang w:val="en-IE"/>
        </w:rPr>
        <w:t>(</w:t>
      </w:r>
      <w:r w:rsidRPr="004622FC">
        <w:rPr>
          <w:lang w:val="en-IE"/>
        </w:rPr>
        <w:t>Parka</w:t>
      </w:r>
      <w:r w:rsidRPr="004622FC">
        <w:rPr>
          <w:i/>
          <w:lang w:val="en-IE"/>
        </w:rPr>
        <w:t xml:space="preserve"> et al</w:t>
      </w:r>
      <w:r w:rsidRPr="004622FC">
        <w:rPr>
          <w:lang w:val="en-IE"/>
        </w:rPr>
        <w:t xml:space="preserve">., 2014). </w:t>
      </w:r>
    </w:p>
    <w:p w14:paraId="7B8B629D" w14:textId="7247C813" w:rsidR="00332DCC" w:rsidRPr="004622FC" w:rsidRDefault="00412F26" w:rsidP="00846008">
      <w:pPr>
        <w:pStyle w:val="11Para"/>
        <w:rPr>
          <w:lang w:val="en-IE"/>
        </w:rPr>
      </w:pPr>
      <w:r w:rsidRPr="00412F26">
        <w:rPr>
          <w:highlight w:val="yellow"/>
          <w:u w:val="double"/>
        </w:rPr>
        <w:lastRenderedPageBreak/>
        <w:t>PCR assays have now improved to the point where they play an important role in the diagnosis of disease</w:t>
      </w:r>
      <w:r w:rsidRPr="00412F26">
        <w:rPr>
          <w:sz w:val="20"/>
          <w:szCs w:val="20"/>
          <w:highlight w:val="yellow"/>
          <w:u w:val="double"/>
        </w:rPr>
        <w:t xml:space="preserve"> </w:t>
      </w:r>
      <w:r w:rsidR="003A1467" w:rsidRPr="00412F26">
        <w:rPr>
          <w:strike/>
          <w:highlight w:val="yellow"/>
          <w:lang w:val="en-IE"/>
        </w:rPr>
        <w:t xml:space="preserve">Further work that has included improvements in PCR techniques and the extraction of DNA has shown that it may well have a place in the diagnosis and control of </w:t>
      </w:r>
      <w:proofErr w:type="spellStart"/>
      <w:r w:rsidR="003A1467" w:rsidRPr="00412F26">
        <w:rPr>
          <w:strike/>
          <w:highlight w:val="yellow"/>
          <w:lang w:val="en-IE"/>
        </w:rPr>
        <w:t>Johne’s</w:t>
      </w:r>
      <w:proofErr w:type="spellEnd"/>
      <w:r w:rsidR="003A1467" w:rsidRPr="00412F26">
        <w:rPr>
          <w:strike/>
          <w:highlight w:val="yellow"/>
          <w:lang w:val="en-IE"/>
        </w:rPr>
        <w:t xml:space="preserve"> disease in cattle</w:t>
      </w:r>
      <w:r w:rsidR="003A1467" w:rsidRPr="00412F26">
        <w:rPr>
          <w:strike/>
          <w:lang w:val="en-IE"/>
        </w:rPr>
        <w:t xml:space="preserve"> </w:t>
      </w:r>
      <w:r w:rsidR="00CB7BDC" w:rsidRPr="004622FC">
        <w:rPr>
          <w:lang w:val="en-IE"/>
        </w:rPr>
        <w:t>(</w:t>
      </w:r>
      <w:proofErr w:type="spellStart"/>
      <w:r w:rsidR="00CB7BDC" w:rsidRPr="004622FC">
        <w:rPr>
          <w:lang w:val="en-IE"/>
        </w:rPr>
        <w:t>Leite</w:t>
      </w:r>
      <w:proofErr w:type="spellEnd"/>
      <w:r w:rsidR="00CB7BDC" w:rsidRPr="004622FC">
        <w:rPr>
          <w:lang w:val="en-IE"/>
        </w:rPr>
        <w:t xml:space="preserve"> </w:t>
      </w:r>
      <w:r w:rsidR="00CB7BDC" w:rsidRPr="004622FC">
        <w:rPr>
          <w:i/>
          <w:lang w:val="en-IE"/>
        </w:rPr>
        <w:t>et al</w:t>
      </w:r>
      <w:r w:rsidR="00F848C7" w:rsidRPr="004622FC">
        <w:rPr>
          <w:i/>
          <w:lang w:val="en-IE"/>
        </w:rPr>
        <w:t>.</w:t>
      </w:r>
      <w:r w:rsidR="00CB7BDC" w:rsidRPr="004622FC">
        <w:rPr>
          <w:i/>
          <w:lang w:val="en-IE"/>
        </w:rPr>
        <w:t>,</w:t>
      </w:r>
      <w:r w:rsidR="00CB7BDC" w:rsidRPr="004622FC">
        <w:rPr>
          <w:lang w:val="en-IE"/>
        </w:rPr>
        <w:t xml:space="preserve"> 2013).</w:t>
      </w:r>
    </w:p>
    <w:p w14:paraId="2D53133A" w14:textId="77777777" w:rsidR="00B66F35" w:rsidRPr="002060A9" w:rsidRDefault="00B66F35" w:rsidP="00846008">
      <w:pPr>
        <w:pStyle w:val="11Para"/>
        <w:rPr>
          <w:lang w:val="en-IE"/>
        </w:rPr>
      </w:pPr>
      <w:r w:rsidRPr="004622FC">
        <w:rPr>
          <w:lang w:val="en-IE"/>
        </w:rPr>
        <w:t>Commercial diagnostic PCR tests for the detection of</w:t>
      </w:r>
      <w:r w:rsidRPr="002060A9">
        <w:rPr>
          <w:lang w:val="en-IE"/>
        </w:rPr>
        <w:t xml:space="preserve"> </w:t>
      </w:r>
      <w:r w:rsidR="00C924A0" w:rsidRPr="002060A9">
        <w:rPr>
          <w:i/>
          <w:snapToGrid w:val="0"/>
          <w:lang w:val="en-IE"/>
        </w:rPr>
        <w:t>M</w:t>
      </w:r>
      <w:r w:rsidR="00C924A0" w:rsidRPr="00E85A02">
        <w:rPr>
          <w:i/>
          <w:lang w:val="en-IE"/>
        </w:rPr>
        <w:t>AP</w:t>
      </w:r>
      <w:r w:rsidR="00C924A0" w:rsidRPr="002060A9">
        <w:rPr>
          <w:lang w:val="en-IE"/>
        </w:rPr>
        <w:t xml:space="preserve"> </w:t>
      </w:r>
      <w:r w:rsidRPr="002060A9">
        <w:rPr>
          <w:lang w:val="en-IE"/>
        </w:rPr>
        <w:t xml:space="preserve">in milk and faecal samples </w:t>
      </w:r>
      <w:r w:rsidR="001443FF" w:rsidRPr="002060A9">
        <w:rPr>
          <w:lang w:val="en-IE"/>
        </w:rPr>
        <w:t>are available</w:t>
      </w:r>
      <w:r w:rsidR="00332DCC" w:rsidRPr="002060A9">
        <w:rPr>
          <w:lang w:val="en-IE"/>
        </w:rPr>
        <w:t xml:space="preserve"> but users should consider the </w:t>
      </w:r>
      <w:r w:rsidR="000345CF" w:rsidRPr="002060A9">
        <w:rPr>
          <w:lang w:val="en-IE"/>
        </w:rPr>
        <w:t>interpretation of acquired data</w:t>
      </w:r>
      <w:r w:rsidR="00332DCC" w:rsidRPr="002060A9">
        <w:rPr>
          <w:lang w:val="en-IE"/>
        </w:rPr>
        <w:t xml:space="preserve"> and fitness for purpose before adopting such methods</w:t>
      </w:r>
      <w:r w:rsidRPr="002060A9">
        <w:rPr>
          <w:lang w:val="en-IE"/>
        </w:rPr>
        <w:t xml:space="preserve">. </w:t>
      </w:r>
    </w:p>
    <w:p w14:paraId="67156B04" w14:textId="77777777" w:rsidR="00B66F35" w:rsidRPr="002060A9" w:rsidRDefault="00B66F35" w:rsidP="00E73E2B">
      <w:pPr>
        <w:pStyle w:val="1"/>
        <w:rPr>
          <w:lang w:val="en-IE"/>
        </w:rPr>
      </w:pPr>
      <w:r w:rsidRPr="002060A9">
        <w:rPr>
          <w:lang w:val="en-IE"/>
        </w:rPr>
        <w:t>2.</w:t>
      </w:r>
      <w:r w:rsidRPr="002060A9">
        <w:rPr>
          <w:lang w:val="en-IE"/>
        </w:rPr>
        <w:tab/>
        <w:t>Serological tests</w:t>
      </w:r>
    </w:p>
    <w:p w14:paraId="3BB75537" w14:textId="1BA1A4D1" w:rsidR="00B66F35" w:rsidRPr="004622FC" w:rsidRDefault="00B66F35" w:rsidP="00545153">
      <w:pPr>
        <w:pStyle w:val="para1"/>
        <w:ind w:left="426"/>
        <w:rPr>
          <w:lang w:val="en-IE"/>
        </w:rPr>
      </w:pPr>
      <w:r w:rsidRPr="002060A9">
        <w:rPr>
          <w:lang w:val="en-IE"/>
        </w:rPr>
        <w:t>The serological test</w:t>
      </w:r>
      <w:r w:rsidRPr="008A6077">
        <w:rPr>
          <w:strike/>
          <w:lang w:val="en-IE"/>
        </w:rPr>
        <w:t>s</w:t>
      </w:r>
      <w:r w:rsidRPr="002060A9">
        <w:rPr>
          <w:lang w:val="en-IE"/>
        </w:rPr>
        <w:t xml:space="preserve"> commonly used for paratuberculosis in cattle </w:t>
      </w:r>
      <w:r w:rsidRPr="008A6077">
        <w:rPr>
          <w:strike/>
          <w:lang w:val="en-IE"/>
        </w:rPr>
        <w:t xml:space="preserve">are </w:t>
      </w:r>
      <w:r w:rsidR="00BB2CEA" w:rsidRPr="008A6077">
        <w:rPr>
          <w:u w:val="double"/>
          <w:lang w:val="en-IE"/>
        </w:rPr>
        <w:t xml:space="preserve">is </w:t>
      </w:r>
      <w:r w:rsidRPr="002060A9">
        <w:rPr>
          <w:lang w:val="en-IE"/>
        </w:rPr>
        <w:t>enzyme-linked immunosorbent assay (ELISA)</w:t>
      </w:r>
      <w:r w:rsidR="008A6077">
        <w:rPr>
          <w:lang w:val="en-IE"/>
        </w:rPr>
        <w:t>.</w:t>
      </w:r>
      <w:r w:rsidR="00BB2CEA">
        <w:rPr>
          <w:lang w:val="en-IE"/>
        </w:rPr>
        <w:t xml:space="preserve"> </w:t>
      </w:r>
      <w:r w:rsidR="00BB2CEA" w:rsidRPr="008A6077">
        <w:rPr>
          <w:u w:val="double"/>
          <w:lang w:val="en-IE"/>
        </w:rPr>
        <w:t>The</w:t>
      </w:r>
      <w:r w:rsidRPr="002060A9">
        <w:rPr>
          <w:lang w:val="en-IE"/>
        </w:rPr>
        <w:t xml:space="preserve"> </w:t>
      </w:r>
      <w:r w:rsidR="00EA5FAF" w:rsidRPr="008A6077">
        <w:rPr>
          <w:lang w:val="en-IE"/>
        </w:rPr>
        <w:t xml:space="preserve">complement fixation test (CFT), </w:t>
      </w:r>
      <w:r w:rsidRPr="008A6077">
        <w:rPr>
          <w:lang w:val="en-IE"/>
        </w:rPr>
        <w:t>and agar gel immunodiffusion (AGID)</w:t>
      </w:r>
      <w:r w:rsidR="00623628">
        <w:rPr>
          <w:lang w:val="en-IE"/>
        </w:rPr>
        <w:t xml:space="preserve"> </w:t>
      </w:r>
      <w:r w:rsidR="00623628" w:rsidRPr="008A6077">
        <w:rPr>
          <w:u w:val="double"/>
          <w:lang w:val="en-IE"/>
        </w:rPr>
        <w:t>show poorer sensitivity and specificity and are no longer recommended</w:t>
      </w:r>
      <w:r w:rsidR="00E63BEE">
        <w:rPr>
          <w:u w:val="double"/>
          <w:lang w:val="en-IE"/>
        </w:rPr>
        <w:t xml:space="preserve"> </w:t>
      </w:r>
      <w:r w:rsidR="00E63BEE" w:rsidRPr="00412F26">
        <w:rPr>
          <w:highlight w:val="yellow"/>
          <w:u w:val="double"/>
          <w:lang w:val="en-IE"/>
        </w:rPr>
        <w:t>in cattle. However AGID remains a valuable test for the detection of paratuberculosis in sheep</w:t>
      </w:r>
      <w:r w:rsidRPr="008A6077">
        <w:rPr>
          <w:strike/>
          <w:lang w:val="en-IE"/>
        </w:rPr>
        <w:t xml:space="preserve"> (</w:t>
      </w:r>
      <w:proofErr w:type="spellStart"/>
      <w:r w:rsidRPr="008A6077">
        <w:rPr>
          <w:strike/>
          <w:lang w:val="en-IE"/>
        </w:rPr>
        <w:t>Sockett</w:t>
      </w:r>
      <w:proofErr w:type="spellEnd"/>
      <w:r w:rsidRPr="008A6077">
        <w:rPr>
          <w:strike/>
          <w:lang w:val="en-IE"/>
        </w:rPr>
        <w:t xml:space="preserve"> </w:t>
      </w:r>
      <w:r w:rsidRPr="008A6077">
        <w:rPr>
          <w:i/>
          <w:strike/>
          <w:lang w:val="en-IE"/>
        </w:rPr>
        <w:t>et al</w:t>
      </w:r>
      <w:r w:rsidRPr="008A6077">
        <w:rPr>
          <w:strike/>
          <w:lang w:val="en-IE"/>
        </w:rPr>
        <w:t>., 1992)</w:t>
      </w:r>
      <w:r w:rsidRPr="004622FC">
        <w:rPr>
          <w:lang w:val="en-IE"/>
        </w:rPr>
        <w:t>.</w:t>
      </w:r>
      <w:r w:rsidR="00F848C7" w:rsidRPr="004622FC">
        <w:rPr>
          <w:lang w:val="en-IE"/>
        </w:rPr>
        <w:t xml:space="preserve"> </w:t>
      </w:r>
      <w:r w:rsidR="001844BD" w:rsidRPr="004622FC">
        <w:rPr>
          <w:lang w:val="en-IE"/>
        </w:rPr>
        <w:t xml:space="preserve">There is no international </w:t>
      </w:r>
      <w:r w:rsidR="00634EA0" w:rsidRPr="008A6077">
        <w:rPr>
          <w:u w:val="double"/>
          <w:lang w:val="en-IE"/>
        </w:rPr>
        <w:t xml:space="preserve">reference </w:t>
      </w:r>
      <w:r w:rsidR="001844BD" w:rsidRPr="004622FC">
        <w:rPr>
          <w:lang w:val="en-IE"/>
        </w:rPr>
        <w:t>serum</w:t>
      </w:r>
      <w:r w:rsidR="001844BD" w:rsidRPr="008A6077">
        <w:rPr>
          <w:strike/>
          <w:lang w:val="en-IE"/>
        </w:rPr>
        <w:t xml:space="preserve"> for use as a reference</w:t>
      </w:r>
      <w:r w:rsidR="001844BD" w:rsidRPr="004622FC">
        <w:rPr>
          <w:lang w:val="en-IE"/>
        </w:rPr>
        <w:t>.</w:t>
      </w:r>
    </w:p>
    <w:p w14:paraId="034CF3E1" w14:textId="77777777" w:rsidR="00B60464" w:rsidRPr="004622FC" w:rsidRDefault="00B60464" w:rsidP="00B60464">
      <w:pPr>
        <w:pStyle w:val="11"/>
        <w:rPr>
          <w:lang w:val="en-IE"/>
        </w:rPr>
      </w:pPr>
      <w:r w:rsidRPr="004622FC">
        <w:rPr>
          <w:lang w:val="en-IE"/>
        </w:rPr>
        <w:t>2.1.</w:t>
      </w:r>
      <w:r w:rsidRPr="004622FC">
        <w:rPr>
          <w:lang w:val="en-IE"/>
        </w:rPr>
        <w:tab/>
        <w:t>Enzyme-linked immunosorbent assay</w:t>
      </w:r>
    </w:p>
    <w:p w14:paraId="3A34AA7F" w14:textId="77777777" w:rsidR="00B60464" w:rsidRPr="004622FC" w:rsidRDefault="00B60464" w:rsidP="00B60464">
      <w:pPr>
        <w:pStyle w:val="11Para"/>
        <w:rPr>
          <w:lang w:val="en-IE"/>
        </w:rPr>
      </w:pPr>
      <w:r w:rsidRPr="004622FC">
        <w:rPr>
          <w:lang w:val="en-IE"/>
        </w:rPr>
        <w:t xml:space="preserve">The ELISA is, at present, the most sensitive and specific test for serum antibodies to </w:t>
      </w:r>
      <w:r w:rsidRPr="004622FC">
        <w:rPr>
          <w:i/>
          <w:snapToGrid w:val="0"/>
          <w:lang w:val="en-IE"/>
        </w:rPr>
        <w:t>M</w:t>
      </w:r>
      <w:r w:rsidRPr="004622FC">
        <w:rPr>
          <w:i/>
          <w:lang w:val="en-IE"/>
        </w:rPr>
        <w:t>AP</w:t>
      </w:r>
      <w:r w:rsidRPr="004622FC">
        <w:rPr>
          <w:lang w:val="en-IE"/>
        </w:rPr>
        <w:t xml:space="preserve"> in cattle</w:t>
      </w:r>
      <w:r w:rsidRPr="004622FC">
        <w:rPr>
          <w:i/>
          <w:lang w:val="en-IE"/>
        </w:rPr>
        <w:t>.</w:t>
      </w:r>
      <w:r w:rsidRPr="004622FC">
        <w:rPr>
          <w:lang w:val="en-IE"/>
        </w:rPr>
        <w:t xml:space="preserve"> Its sensitivity is comparable with that of the CFT in clinical cases, but is greater than that of the CFT in </w:t>
      </w:r>
      <w:proofErr w:type="spellStart"/>
      <w:r w:rsidRPr="004622FC">
        <w:rPr>
          <w:lang w:val="en-IE"/>
        </w:rPr>
        <w:t>subclinically</w:t>
      </w:r>
      <w:proofErr w:type="spellEnd"/>
      <w:r w:rsidRPr="004622FC">
        <w:rPr>
          <w:lang w:val="en-IE"/>
        </w:rPr>
        <w:t xml:space="preserve"> infected carriers. The specificity of the ELISA is increased by </w:t>
      </w:r>
      <w:r w:rsidRPr="004622FC">
        <w:rPr>
          <w:i/>
          <w:lang w:val="en-IE"/>
        </w:rPr>
        <w:t xml:space="preserve">M. </w:t>
      </w:r>
      <w:proofErr w:type="spellStart"/>
      <w:r w:rsidRPr="004622FC">
        <w:rPr>
          <w:i/>
          <w:lang w:val="en-IE"/>
        </w:rPr>
        <w:t>phlei</w:t>
      </w:r>
      <w:proofErr w:type="spellEnd"/>
      <w:r w:rsidRPr="004622FC">
        <w:rPr>
          <w:i/>
          <w:lang w:val="en-IE"/>
        </w:rPr>
        <w:t xml:space="preserve"> </w:t>
      </w:r>
      <w:r w:rsidRPr="004622FC">
        <w:rPr>
          <w:lang w:val="en-IE"/>
        </w:rPr>
        <w:t xml:space="preserve">absorption of sera. The absorbed ELISA, designed by </w:t>
      </w:r>
      <w:proofErr w:type="spellStart"/>
      <w:r w:rsidRPr="004622FC">
        <w:rPr>
          <w:lang w:val="en-IE"/>
        </w:rPr>
        <w:t>Yokomizo</w:t>
      </w:r>
      <w:proofErr w:type="spellEnd"/>
      <w:r w:rsidRPr="004622FC">
        <w:rPr>
          <w:lang w:val="en-IE"/>
        </w:rPr>
        <w:t xml:space="preserve"> </w:t>
      </w:r>
      <w:r w:rsidRPr="004622FC">
        <w:rPr>
          <w:i/>
          <w:lang w:val="en-IE"/>
        </w:rPr>
        <w:t>et al</w:t>
      </w:r>
      <w:r w:rsidRPr="004622FC">
        <w:rPr>
          <w:lang w:val="en-IE"/>
        </w:rPr>
        <w:t>.</w:t>
      </w:r>
      <w:r w:rsidRPr="004622FC">
        <w:rPr>
          <w:i/>
          <w:lang w:val="en-IE"/>
        </w:rPr>
        <w:t xml:space="preserve"> </w:t>
      </w:r>
      <w:r w:rsidRPr="004622FC">
        <w:rPr>
          <w:lang w:val="en-IE"/>
        </w:rPr>
        <w:t xml:space="preserve">(1983; 1985) and modified by Milner </w:t>
      </w:r>
      <w:r w:rsidRPr="004622FC">
        <w:rPr>
          <w:i/>
          <w:lang w:val="en-IE"/>
        </w:rPr>
        <w:t>et al</w:t>
      </w:r>
      <w:r w:rsidRPr="004622FC">
        <w:rPr>
          <w:lang w:val="en-IE"/>
        </w:rPr>
        <w:t xml:space="preserve">. (1988), was developed into a commercial kit by Cox </w:t>
      </w:r>
      <w:r w:rsidRPr="004622FC">
        <w:rPr>
          <w:i/>
          <w:lang w:val="en-IE"/>
        </w:rPr>
        <w:t>et al</w:t>
      </w:r>
      <w:r w:rsidRPr="004622FC">
        <w:rPr>
          <w:lang w:val="en-IE"/>
        </w:rPr>
        <w:t xml:space="preserve">. (1991). </w:t>
      </w:r>
    </w:p>
    <w:p w14:paraId="117DA6FA" w14:textId="77777777" w:rsidR="00B60464" w:rsidRPr="004622FC" w:rsidRDefault="00B60464" w:rsidP="00B60464">
      <w:pPr>
        <w:pStyle w:val="11Para"/>
        <w:rPr>
          <w:lang w:val="en-IE"/>
        </w:rPr>
      </w:pPr>
      <w:r w:rsidRPr="004622FC">
        <w:rPr>
          <w:lang w:val="en-IE"/>
        </w:rPr>
        <w:t xml:space="preserve">The ELISA detects about 30–40% cattle identified as infected by culture of faeces on solid media (Whitlock </w:t>
      </w:r>
      <w:r w:rsidRPr="004622FC">
        <w:rPr>
          <w:i/>
          <w:lang w:val="en-IE"/>
        </w:rPr>
        <w:t>et al</w:t>
      </w:r>
      <w:r w:rsidRPr="004622FC">
        <w:rPr>
          <w:lang w:val="en-IE"/>
        </w:rPr>
        <w:t xml:space="preserve">., 2000). Similarly to the culture methods, the sensitivity of the ELISA depends on the level of </w:t>
      </w:r>
      <w:r w:rsidRPr="004622FC">
        <w:rPr>
          <w:i/>
          <w:snapToGrid w:val="0"/>
          <w:lang w:val="en-IE"/>
        </w:rPr>
        <w:t>M</w:t>
      </w:r>
      <w:r w:rsidRPr="004622FC">
        <w:rPr>
          <w:i/>
          <w:lang w:val="en-IE"/>
        </w:rPr>
        <w:t>AP</w:t>
      </w:r>
      <w:r w:rsidRPr="004622FC">
        <w:rPr>
          <w:lang w:val="en-IE"/>
        </w:rPr>
        <w:t xml:space="preserve"> shedding in faeces and the age of animals. A large study performed in Australia showed that the actual sensitivity of the ELISA in 2-, 3- and 4-year-old cows was 1.2%, 8.9% and 11.6%, respectively, but remained between 20 and 30% in older age-groups (</w:t>
      </w:r>
      <w:proofErr w:type="spellStart"/>
      <w:r w:rsidRPr="004622FC">
        <w:rPr>
          <w:lang w:val="en-IE"/>
        </w:rPr>
        <w:t>Jubb</w:t>
      </w:r>
      <w:proofErr w:type="spellEnd"/>
      <w:r w:rsidRPr="004622FC">
        <w:rPr>
          <w:lang w:val="en-IE"/>
        </w:rPr>
        <w:t xml:space="preserve"> </w:t>
      </w:r>
      <w:r w:rsidRPr="004622FC">
        <w:rPr>
          <w:i/>
          <w:lang w:val="en-IE"/>
        </w:rPr>
        <w:t>et al</w:t>
      </w:r>
      <w:r w:rsidRPr="004622FC">
        <w:rPr>
          <w:lang w:val="en-IE"/>
        </w:rPr>
        <w:t>., 2004). The overall actual sensitivity for all age-groups was calculated to be about 15% (</w:t>
      </w:r>
      <w:proofErr w:type="spellStart"/>
      <w:r w:rsidRPr="004622FC">
        <w:rPr>
          <w:lang w:val="en-IE"/>
        </w:rPr>
        <w:t>Jubb</w:t>
      </w:r>
      <w:proofErr w:type="spellEnd"/>
      <w:r w:rsidRPr="004622FC">
        <w:rPr>
          <w:lang w:val="en-IE"/>
        </w:rPr>
        <w:t xml:space="preserve"> </w:t>
      </w:r>
      <w:r w:rsidRPr="004622FC">
        <w:rPr>
          <w:i/>
          <w:lang w:val="en-IE"/>
        </w:rPr>
        <w:t>et al</w:t>
      </w:r>
      <w:r w:rsidRPr="004622FC">
        <w:rPr>
          <w:lang w:val="en-IE"/>
        </w:rPr>
        <w:t xml:space="preserve">., 2004; Whitlock </w:t>
      </w:r>
      <w:r w:rsidRPr="004622FC">
        <w:rPr>
          <w:i/>
          <w:lang w:val="en-IE"/>
        </w:rPr>
        <w:t>et al</w:t>
      </w:r>
      <w:r w:rsidRPr="004622FC">
        <w:rPr>
          <w:lang w:val="en-IE"/>
        </w:rPr>
        <w:t>., 2000). In cattle, the sensitivities of ELISA are in the range 7–94%, and the specificities of ELISA are in the range 40–100% (Nielsen &amp; Toft, 2008).</w:t>
      </w:r>
    </w:p>
    <w:p w14:paraId="1C7B9153" w14:textId="77777777" w:rsidR="00B60464" w:rsidRPr="004622FC" w:rsidRDefault="00B60464" w:rsidP="00B60464">
      <w:pPr>
        <w:pStyle w:val="11Para"/>
        <w:rPr>
          <w:lang w:val="en-IE"/>
        </w:rPr>
      </w:pPr>
      <w:r w:rsidRPr="004622FC">
        <w:rPr>
          <w:lang w:val="en-IE"/>
        </w:rPr>
        <w:t>In small ruminants the commercially available ELISA had a specificity of 98.2–99.5% (95% confidence intervals [CI]) and detected 35–54% (95% CI) of animals with histological evidence of infection</w:t>
      </w:r>
      <w:r w:rsidRPr="004622FC" w:rsidDel="00B10B63">
        <w:rPr>
          <w:lang w:val="en-IE"/>
        </w:rPr>
        <w:t xml:space="preserve"> </w:t>
      </w:r>
      <w:r w:rsidRPr="004622FC">
        <w:rPr>
          <w:lang w:val="en-IE"/>
        </w:rPr>
        <w:t xml:space="preserve">(Hope </w:t>
      </w:r>
      <w:r w:rsidRPr="004622FC">
        <w:rPr>
          <w:i/>
          <w:lang w:val="en-IE"/>
        </w:rPr>
        <w:t>et al</w:t>
      </w:r>
      <w:r w:rsidRPr="004622FC">
        <w:rPr>
          <w:lang w:val="en-IE"/>
        </w:rPr>
        <w:t xml:space="preserve">., 2000). In another study, the estimated specificity of an in-house ELISA was 99% and its sensitivity measured against histological results was 21.9% (Sergeant </w:t>
      </w:r>
      <w:r w:rsidRPr="004622FC">
        <w:rPr>
          <w:i/>
          <w:lang w:val="en-IE"/>
        </w:rPr>
        <w:t>et al</w:t>
      </w:r>
      <w:r w:rsidRPr="004622FC">
        <w:rPr>
          <w:lang w:val="en-IE"/>
        </w:rPr>
        <w:t>., 2003). In small ruminants, the sensitivities of ELISA are in the range 16–100%, and the specificities of ELISA are in the range 79–100% (Nielsen &amp; Toft, 2008).</w:t>
      </w:r>
    </w:p>
    <w:p w14:paraId="4B82E216" w14:textId="77777777" w:rsidR="00B60464" w:rsidRPr="002060A9" w:rsidRDefault="00B60464" w:rsidP="00B60464">
      <w:pPr>
        <w:pStyle w:val="11Para"/>
        <w:rPr>
          <w:lang w:val="en-IE"/>
        </w:rPr>
      </w:pPr>
      <w:r w:rsidRPr="004622FC">
        <w:rPr>
          <w:lang w:val="en-IE"/>
        </w:rPr>
        <w:t>The absorbed ELISA combines the sensitivity of ELISA with the added specificity of an absorption</w:t>
      </w:r>
      <w:r w:rsidRPr="002060A9">
        <w:rPr>
          <w:lang w:val="en-IE"/>
        </w:rPr>
        <w:t xml:space="preserve"> step. Sera to be tested are diluted with buffer containing soluble </w:t>
      </w:r>
      <w:r w:rsidRPr="002060A9">
        <w:rPr>
          <w:i/>
          <w:lang w:val="en-IE"/>
        </w:rPr>
        <w:t xml:space="preserve">M. </w:t>
      </w:r>
      <w:proofErr w:type="spellStart"/>
      <w:r w:rsidRPr="002060A9">
        <w:rPr>
          <w:i/>
          <w:lang w:val="en-IE"/>
        </w:rPr>
        <w:t>phlei</w:t>
      </w:r>
      <w:proofErr w:type="spellEnd"/>
      <w:r w:rsidRPr="002060A9">
        <w:rPr>
          <w:lang w:val="en-IE"/>
        </w:rPr>
        <w:t xml:space="preserve"> antigen prior to testing in an indirect ELISA. This procedure eliminates nonspecific cross-reacting antibodies. In early versions, sera were absorbed with whole </w:t>
      </w:r>
      <w:r w:rsidRPr="002060A9">
        <w:rPr>
          <w:i/>
          <w:lang w:val="en-IE"/>
        </w:rPr>
        <w:t xml:space="preserve">M. </w:t>
      </w:r>
      <w:proofErr w:type="spellStart"/>
      <w:r w:rsidRPr="002060A9">
        <w:rPr>
          <w:i/>
          <w:lang w:val="en-IE"/>
        </w:rPr>
        <w:t>phlei</w:t>
      </w:r>
      <w:proofErr w:type="spellEnd"/>
      <w:r w:rsidRPr="002060A9">
        <w:rPr>
          <w:lang w:val="en-IE"/>
        </w:rPr>
        <w:t>, which were removed by centrifugation prior to testing.</w:t>
      </w:r>
    </w:p>
    <w:p w14:paraId="77284406" w14:textId="77777777" w:rsidR="00B60464" w:rsidRPr="002060A9" w:rsidRDefault="00B60464" w:rsidP="00B60464">
      <w:pPr>
        <w:pStyle w:val="11Para"/>
        <w:rPr>
          <w:lang w:val="en-IE"/>
        </w:rPr>
      </w:pPr>
      <w:r w:rsidRPr="002060A9">
        <w:rPr>
          <w:lang w:val="en-IE"/>
        </w:rPr>
        <w:t xml:space="preserve">A </w:t>
      </w:r>
      <w:proofErr w:type="spellStart"/>
      <w:r w:rsidRPr="002060A9">
        <w:rPr>
          <w:lang w:val="en-IE"/>
        </w:rPr>
        <w:t>microtitre</w:t>
      </w:r>
      <w:proofErr w:type="spellEnd"/>
      <w:r w:rsidRPr="002060A9">
        <w:rPr>
          <w:lang w:val="en-IE"/>
        </w:rPr>
        <w:t xml:space="preserve"> plate format has been developed in which </w:t>
      </w:r>
      <w:r w:rsidRPr="002060A9">
        <w:rPr>
          <w:i/>
          <w:snapToGrid w:val="0"/>
          <w:lang w:val="en-IE"/>
        </w:rPr>
        <w:t>M</w:t>
      </w:r>
      <w:r w:rsidRPr="00E85A02">
        <w:rPr>
          <w:i/>
          <w:lang w:val="en-IE"/>
        </w:rPr>
        <w:t>AP</w:t>
      </w:r>
      <w:r w:rsidRPr="002060A9">
        <w:rPr>
          <w:lang w:val="en-IE"/>
        </w:rPr>
        <w:t xml:space="preserve"> antigen is coated on to 96-well plates. Samples are diluted in sample diluent containing </w:t>
      </w:r>
      <w:r w:rsidRPr="002060A9">
        <w:rPr>
          <w:i/>
          <w:lang w:val="en-IE"/>
        </w:rPr>
        <w:t xml:space="preserve">M. </w:t>
      </w:r>
      <w:proofErr w:type="spellStart"/>
      <w:r w:rsidRPr="002060A9">
        <w:rPr>
          <w:i/>
          <w:lang w:val="en-IE"/>
        </w:rPr>
        <w:t>phlei</w:t>
      </w:r>
      <w:proofErr w:type="spellEnd"/>
      <w:r w:rsidRPr="002060A9">
        <w:rPr>
          <w:lang w:val="en-IE"/>
        </w:rPr>
        <w:t xml:space="preserve"> to remove cross-reacting antibodies. On incubation of the diluted sample in the coated well, antibody specific to </w:t>
      </w:r>
      <w:r w:rsidRPr="002060A9">
        <w:rPr>
          <w:i/>
          <w:snapToGrid w:val="0"/>
          <w:lang w:val="en-IE"/>
        </w:rPr>
        <w:t>M</w:t>
      </w:r>
      <w:r w:rsidRPr="00E85A02">
        <w:rPr>
          <w:i/>
          <w:lang w:val="en-IE"/>
        </w:rPr>
        <w:t>AP</w:t>
      </w:r>
      <w:r w:rsidRPr="002060A9">
        <w:rPr>
          <w:lang w:val="en-IE"/>
        </w:rPr>
        <w:t xml:space="preserve"> forms a complex with the coated antigens. After washing away unbound materials from the wells, horseradish peroxidase (HRPO)-labelled anti-bovine immunoglobulin is added. This reacts with immunoglobulins bound to the solid-phase antigen. The rate of conversion of substrate is proportional to the amount of bound immunoglobulin. Subsequent colour, measured spectrophotometrically (at the wavelength appropriate to the chromogen used) is proportional to the amount of antibody present in the test sample.</w:t>
      </w:r>
    </w:p>
    <w:p w14:paraId="5EC698CF" w14:textId="77777777" w:rsidR="00B60464" w:rsidRPr="004622FC" w:rsidRDefault="00B60464" w:rsidP="00B60464">
      <w:pPr>
        <w:pStyle w:val="11Para"/>
        <w:rPr>
          <w:lang w:val="en-IE"/>
        </w:rPr>
      </w:pPr>
      <w:r w:rsidRPr="002060A9">
        <w:rPr>
          <w:lang w:val="en-IE"/>
        </w:rPr>
        <w:t>Several absorbed ELISA kits are commercially available. The method and test materials needed, the interpretation of the results and calculations are fully described in the instructions accompanying the commercial kit. It has been reported that several commercially available ELISAs have similar sensitivities and specificities. Some commercial kits offer an option of testing milk samples. The ELISA on bovine and caprine milk has been found to have specificity similar to that of the serum ELISA</w:t>
      </w:r>
      <w:r w:rsidR="000A2B71" w:rsidRPr="002060A9">
        <w:rPr>
          <w:lang w:val="en-IE"/>
        </w:rPr>
        <w:t>, but less sensitive than the blood test</w:t>
      </w:r>
      <w:r w:rsidRPr="002060A9">
        <w:rPr>
          <w:lang w:val="en-IE"/>
        </w:rPr>
        <w:t xml:space="preserve"> (</w:t>
      </w:r>
      <w:r w:rsidR="000A2B71" w:rsidRPr="004622FC">
        <w:rPr>
          <w:lang w:val="en-IE"/>
        </w:rPr>
        <w:t xml:space="preserve">Hendrick </w:t>
      </w:r>
      <w:r w:rsidR="000A2B71" w:rsidRPr="004622FC">
        <w:rPr>
          <w:i/>
          <w:lang w:val="en-IE"/>
        </w:rPr>
        <w:t>et al</w:t>
      </w:r>
      <w:r w:rsidR="000A2B71" w:rsidRPr="004622FC">
        <w:rPr>
          <w:lang w:val="en-IE"/>
        </w:rPr>
        <w:t xml:space="preserve">., 2005; </w:t>
      </w:r>
      <w:r w:rsidRPr="004622FC">
        <w:rPr>
          <w:lang w:val="en-IE"/>
        </w:rPr>
        <w:t xml:space="preserve">Salgado </w:t>
      </w:r>
      <w:r w:rsidRPr="004622FC">
        <w:rPr>
          <w:i/>
          <w:lang w:val="en-IE"/>
        </w:rPr>
        <w:t>et al</w:t>
      </w:r>
      <w:r w:rsidRPr="004622FC">
        <w:rPr>
          <w:lang w:val="en-IE"/>
        </w:rPr>
        <w:t>., 2005). In cattle, the sensitivities of milk ELISA are in the range 21–61%, and the specificities of milk ELISA are in the range 83–100% (Nielsen &amp; Toft, 2008).</w:t>
      </w:r>
    </w:p>
    <w:p w14:paraId="30C75528" w14:textId="77777777" w:rsidR="00B66F35" w:rsidRPr="00057EC5" w:rsidRDefault="00846008" w:rsidP="00167A02">
      <w:pPr>
        <w:pStyle w:val="11"/>
        <w:keepNext/>
        <w:rPr>
          <w:highlight w:val="yellow"/>
          <w:u w:val="double"/>
          <w:lang w:val="en-IE"/>
        </w:rPr>
      </w:pPr>
      <w:r w:rsidRPr="00057EC5">
        <w:rPr>
          <w:highlight w:val="yellow"/>
          <w:u w:val="double"/>
          <w:lang w:val="en-IE"/>
        </w:rPr>
        <w:lastRenderedPageBreak/>
        <w:t>2.</w:t>
      </w:r>
      <w:r w:rsidR="00B60464" w:rsidRPr="00057EC5">
        <w:rPr>
          <w:highlight w:val="yellow"/>
          <w:u w:val="double"/>
          <w:lang w:val="en-IE"/>
        </w:rPr>
        <w:t>2</w:t>
      </w:r>
      <w:r w:rsidRPr="00057EC5">
        <w:rPr>
          <w:highlight w:val="yellow"/>
          <w:u w:val="double"/>
          <w:lang w:val="en-IE"/>
        </w:rPr>
        <w:t>.</w:t>
      </w:r>
      <w:r w:rsidR="00B66F35" w:rsidRPr="00057EC5">
        <w:rPr>
          <w:highlight w:val="yellow"/>
          <w:u w:val="double"/>
          <w:lang w:val="en-IE"/>
        </w:rPr>
        <w:tab/>
      </w:r>
      <w:bookmarkStart w:id="1" w:name="_Hlk20149653"/>
      <w:r w:rsidR="00B66F35" w:rsidRPr="00057EC5">
        <w:rPr>
          <w:highlight w:val="yellow"/>
          <w:u w:val="double"/>
          <w:lang w:val="en-IE"/>
        </w:rPr>
        <w:t>Complement fixation test</w:t>
      </w:r>
      <w:bookmarkEnd w:id="1"/>
    </w:p>
    <w:p w14:paraId="6A1AB579" w14:textId="77777777" w:rsidR="00B66F35" w:rsidRPr="00057EC5" w:rsidRDefault="00B66F35" w:rsidP="00167A02">
      <w:pPr>
        <w:pStyle w:val="11Para"/>
        <w:keepLines/>
        <w:rPr>
          <w:highlight w:val="yellow"/>
          <w:u w:val="double"/>
          <w:lang w:val="en-IE"/>
        </w:rPr>
      </w:pPr>
      <w:r w:rsidRPr="00057EC5">
        <w:rPr>
          <w:highlight w:val="yellow"/>
          <w:u w:val="double"/>
          <w:lang w:val="en-IE"/>
        </w:rPr>
        <w:t>The CF</w:t>
      </w:r>
      <w:r w:rsidR="00792CDA" w:rsidRPr="00057EC5">
        <w:rPr>
          <w:highlight w:val="yellow"/>
          <w:u w:val="double"/>
          <w:lang w:val="en-IE"/>
        </w:rPr>
        <w:t>T</w:t>
      </w:r>
      <w:r w:rsidRPr="00057EC5">
        <w:rPr>
          <w:highlight w:val="yellow"/>
          <w:u w:val="double"/>
          <w:lang w:val="en-IE"/>
        </w:rPr>
        <w:t xml:space="preserve"> has been the standard test used for cattle for many years. The </w:t>
      </w:r>
      <w:r w:rsidR="00792CDA" w:rsidRPr="00057EC5">
        <w:rPr>
          <w:highlight w:val="yellow"/>
          <w:u w:val="double"/>
          <w:lang w:val="en-IE"/>
        </w:rPr>
        <w:t xml:space="preserve">CFT </w:t>
      </w:r>
      <w:r w:rsidRPr="00057EC5">
        <w:rPr>
          <w:highlight w:val="yellow"/>
          <w:u w:val="double"/>
          <w:lang w:val="en-IE"/>
        </w:rPr>
        <w:t>works well on clinically suspect animals, but does not have sufficient specificity to enable its use in the general population for control purposes. Nevertheless, it is often demanded by countries that import cattle</w:t>
      </w:r>
      <w:r w:rsidR="00DB4A7B" w:rsidRPr="00057EC5">
        <w:rPr>
          <w:highlight w:val="yellow"/>
          <w:u w:val="double"/>
          <w:lang w:val="en-IE"/>
        </w:rPr>
        <w:t>.</w:t>
      </w:r>
      <w:r w:rsidR="00C934C8" w:rsidRPr="00057EC5">
        <w:rPr>
          <w:highlight w:val="yellow"/>
          <w:u w:val="double"/>
          <w:lang w:val="en-IE"/>
        </w:rPr>
        <w:t xml:space="preserve"> </w:t>
      </w:r>
      <w:r w:rsidRPr="00057EC5">
        <w:rPr>
          <w:highlight w:val="yellow"/>
          <w:u w:val="double"/>
          <w:lang w:val="en-IE"/>
        </w:rPr>
        <w:t xml:space="preserve">A variety of </w:t>
      </w:r>
      <w:r w:rsidR="00792CDA" w:rsidRPr="00057EC5">
        <w:rPr>
          <w:highlight w:val="yellow"/>
          <w:u w:val="double"/>
          <w:lang w:val="en-IE"/>
        </w:rPr>
        <w:t>CFT</w:t>
      </w:r>
      <w:r w:rsidRPr="00057EC5">
        <w:rPr>
          <w:highlight w:val="yellow"/>
          <w:u w:val="double"/>
          <w:lang w:val="en-IE"/>
        </w:rPr>
        <w:t xml:space="preserve"> procedures are used internationally. </w:t>
      </w:r>
      <w:r w:rsidR="0042050C" w:rsidRPr="00057EC5">
        <w:rPr>
          <w:highlight w:val="yellow"/>
          <w:u w:val="double"/>
          <w:lang w:val="en-IE"/>
        </w:rPr>
        <w:t>There are no international pattern sera with standardised complement fixation units for use as a reference</w:t>
      </w:r>
      <w:r w:rsidR="00DD346A" w:rsidRPr="00057EC5">
        <w:rPr>
          <w:highlight w:val="yellow"/>
          <w:u w:val="double"/>
          <w:lang w:val="en-IE"/>
        </w:rPr>
        <w:t>.</w:t>
      </w:r>
      <w:r w:rsidR="0042050C" w:rsidRPr="00057EC5">
        <w:rPr>
          <w:highlight w:val="yellow"/>
          <w:u w:val="double"/>
          <w:lang w:val="en-IE"/>
        </w:rPr>
        <w:t xml:space="preserve"> </w:t>
      </w:r>
      <w:r w:rsidR="000A2B71" w:rsidRPr="00057EC5">
        <w:rPr>
          <w:highlight w:val="yellow"/>
          <w:u w:val="double"/>
          <w:lang w:val="en-IE"/>
        </w:rPr>
        <w:t xml:space="preserve">An example of a </w:t>
      </w:r>
      <w:proofErr w:type="spellStart"/>
      <w:r w:rsidR="000A2B71" w:rsidRPr="00057EC5">
        <w:rPr>
          <w:highlight w:val="yellow"/>
          <w:u w:val="double"/>
          <w:lang w:val="en-IE"/>
        </w:rPr>
        <w:t>microtitre</w:t>
      </w:r>
      <w:proofErr w:type="spellEnd"/>
      <w:r w:rsidR="000A2B71" w:rsidRPr="00057EC5">
        <w:rPr>
          <w:highlight w:val="yellow"/>
          <w:u w:val="double"/>
          <w:lang w:val="en-IE"/>
        </w:rPr>
        <w:t xml:space="preserve"> method for performing the CFT is given.</w:t>
      </w:r>
    </w:p>
    <w:p w14:paraId="1DB0C9E9" w14:textId="77777777" w:rsidR="00846008" w:rsidRPr="00057EC5" w:rsidRDefault="000A2B71" w:rsidP="00846008">
      <w:pPr>
        <w:pStyle w:val="111"/>
        <w:rPr>
          <w:highlight w:val="yellow"/>
          <w:u w:val="double"/>
          <w:lang w:val="en-IE"/>
        </w:rPr>
      </w:pPr>
      <w:r w:rsidRPr="00057EC5">
        <w:rPr>
          <w:highlight w:val="yellow"/>
          <w:u w:val="double"/>
          <w:lang w:val="en-IE"/>
        </w:rPr>
        <w:t>2.1.1.</w:t>
      </w:r>
      <w:r w:rsidRPr="00057EC5">
        <w:rPr>
          <w:highlight w:val="yellow"/>
          <w:u w:val="double"/>
          <w:lang w:val="en-IE"/>
        </w:rPr>
        <w:tab/>
        <w:t>Test procedure</w:t>
      </w:r>
    </w:p>
    <w:p w14:paraId="223EB927" w14:textId="77777777" w:rsidR="00B66F35" w:rsidRPr="00057EC5" w:rsidRDefault="000A2B71" w:rsidP="009504B9">
      <w:pPr>
        <w:pStyle w:val="i"/>
        <w:rPr>
          <w:highlight w:val="yellow"/>
          <w:u w:val="double"/>
          <w:lang w:val="en-IE"/>
        </w:rPr>
      </w:pPr>
      <w:proofErr w:type="spellStart"/>
      <w:r w:rsidRPr="00057EC5">
        <w:rPr>
          <w:highlight w:val="yellow"/>
          <w:u w:val="double"/>
          <w:lang w:val="en-IE"/>
        </w:rPr>
        <w:t>i</w:t>
      </w:r>
      <w:proofErr w:type="spellEnd"/>
      <w:r w:rsidRPr="00057EC5">
        <w:rPr>
          <w:highlight w:val="yellow"/>
          <w:u w:val="double"/>
          <w:lang w:val="en-IE"/>
        </w:rPr>
        <w:t>)</w:t>
      </w:r>
      <w:r w:rsidRPr="00057EC5">
        <w:rPr>
          <w:highlight w:val="yellow"/>
          <w:u w:val="double"/>
          <w:lang w:val="en-IE"/>
        </w:rPr>
        <w:tab/>
        <w:t>The antigen is an aqueous extract of bacteria from which lipid has been removed</w:t>
      </w:r>
      <w:r w:rsidRPr="00057EC5">
        <w:rPr>
          <w:i/>
          <w:highlight w:val="yellow"/>
          <w:u w:val="double"/>
          <w:lang w:val="en-IE"/>
        </w:rPr>
        <w:t xml:space="preserve"> </w:t>
      </w:r>
      <w:r w:rsidRPr="00057EC5">
        <w:rPr>
          <w:highlight w:val="yellow"/>
          <w:u w:val="double"/>
          <w:lang w:val="en-IE"/>
        </w:rPr>
        <w:t xml:space="preserve">(strain </w:t>
      </w:r>
      <w:r w:rsidRPr="00057EC5">
        <w:rPr>
          <w:i/>
          <w:highlight w:val="yellow"/>
          <w:u w:val="double"/>
          <w:lang w:val="en-IE"/>
        </w:rPr>
        <w:t>M. paratuberculosis</w:t>
      </w:r>
      <w:r w:rsidRPr="00057EC5">
        <w:rPr>
          <w:highlight w:val="yellow"/>
          <w:u w:val="double"/>
          <w:lang w:val="en-IE"/>
        </w:rPr>
        <w:t xml:space="preserve"> 316F). </w:t>
      </w:r>
      <w:r w:rsidRPr="00057EC5">
        <w:rPr>
          <w:i/>
          <w:highlight w:val="yellow"/>
          <w:u w:val="double"/>
          <w:lang w:val="en-IE"/>
        </w:rPr>
        <w:t>Mycobacterium avium</w:t>
      </w:r>
      <w:r w:rsidRPr="00057EC5">
        <w:rPr>
          <w:highlight w:val="yellow"/>
          <w:u w:val="double"/>
          <w:lang w:val="en-IE"/>
        </w:rPr>
        <w:t xml:space="preserve"> D9 may also be used.</w:t>
      </w:r>
    </w:p>
    <w:p w14:paraId="5B51C7E9" w14:textId="77777777" w:rsidR="00B66F35" w:rsidRPr="00057EC5" w:rsidRDefault="000A2B71" w:rsidP="009504B9">
      <w:pPr>
        <w:pStyle w:val="i"/>
        <w:rPr>
          <w:highlight w:val="yellow"/>
          <w:u w:val="double"/>
          <w:lang w:val="en-IE"/>
        </w:rPr>
      </w:pPr>
      <w:r w:rsidRPr="00057EC5">
        <w:rPr>
          <w:highlight w:val="yellow"/>
          <w:u w:val="double"/>
          <w:lang w:val="en-IE"/>
        </w:rPr>
        <w:t>ii)</w:t>
      </w:r>
      <w:r w:rsidRPr="00057EC5">
        <w:rPr>
          <w:highlight w:val="yellow"/>
          <w:u w:val="double"/>
          <w:lang w:val="en-IE"/>
        </w:rPr>
        <w:tab/>
        <w:t>All sera are inactivated in the water bath at 60°C for 30 minutes and diluted at 1/4, 1/8 and 1/16. A positive control serum and a negative control serum should be included on each plate. The following controls are also prepared: antigen control, complement control and haemolytic system control.</w:t>
      </w:r>
    </w:p>
    <w:p w14:paraId="6B6F1F11" w14:textId="77777777" w:rsidR="00B66F35" w:rsidRPr="00057EC5" w:rsidRDefault="000A2B71" w:rsidP="009504B9">
      <w:pPr>
        <w:pStyle w:val="i"/>
        <w:rPr>
          <w:highlight w:val="yellow"/>
          <w:u w:val="double"/>
          <w:lang w:val="en-IE"/>
        </w:rPr>
      </w:pPr>
      <w:r w:rsidRPr="00057EC5">
        <w:rPr>
          <w:highlight w:val="yellow"/>
          <w:u w:val="double"/>
          <w:lang w:val="en-IE"/>
        </w:rPr>
        <w:t>iii)</w:t>
      </w:r>
      <w:r w:rsidRPr="00057EC5">
        <w:rPr>
          <w:highlight w:val="yellow"/>
          <w:u w:val="double"/>
          <w:lang w:val="en-IE"/>
        </w:rPr>
        <w:tab/>
        <w:t>Reconstituted, freeze-dried complement is diluted to contain six times H</w:t>
      </w:r>
      <w:r w:rsidRPr="00057EC5">
        <w:rPr>
          <w:position w:val="-4"/>
          <w:sz w:val="14"/>
          <w:highlight w:val="yellow"/>
          <w:u w:val="double"/>
          <w:lang w:val="en-IE"/>
        </w:rPr>
        <w:t>50</w:t>
      </w:r>
      <w:r w:rsidRPr="00057EC5">
        <w:rPr>
          <w:highlight w:val="yellow"/>
          <w:u w:val="double"/>
          <w:lang w:val="en-IE"/>
        </w:rPr>
        <w:t xml:space="preserve"> (50% haemolysing dose) as calculated by titration against the antigen.</w:t>
      </w:r>
    </w:p>
    <w:p w14:paraId="2107BED2" w14:textId="77777777" w:rsidR="00B66F35" w:rsidRPr="00057EC5" w:rsidRDefault="000A2B71" w:rsidP="009504B9">
      <w:pPr>
        <w:pStyle w:val="i"/>
        <w:rPr>
          <w:highlight w:val="yellow"/>
          <w:u w:val="double"/>
          <w:lang w:val="en-IE"/>
        </w:rPr>
      </w:pPr>
      <w:r w:rsidRPr="00057EC5">
        <w:rPr>
          <w:highlight w:val="yellow"/>
          <w:u w:val="double"/>
          <w:lang w:val="en-IE"/>
        </w:rPr>
        <w:t>iv)</w:t>
      </w:r>
      <w:r w:rsidRPr="00057EC5">
        <w:rPr>
          <w:highlight w:val="yellow"/>
          <w:u w:val="double"/>
          <w:lang w:val="en-IE"/>
        </w:rPr>
        <w:tab/>
        <w:t>Sheep erythrocytes, 2.5%, are sensitised with 2 units of H</w:t>
      </w:r>
      <w:r w:rsidRPr="00057EC5">
        <w:rPr>
          <w:position w:val="-4"/>
          <w:sz w:val="14"/>
          <w:highlight w:val="yellow"/>
          <w:u w:val="double"/>
          <w:lang w:val="en-IE"/>
        </w:rPr>
        <w:t>100</w:t>
      </w:r>
      <w:r w:rsidRPr="00057EC5">
        <w:rPr>
          <w:highlight w:val="yellow"/>
          <w:u w:val="double"/>
          <w:lang w:val="en-IE"/>
        </w:rPr>
        <w:t xml:space="preserve"> haemolysin.</w:t>
      </w:r>
    </w:p>
    <w:p w14:paraId="41304AA4" w14:textId="77777777" w:rsidR="00B66F35" w:rsidRPr="00057EC5" w:rsidRDefault="000A2B71" w:rsidP="009504B9">
      <w:pPr>
        <w:pStyle w:val="i"/>
        <w:rPr>
          <w:i/>
          <w:highlight w:val="yellow"/>
          <w:u w:val="double"/>
          <w:lang w:val="en-IE"/>
        </w:rPr>
      </w:pPr>
      <w:r w:rsidRPr="00057EC5">
        <w:rPr>
          <w:highlight w:val="yellow"/>
          <w:u w:val="double"/>
          <w:lang w:val="en-IE"/>
        </w:rPr>
        <w:t>v)</w:t>
      </w:r>
      <w:r w:rsidRPr="00057EC5">
        <w:rPr>
          <w:highlight w:val="yellow"/>
          <w:u w:val="double"/>
          <w:lang w:val="en-IE"/>
        </w:rPr>
        <w:tab/>
        <w:t xml:space="preserve">All dilutions and reagents are prepared in calcium/magnesium </w:t>
      </w:r>
      <w:proofErr w:type="spellStart"/>
      <w:r w:rsidRPr="00057EC5">
        <w:rPr>
          <w:highlight w:val="yellow"/>
          <w:u w:val="double"/>
          <w:lang w:val="en-IE"/>
        </w:rPr>
        <w:t>veronal</w:t>
      </w:r>
      <w:proofErr w:type="spellEnd"/>
      <w:r w:rsidRPr="00057EC5">
        <w:rPr>
          <w:highlight w:val="yellow"/>
          <w:u w:val="double"/>
          <w:lang w:val="en-IE"/>
        </w:rPr>
        <w:t xml:space="preserve"> buffer; 25 µl volumes of each reagent are used in 96-well round-bottom microtitration plates.</w:t>
      </w:r>
    </w:p>
    <w:p w14:paraId="74AC52F0" w14:textId="77777777" w:rsidR="00B66F35" w:rsidRPr="00057EC5" w:rsidRDefault="000A2B71" w:rsidP="009504B9">
      <w:pPr>
        <w:pStyle w:val="i"/>
        <w:rPr>
          <w:highlight w:val="yellow"/>
          <w:u w:val="double"/>
          <w:lang w:val="en-IE"/>
        </w:rPr>
      </w:pPr>
      <w:r w:rsidRPr="00057EC5">
        <w:rPr>
          <w:highlight w:val="yellow"/>
          <w:u w:val="double"/>
          <w:lang w:val="en-IE"/>
        </w:rPr>
        <w:t>vi)</w:t>
      </w:r>
      <w:r w:rsidRPr="00057EC5">
        <w:rPr>
          <w:highlight w:val="yellow"/>
          <w:u w:val="double"/>
          <w:lang w:val="en-IE"/>
        </w:rPr>
        <w:tab/>
        <w:t>Primary incubation is at 4°C overnight and secondary incubation is at 37°C for 30 minutes.</w:t>
      </w:r>
    </w:p>
    <w:p w14:paraId="11F6A778" w14:textId="77777777" w:rsidR="002060A9" w:rsidRPr="00057EC5" w:rsidRDefault="000A2B71" w:rsidP="002060A9">
      <w:pPr>
        <w:pStyle w:val="i"/>
        <w:spacing w:after="240"/>
        <w:rPr>
          <w:highlight w:val="yellow"/>
          <w:u w:val="double"/>
          <w:lang w:val="en-IE"/>
        </w:rPr>
      </w:pPr>
      <w:r w:rsidRPr="00057EC5">
        <w:rPr>
          <w:highlight w:val="yellow"/>
          <w:u w:val="double"/>
          <w:lang w:val="en-IE"/>
        </w:rPr>
        <w:t>vii)</w:t>
      </w:r>
      <w:r w:rsidRPr="00057EC5">
        <w:rPr>
          <w:highlight w:val="yellow"/>
          <w:u w:val="double"/>
          <w:lang w:val="en-IE"/>
        </w:rPr>
        <w:tab/>
      </w:r>
      <w:r w:rsidRPr="00057EC5">
        <w:rPr>
          <w:i/>
          <w:highlight w:val="yellow"/>
          <w:u w:val="double"/>
          <w:lang w:val="en-IE"/>
        </w:rPr>
        <w:t xml:space="preserve">Reading and interpreting the results: </w:t>
      </w:r>
      <w:r w:rsidRPr="00057EC5">
        <w:rPr>
          <w:highlight w:val="yellow"/>
          <w:u w:val="double"/>
          <w:lang w:val="en-IE"/>
        </w:rPr>
        <w:t>Plates may be left to settle or centrifuged and read as follows: 4+ = 100% fixation, 3+ = 75% fixation, 2+ = 50% fixation, 1+ = 25% fixation and 0 = complete haemolysis. The titre of test sera is given as the reciprocal of the highest dilution of serum giving 50% fixation. A reaction of 2+ at 1/8 is regarded as positive. Results should be interpreted in relation to clinical signs and other laboratory findings.</w:t>
      </w:r>
    </w:p>
    <w:p w14:paraId="3E8357D2" w14:textId="77777777" w:rsidR="00B66F35" w:rsidRPr="00057EC5" w:rsidRDefault="00846008" w:rsidP="00167A02">
      <w:pPr>
        <w:pStyle w:val="11"/>
        <w:spacing w:after="200"/>
        <w:rPr>
          <w:highlight w:val="yellow"/>
          <w:u w:val="double"/>
          <w:lang w:val="en-IE"/>
        </w:rPr>
      </w:pPr>
      <w:r w:rsidRPr="00057EC5">
        <w:rPr>
          <w:highlight w:val="yellow"/>
          <w:u w:val="double"/>
          <w:lang w:val="en-IE"/>
        </w:rPr>
        <w:t>2.3.</w:t>
      </w:r>
      <w:r w:rsidR="00B66F35" w:rsidRPr="00057EC5">
        <w:rPr>
          <w:highlight w:val="yellow"/>
          <w:u w:val="double"/>
          <w:lang w:val="en-IE"/>
        </w:rPr>
        <w:tab/>
      </w:r>
      <w:bookmarkStart w:id="2" w:name="_Hlk20149667"/>
      <w:r w:rsidR="00B66F35" w:rsidRPr="00057EC5">
        <w:rPr>
          <w:highlight w:val="yellow"/>
          <w:u w:val="double"/>
          <w:lang w:val="en-IE"/>
        </w:rPr>
        <w:t>Agar gel immunodiffusion test</w:t>
      </w:r>
      <w:bookmarkEnd w:id="2"/>
    </w:p>
    <w:p w14:paraId="4FCCFA17" w14:textId="77777777" w:rsidR="00B66F35" w:rsidRPr="00057EC5" w:rsidRDefault="00B66F35" w:rsidP="00167A02">
      <w:pPr>
        <w:pStyle w:val="11Para"/>
        <w:spacing w:after="200"/>
        <w:rPr>
          <w:highlight w:val="yellow"/>
          <w:u w:val="double"/>
          <w:lang w:val="en-IE"/>
        </w:rPr>
      </w:pPr>
      <w:r w:rsidRPr="00057EC5">
        <w:rPr>
          <w:highlight w:val="yellow"/>
          <w:u w:val="double"/>
          <w:lang w:val="en-IE"/>
        </w:rPr>
        <w:t>The AGID test is useful for the confirmation of the disease in clinically suspect cattle, sheep and goats. It has been reported that in small ruminants in New Zealand and Australia the AGID offers slightly higher sensitivity and specificity than that obtained by the ELISAs (</w:t>
      </w:r>
      <w:proofErr w:type="spellStart"/>
      <w:r w:rsidRPr="00057EC5">
        <w:rPr>
          <w:highlight w:val="yellow"/>
          <w:u w:val="double"/>
          <w:lang w:val="en-IE"/>
        </w:rPr>
        <w:t>Gwozdz</w:t>
      </w:r>
      <w:proofErr w:type="spellEnd"/>
      <w:r w:rsidRPr="00057EC5">
        <w:rPr>
          <w:highlight w:val="yellow"/>
          <w:u w:val="double"/>
          <w:lang w:val="en-IE"/>
        </w:rPr>
        <w:t xml:space="preserve"> </w:t>
      </w:r>
      <w:r w:rsidRPr="00057EC5">
        <w:rPr>
          <w:i/>
          <w:highlight w:val="yellow"/>
          <w:u w:val="double"/>
          <w:lang w:val="en-IE"/>
        </w:rPr>
        <w:t>et al</w:t>
      </w:r>
      <w:r w:rsidRPr="00057EC5">
        <w:rPr>
          <w:highlight w:val="yellow"/>
          <w:u w:val="double"/>
          <w:lang w:val="en-IE"/>
        </w:rPr>
        <w:t xml:space="preserve">., 2000; Hope </w:t>
      </w:r>
      <w:r w:rsidRPr="00057EC5">
        <w:rPr>
          <w:i/>
          <w:highlight w:val="yellow"/>
          <w:u w:val="double"/>
          <w:lang w:val="en-IE"/>
        </w:rPr>
        <w:t>et al</w:t>
      </w:r>
      <w:r w:rsidRPr="00057EC5">
        <w:rPr>
          <w:highlight w:val="yellow"/>
          <w:u w:val="double"/>
          <w:lang w:val="en-IE"/>
        </w:rPr>
        <w:t xml:space="preserve">., 2000; Sergeant </w:t>
      </w:r>
      <w:r w:rsidRPr="00057EC5">
        <w:rPr>
          <w:i/>
          <w:highlight w:val="yellow"/>
          <w:u w:val="double"/>
          <w:lang w:val="en-IE"/>
        </w:rPr>
        <w:t>et al</w:t>
      </w:r>
      <w:r w:rsidRPr="00057EC5">
        <w:rPr>
          <w:highlight w:val="yellow"/>
          <w:u w:val="double"/>
          <w:lang w:val="en-IE"/>
        </w:rPr>
        <w:t xml:space="preserve">., 2003). The reported specificity and sensitivity of the AGID measured against histological results were 99–100% (95%CI) and 38–56% (95% CI), respectively (Hope </w:t>
      </w:r>
      <w:r w:rsidRPr="00057EC5">
        <w:rPr>
          <w:i/>
          <w:highlight w:val="yellow"/>
          <w:u w:val="double"/>
          <w:lang w:val="en-IE"/>
        </w:rPr>
        <w:t>et al</w:t>
      </w:r>
      <w:r w:rsidRPr="00057EC5">
        <w:rPr>
          <w:highlight w:val="yellow"/>
          <w:u w:val="double"/>
          <w:lang w:val="en-IE"/>
        </w:rPr>
        <w:t xml:space="preserve">., 2000). </w:t>
      </w:r>
    </w:p>
    <w:p w14:paraId="05A3264A" w14:textId="77777777" w:rsidR="00B66F35" w:rsidRPr="00057EC5" w:rsidRDefault="00B66F35" w:rsidP="00167A02">
      <w:pPr>
        <w:pStyle w:val="11Para"/>
        <w:spacing w:after="200"/>
        <w:rPr>
          <w:highlight w:val="yellow"/>
          <w:u w:val="double"/>
          <w:lang w:val="en-IE"/>
        </w:rPr>
      </w:pPr>
      <w:r w:rsidRPr="00057EC5">
        <w:rPr>
          <w:highlight w:val="yellow"/>
          <w:u w:val="double"/>
          <w:lang w:val="en-IE"/>
        </w:rPr>
        <w:t xml:space="preserve">The antigen employed is a crude protoplasmic extract of laboratory strain </w:t>
      </w:r>
      <w:r w:rsidRPr="00057EC5">
        <w:rPr>
          <w:i/>
          <w:highlight w:val="yellow"/>
          <w:u w:val="double"/>
          <w:lang w:val="en-IE"/>
        </w:rPr>
        <w:t>M. avium</w:t>
      </w:r>
      <w:r w:rsidRPr="00057EC5">
        <w:rPr>
          <w:highlight w:val="yellow"/>
          <w:u w:val="double"/>
          <w:lang w:val="en-IE"/>
        </w:rPr>
        <w:t xml:space="preserve"> 18 (formally </w:t>
      </w:r>
      <w:r w:rsidRPr="00057EC5">
        <w:rPr>
          <w:i/>
          <w:highlight w:val="yellow"/>
          <w:u w:val="double"/>
          <w:lang w:val="en-IE"/>
        </w:rPr>
        <w:t>M. paratuberculosis</w:t>
      </w:r>
      <w:r w:rsidRPr="00057EC5">
        <w:rPr>
          <w:highlight w:val="yellow"/>
          <w:u w:val="double"/>
          <w:lang w:val="en-IE"/>
        </w:rPr>
        <w:t xml:space="preserve"> 18) prepared by disruption of cells in a hydraulic press cell fractionator. Disrupted cells are centrifuged at 40,000 </w:t>
      </w:r>
      <w:r w:rsidRPr="00057EC5">
        <w:rPr>
          <w:b/>
          <w:i/>
          <w:highlight w:val="yellow"/>
          <w:u w:val="double"/>
          <w:lang w:val="en-IE"/>
        </w:rPr>
        <w:t>g</w:t>
      </w:r>
      <w:r w:rsidRPr="00057EC5">
        <w:rPr>
          <w:highlight w:val="yellow"/>
          <w:u w:val="double"/>
          <w:lang w:val="en-IE"/>
        </w:rPr>
        <w:t xml:space="preserve"> for 2 hours to remove cell wall debris, and the supernatant fraction is retained and lyophilised. This antigen is resuspended in water at a concentration of 10 mg/ml.</w:t>
      </w:r>
    </w:p>
    <w:p w14:paraId="5F00A7DE" w14:textId="77777777" w:rsidR="00B66F35" w:rsidRPr="00057EC5" w:rsidRDefault="00B66F35" w:rsidP="00167A02">
      <w:pPr>
        <w:pStyle w:val="11Para"/>
        <w:spacing w:after="200"/>
        <w:rPr>
          <w:highlight w:val="yellow"/>
          <w:u w:val="double"/>
          <w:lang w:val="en-IE"/>
        </w:rPr>
      </w:pPr>
      <w:r w:rsidRPr="00057EC5">
        <w:rPr>
          <w:highlight w:val="yellow"/>
          <w:u w:val="double"/>
          <w:lang w:val="en-IE"/>
        </w:rPr>
        <w:t xml:space="preserve">Agarose is dissolved in barbital buffer, pH 8.6, containing sodium </w:t>
      </w:r>
      <w:proofErr w:type="spellStart"/>
      <w:r w:rsidRPr="00057EC5">
        <w:rPr>
          <w:highlight w:val="yellow"/>
          <w:u w:val="double"/>
          <w:lang w:val="en-IE"/>
        </w:rPr>
        <w:t>azide</w:t>
      </w:r>
      <w:proofErr w:type="spellEnd"/>
      <w:r w:rsidRPr="00057EC5">
        <w:rPr>
          <w:highlight w:val="yellow"/>
          <w:u w:val="double"/>
          <w:lang w:val="en-IE"/>
        </w:rPr>
        <w:t>, to give a final agarose concentration of 0.75%. Agarose may be poured into Petri dishes or on to glass slides. Wells are cut in a hexagonal pattern. Wells are 4 mm in diameter, 4 mm apart, and the agar should be 3–4 mm deep. Antigen is added to centre wells. Test, positive and negative control sera are added to alternate peripheral wells.</w:t>
      </w:r>
    </w:p>
    <w:p w14:paraId="3734D853" w14:textId="77777777" w:rsidR="00B66F35" w:rsidRPr="00057EC5" w:rsidRDefault="00B66F35" w:rsidP="00167A02">
      <w:pPr>
        <w:pStyle w:val="11Para"/>
        <w:spacing w:after="200"/>
        <w:rPr>
          <w:highlight w:val="yellow"/>
          <w:u w:val="double"/>
          <w:lang w:val="en-IE"/>
        </w:rPr>
      </w:pPr>
      <w:r w:rsidRPr="00057EC5">
        <w:rPr>
          <w:highlight w:val="yellow"/>
          <w:u w:val="double"/>
          <w:lang w:val="en-IE"/>
        </w:rPr>
        <w:t xml:space="preserve">Plates are incubated in a humid chamber at room temperature. Gels are examined for precipitation lines after 24 and 48 hours’ incubation. The appearance of one or more clearly definable precipitation line(s), showing identity with that of a control positive serum, before or at 48 hours, constitutes a positive test result. Absence of any precipitation lines is recorded as a negative test result. Nonspecific lines may occur. </w:t>
      </w:r>
    </w:p>
    <w:p w14:paraId="015BB87B" w14:textId="77777777" w:rsidR="00B66F35" w:rsidRPr="00057EC5" w:rsidRDefault="00B66F35" w:rsidP="00846008">
      <w:pPr>
        <w:pStyle w:val="11Para"/>
        <w:rPr>
          <w:u w:val="double"/>
          <w:lang w:val="en-IE"/>
        </w:rPr>
      </w:pPr>
      <w:r w:rsidRPr="00057EC5">
        <w:rPr>
          <w:highlight w:val="yellow"/>
          <w:u w:val="double"/>
          <w:lang w:val="en-IE"/>
        </w:rPr>
        <w:t>Several variations of the method are in use.</w:t>
      </w:r>
    </w:p>
    <w:p w14:paraId="0C93FEA6" w14:textId="77777777" w:rsidR="00B66F35" w:rsidRPr="002060A9" w:rsidRDefault="00B66F35" w:rsidP="00BA58DA">
      <w:pPr>
        <w:pStyle w:val="1"/>
        <w:rPr>
          <w:lang w:val="en-IE"/>
        </w:rPr>
      </w:pPr>
      <w:r w:rsidRPr="002060A9">
        <w:rPr>
          <w:lang w:val="en-IE"/>
        </w:rPr>
        <w:t>3.</w:t>
      </w:r>
      <w:r w:rsidRPr="002060A9">
        <w:rPr>
          <w:lang w:val="en-IE"/>
        </w:rPr>
        <w:tab/>
        <w:t>Tests for cell-mediated immunity</w:t>
      </w:r>
    </w:p>
    <w:p w14:paraId="249CDD27" w14:textId="77777777" w:rsidR="00B66F35" w:rsidRPr="002060A9" w:rsidRDefault="00B66F35" w:rsidP="00537EC5">
      <w:pPr>
        <w:pStyle w:val="para1"/>
        <w:rPr>
          <w:lang w:val="en-IE"/>
        </w:rPr>
      </w:pPr>
      <w:r w:rsidRPr="002060A9">
        <w:rPr>
          <w:lang w:val="en-IE"/>
        </w:rPr>
        <w:t xml:space="preserve">The detection of a systemic cell-mediated response precedes detectable antibody production. Animals that are minimally infected frequently fail to react on serological testing but may react positively to tests that measure </w:t>
      </w:r>
      <w:r w:rsidR="00614D0F" w:rsidRPr="002060A9">
        <w:rPr>
          <w:lang w:val="en-IE"/>
        </w:rPr>
        <w:t>CMI</w:t>
      </w:r>
      <w:r w:rsidRPr="002060A9">
        <w:rPr>
          <w:lang w:val="en-IE"/>
        </w:rPr>
        <w:t>.</w:t>
      </w:r>
      <w:r w:rsidR="00614D0F" w:rsidRPr="002060A9">
        <w:rPr>
          <w:lang w:val="en-IE"/>
        </w:rPr>
        <w:t xml:space="preserve"> In infected populations, a much higher number of animals is expected to react in tests for CMI compared </w:t>
      </w:r>
      <w:r w:rsidR="004D720F" w:rsidRPr="002060A9">
        <w:rPr>
          <w:lang w:val="en-IE"/>
        </w:rPr>
        <w:t>with</w:t>
      </w:r>
      <w:r w:rsidR="00614D0F" w:rsidRPr="002060A9">
        <w:rPr>
          <w:lang w:val="en-IE"/>
        </w:rPr>
        <w:t xml:space="preserve"> antibody tests, as CMI is indicative of exposure while antibodies indicate progress of</w:t>
      </w:r>
      <w:r w:rsidR="0030227B" w:rsidRPr="002060A9">
        <w:rPr>
          <w:lang w:val="en-IE"/>
        </w:rPr>
        <w:t xml:space="preserve"> </w:t>
      </w:r>
      <w:r w:rsidR="009F146F" w:rsidRPr="002060A9">
        <w:rPr>
          <w:lang w:val="en-IE"/>
        </w:rPr>
        <w:t>infection</w:t>
      </w:r>
      <w:r w:rsidR="00614D0F" w:rsidRPr="002060A9">
        <w:rPr>
          <w:lang w:val="en-IE"/>
        </w:rPr>
        <w:t>.</w:t>
      </w:r>
    </w:p>
    <w:p w14:paraId="30DCF982" w14:textId="77777777" w:rsidR="00B66F35" w:rsidRPr="002060A9" w:rsidRDefault="00846008" w:rsidP="00846008">
      <w:pPr>
        <w:pStyle w:val="11"/>
        <w:rPr>
          <w:lang w:val="en-IE"/>
        </w:rPr>
      </w:pPr>
      <w:r w:rsidRPr="002060A9">
        <w:rPr>
          <w:lang w:val="en-IE"/>
        </w:rPr>
        <w:lastRenderedPageBreak/>
        <w:t>3.1.</w:t>
      </w:r>
      <w:r w:rsidR="00B66F35" w:rsidRPr="002060A9">
        <w:rPr>
          <w:lang w:val="en-IE"/>
        </w:rPr>
        <w:tab/>
      </w:r>
      <w:r w:rsidR="00EF6AA1" w:rsidRPr="002060A9">
        <w:rPr>
          <w:lang w:val="en-IE"/>
        </w:rPr>
        <w:t>Interferon-g</w:t>
      </w:r>
      <w:r w:rsidR="00B66F35" w:rsidRPr="002060A9">
        <w:rPr>
          <w:lang w:val="en-IE"/>
        </w:rPr>
        <w:t xml:space="preserve">amma </w:t>
      </w:r>
      <w:r w:rsidR="00EF6AA1" w:rsidRPr="002060A9">
        <w:rPr>
          <w:lang w:val="en-IE"/>
        </w:rPr>
        <w:t xml:space="preserve">release </w:t>
      </w:r>
      <w:r w:rsidR="00B66F35" w:rsidRPr="002060A9">
        <w:rPr>
          <w:lang w:val="en-IE"/>
        </w:rPr>
        <w:t>assay</w:t>
      </w:r>
    </w:p>
    <w:p w14:paraId="285CCFFD" w14:textId="77777777" w:rsidR="00B66F35" w:rsidRPr="004622FC" w:rsidRDefault="00B66F35" w:rsidP="00846008">
      <w:pPr>
        <w:pStyle w:val="11Para"/>
        <w:rPr>
          <w:lang w:val="en-IE"/>
        </w:rPr>
      </w:pPr>
      <w:r w:rsidRPr="002060A9">
        <w:rPr>
          <w:lang w:val="en-IE"/>
        </w:rPr>
        <w:t>The assay is based on the release of gamma interferon (IFN-</w:t>
      </w:r>
      <w:r w:rsidR="00EF6AA1" w:rsidRPr="002060A9">
        <w:rPr>
          <w:lang w:val="en-IE"/>
        </w:rPr>
        <w:t>γ</w:t>
      </w:r>
      <w:r w:rsidRPr="002060A9">
        <w:rPr>
          <w:lang w:val="en-IE"/>
        </w:rPr>
        <w:t>) from sensitised lymphocytes during an 18–36-hour incubation period with specific antigen (avian purified protein derivative [PPD] tuberculin, bovine PPD tuberculin or johnin</w:t>
      </w:r>
      <w:r w:rsidR="002B39AD" w:rsidRPr="00D7396C">
        <w:rPr>
          <w:rStyle w:val="Appelnotedebasdep"/>
          <w:lang w:val="en-IE"/>
        </w:rPr>
        <w:footnoteReference w:id="5"/>
      </w:r>
      <w:r w:rsidRPr="002060A9">
        <w:rPr>
          <w:lang w:val="en-IE"/>
        </w:rPr>
        <w:t xml:space="preserve">). The quantitative detection of bovine </w:t>
      </w:r>
      <w:r w:rsidR="00EF6AA1" w:rsidRPr="002060A9">
        <w:rPr>
          <w:lang w:val="en-IE"/>
        </w:rPr>
        <w:t>IFN-γ</w:t>
      </w:r>
      <w:r w:rsidRPr="002060A9">
        <w:rPr>
          <w:lang w:val="en-IE"/>
        </w:rPr>
        <w:t xml:space="preserve"> is carried out with a sandwich ELISA that uses two monoclonal antibodies to bovine </w:t>
      </w:r>
      <w:r w:rsidR="00EF6AA1" w:rsidRPr="002060A9">
        <w:rPr>
          <w:lang w:val="en-IE"/>
        </w:rPr>
        <w:t>IFN-γ</w:t>
      </w:r>
      <w:r w:rsidRPr="002060A9">
        <w:rPr>
          <w:lang w:val="en-IE"/>
        </w:rPr>
        <w:t xml:space="preserve">. A commercial diagnostic test based on the detection of </w:t>
      </w:r>
      <w:r w:rsidR="00EF6AA1" w:rsidRPr="002060A9">
        <w:rPr>
          <w:lang w:val="en-IE"/>
        </w:rPr>
        <w:t xml:space="preserve">IFN-γ </w:t>
      </w:r>
      <w:r w:rsidRPr="002060A9">
        <w:rPr>
          <w:lang w:val="en-IE"/>
        </w:rPr>
        <w:t xml:space="preserve">has been developed for the diagnosis of bovine tuberculosis. The method and test materials needed are fully described in the instructions accompanying the commercial kit. This test has not been validated by the manufacturer for the diagnosis of paratuberculosis. As such, results derived from this assay are frequently difficult to interpret because there is no agreement with respect to the interpretation criteria and types and amounts of antigens used to stimulate blood lymphocytes. In cattle the reported specificity of the test varied from 94% to 67% and the sensitivity varied from 13% to 85%, depending on the interpretation </w:t>
      </w:r>
      <w:r w:rsidRPr="004622FC">
        <w:rPr>
          <w:lang w:val="en-IE"/>
        </w:rPr>
        <w:t>criteria (</w:t>
      </w:r>
      <w:proofErr w:type="spellStart"/>
      <w:r w:rsidRPr="004622FC">
        <w:rPr>
          <w:lang w:val="en-IE"/>
        </w:rPr>
        <w:t>Kalis</w:t>
      </w:r>
      <w:proofErr w:type="spellEnd"/>
      <w:r w:rsidRPr="004622FC">
        <w:rPr>
          <w:lang w:val="en-IE"/>
        </w:rPr>
        <w:t xml:space="preserve"> </w:t>
      </w:r>
      <w:r w:rsidRPr="004622FC">
        <w:rPr>
          <w:i/>
          <w:lang w:val="en-IE"/>
        </w:rPr>
        <w:t>et al</w:t>
      </w:r>
      <w:r w:rsidR="00AE57E0" w:rsidRPr="004622FC">
        <w:rPr>
          <w:lang w:val="en-IE"/>
        </w:rPr>
        <w:t>., 2003; Nielsen &amp;</w:t>
      </w:r>
      <w:r w:rsidRPr="004622FC">
        <w:rPr>
          <w:lang w:val="en-IE"/>
        </w:rPr>
        <w:t>Toft, 2008).</w:t>
      </w:r>
    </w:p>
    <w:p w14:paraId="0BA3D5A2" w14:textId="1AD0F9CB" w:rsidR="003E0777" w:rsidRPr="004622FC" w:rsidRDefault="00B66F35" w:rsidP="00846008">
      <w:pPr>
        <w:pStyle w:val="11Para"/>
        <w:rPr>
          <w:lang w:val="en-IE"/>
        </w:rPr>
      </w:pPr>
      <w:r w:rsidRPr="004622FC">
        <w:rPr>
          <w:lang w:val="en-IE"/>
        </w:rPr>
        <w:t xml:space="preserve">Several ELISA kits are commercially available for quantitative detection of </w:t>
      </w:r>
      <w:r w:rsidR="00EF6AA1" w:rsidRPr="004622FC">
        <w:rPr>
          <w:lang w:val="en-IE"/>
        </w:rPr>
        <w:t xml:space="preserve">IFN-γ </w:t>
      </w:r>
      <w:r w:rsidRPr="004622FC">
        <w:rPr>
          <w:lang w:val="en-IE"/>
        </w:rPr>
        <w:t>on bovine, ovine and caprine plasmas</w:t>
      </w:r>
      <w:r w:rsidR="002B39AD" w:rsidRPr="00AF2C3B">
        <w:rPr>
          <w:rStyle w:val="Appelnotedebasdep"/>
          <w:strike/>
          <w:lang w:val="en-IE"/>
        </w:rPr>
        <w:footnoteReference w:id="6"/>
      </w:r>
      <w:r w:rsidRPr="004622FC">
        <w:rPr>
          <w:lang w:val="en-IE"/>
        </w:rPr>
        <w:t>.</w:t>
      </w:r>
    </w:p>
    <w:p w14:paraId="27476E96" w14:textId="77777777" w:rsidR="00B66F35" w:rsidRPr="004622FC" w:rsidRDefault="00846008" w:rsidP="00846008">
      <w:pPr>
        <w:pStyle w:val="11"/>
        <w:rPr>
          <w:lang w:val="en-IE"/>
        </w:rPr>
      </w:pPr>
      <w:r w:rsidRPr="004622FC">
        <w:rPr>
          <w:lang w:val="en-IE"/>
        </w:rPr>
        <w:t>3.2.</w:t>
      </w:r>
      <w:r w:rsidR="00B66F35" w:rsidRPr="004622FC">
        <w:rPr>
          <w:lang w:val="en-IE"/>
        </w:rPr>
        <w:tab/>
        <w:t>Delayed-type hypersensitivity</w:t>
      </w:r>
    </w:p>
    <w:p w14:paraId="7A6A35F3" w14:textId="77777777" w:rsidR="00B66F35" w:rsidRPr="002060A9" w:rsidRDefault="00B66F35" w:rsidP="00846008">
      <w:pPr>
        <w:pStyle w:val="11Para"/>
        <w:spacing w:after="480"/>
        <w:rPr>
          <w:lang w:val="en-IE"/>
        </w:rPr>
      </w:pPr>
      <w:r w:rsidRPr="004622FC">
        <w:rPr>
          <w:lang w:val="en-IE"/>
        </w:rPr>
        <w:t>The skin test for delayed-type hypersensitivity (DTH) is a measure of cell-mediated immunity, but has limited value. The test is carried out by the intradermal inoculation of 0.1 ml of antigen into a clipped or shaven site, usually on the side of the middle third of the neck. In the past, avian PPD tuberculin or johnin was used for this purpose as it was believed that avian tuberculin</w:t>
      </w:r>
      <w:r w:rsidRPr="004622FC">
        <w:rPr>
          <w:position w:val="6"/>
          <w:sz w:val="16"/>
          <w:lang w:val="en-IE"/>
        </w:rPr>
        <w:t xml:space="preserve"> </w:t>
      </w:r>
      <w:r w:rsidRPr="004622FC">
        <w:rPr>
          <w:lang w:val="en-IE"/>
        </w:rPr>
        <w:t xml:space="preserve">and johnin are of comparable sensitivity and specificity. The skin thickness is measured with </w:t>
      </w:r>
      <w:proofErr w:type="spellStart"/>
      <w:r w:rsidRPr="004622FC">
        <w:rPr>
          <w:lang w:val="en-IE"/>
        </w:rPr>
        <w:t>calipers</w:t>
      </w:r>
      <w:proofErr w:type="spellEnd"/>
      <w:r w:rsidRPr="004622FC">
        <w:rPr>
          <w:lang w:val="en-IE"/>
        </w:rPr>
        <w:t xml:space="preserve"> before and 72 hours after inoculation. Increases in skin thickness of over 2 mm should be regarded as indicating the presence of DTH. It should be noted that positive reactions in deer may take the form of diffuse plaques rather than discrete circumscribed swellings, thus making reading of the test more difficult. The presence of any swelling should be regarded as positive in this species. However, sensitisation to the </w:t>
      </w:r>
      <w:r w:rsidRPr="004622FC">
        <w:rPr>
          <w:i/>
          <w:lang w:val="en-IE"/>
        </w:rPr>
        <w:t>M. avium</w:t>
      </w:r>
      <w:r w:rsidRPr="004622FC">
        <w:rPr>
          <w:lang w:val="en-IE"/>
        </w:rPr>
        <w:t xml:space="preserve"> complex is widespread in animals, and neither avian tuberculin nor johnin are highly specific. Furthermore the interpretation of the skin test results is complicated by the lack of agreement with respect to inter</w:t>
      </w:r>
      <w:r w:rsidR="002E6B22" w:rsidRPr="004622FC">
        <w:rPr>
          <w:lang w:val="en-IE"/>
        </w:rPr>
        <w:t>pretation criteria. In a</w:t>
      </w:r>
      <w:r w:rsidR="00293D76" w:rsidRPr="004622FC">
        <w:rPr>
          <w:lang w:val="en-IE"/>
        </w:rPr>
        <w:t xml:space="preserve"> </w:t>
      </w:r>
      <w:r w:rsidRPr="004622FC">
        <w:rPr>
          <w:lang w:val="en-IE"/>
        </w:rPr>
        <w:t>study in which johnin</w:t>
      </w:r>
      <w:r w:rsidR="004B2056" w:rsidRPr="004622FC">
        <w:rPr>
          <w:lang w:val="en-IE"/>
        </w:rPr>
        <w:t xml:space="preserve"> </w:t>
      </w:r>
      <w:r w:rsidRPr="004622FC">
        <w:rPr>
          <w:lang w:val="en-IE"/>
        </w:rPr>
        <w:t>was used to test cattle, the skin test specificity was 88.8% at the cut-off value of ≥2 mm, 91.3% at the cut-off value of ≥3 mm and 93.5% at the cut-off value of ≥4 mm (</w:t>
      </w:r>
      <w:proofErr w:type="spellStart"/>
      <w:r w:rsidRPr="004622FC">
        <w:rPr>
          <w:lang w:val="en-IE"/>
        </w:rPr>
        <w:t>Kalis</w:t>
      </w:r>
      <w:proofErr w:type="spellEnd"/>
      <w:r w:rsidRPr="004622FC">
        <w:rPr>
          <w:lang w:val="en-IE"/>
        </w:rPr>
        <w:t xml:space="preserve"> </w:t>
      </w:r>
      <w:r w:rsidRPr="004622FC">
        <w:rPr>
          <w:i/>
          <w:lang w:val="en-IE"/>
        </w:rPr>
        <w:t>et al</w:t>
      </w:r>
      <w:r w:rsidRPr="004622FC">
        <w:rPr>
          <w:lang w:val="en-IE"/>
        </w:rPr>
        <w:t>., 2003). The effect of these cut-off values on the sensitivity has not been determined. The performance of this test may also be significantly affected by minor antigenic differences that occur in different batches of antigen (</w:t>
      </w:r>
      <w:proofErr w:type="spellStart"/>
      <w:r w:rsidRPr="004622FC">
        <w:rPr>
          <w:lang w:val="en-IE"/>
        </w:rPr>
        <w:t>Kalis</w:t>
      </w:r>
      <w:proofErr w:type="spellEnd"/>
      <w:r w:rsidRPr="004622FC">
        <w:rPr>
          <w:lang w:val="en-IE"/>
        </w:rPr>
        <w:t xml:space="preserve"> </w:t>
      </w:r>
      <w:r w:rsidRPr="004622FC">
        <w:rPr>
          <w:i/>
          <w:lang w:val="en-IE"/>
        </w:rPr>
        <w:t>et al</w:t>
      </w:r>
      <w:r w:rsidRPr="004622FC">
        <w:rPr>
          <w:lang w:val="en-IE"/>
        </w:rPr>
        <w:t>., 2003). Further research is required to increase the value of the skin test.</w:t>
      </w:r>
    </w:p>
    <w:p w14:paraId="57A493BA" w14:textId="77777777" w:rsidR="00B66F35" w:rsidRPr="002060A9" w:rsidRDefault="00B66F35" w:rsidP="00B27459">
      <w:pPr>
        <w:pStyle w:val="A0"/>
        <w:outlineLvl w:val="0"/>
        <w:rPr>
          <w:lang w:val="en-IE"/>
        </w:rPr>
      </w:pPr>
      <w:r w:rsidRPr="002060A9">
        <w:rPr>
          <w:lang w:val="en-IE"/>
        </w:rPr>
        <w:t>C.  REQUIREMENTS FOR VACCINES AND DIAGNOSTIC BIOLOGICALS</w:t>
      </w:r>
    </w:p>
    <w:p w14:paraId="5FC42880" w14:textId="77777777" w:rsidR="00624027" w:rsidRPr="002060A9" w:rsidRDefault="002B321A" w:rsidP="00846008">
      <w:pPr>
        <w:pStyle w:val="1"/>
        <w:rPr>
          <w:lang w:val="en-IE"/>
        </w:rPr>
      </w:pPr>
      <w:r w:rsidRPr="002060A9">
        <w:rPr>
          <w:lang w:val="en-IE"/>
        </w:rPr>
        <w:t>C</w:t>
      </w:r>
      <w:r w:rsidR="00624027" w:rsidRPr="002060A9">
        <w:rPr>
          <w:lang w:val="en-IE"/>
        </w:rPr>
        <w:t xml:space="preserve">1. </w:t>
      </w:r>
      <w:r w:rsidR="00C924A0" w:rsidRPr="002060A9">
        <w:rPr>
          <w:lang w:val="en-IE"/>
        </w:rPr>
        <w:tab/>
      </w:r>
      <w:r w:rsidR="00A07A31" w:rsidRPr="002060A9">
        <w:rPr>
          <w:lang w:val="en-IE"/>
        </w:rPr>
        <w:t>Vaccines</w:t>
      </w:r>
    </w:p>
    <w:p w14:paraId="03529FDA" w14:textId="77777777" w:rsidR="00EE6120" w:rsidRPr="002060A9" w:rsidRDefault="00EE6120" w:rsidP="00A07A31">
      <w:pPr>
        <w:pStyle w:val="1"/>
        <w:rPr>
          <w:lang w:val="en-IE"/>
        </w:rPr>
      </w:pPr>
      <w:r w:rsidRPr="002060A9">
        <w:rPr>
          <w:lang w:val="en-IE"/>
        </w:rPr>
        <w:t>1.</w:t>
      </w:r>
      <w:r w:rsidRPr="002060A9">
        <w:rPr>
          <w:lang w:val="en-IE"/>
        </w:rPr>
        <w:tab/>
      </w:r>
      <w:r w:rsidR="00A07A31" w:rsidRPr="002060A9">
        <w:rPr>
          <w:lang w:val="en-IE"/>
        </w:rPr>
        <w:t>Background</w:t>
      </w:r>
    </w:p>
    <w:p w14:paraId="13CB3083" w14:textId="597DED37" w:rsidR="00B66F35" w:rsidRPr="00385298" w:rsidRDefault="00B66F35" w:rsidP="00A07A31">
      <w:pPr>
        <w:pStyle w:val="para1"/>
        <w:rPr>
          <w:lang w:val="en-IE"/>
        </w:rPr>
      </w:pPr>
      <w:r w:rsidRPr="00AF2C3B">
        <w:rPr>
          <w:strike/>
          <w:lang w:val="en-IE"/>
        </w:rPr>
        <w:t xml:space="preserve">Vaccines used against paratuberculosis </w:t>
      </w:r>
      <w:r w:rsidR="00217962" w:rsidRPr="00AF2C3B">
        <w:rPr>
          <w:strike/>
          <w:lang w:val="en-IE"/>
        </w:rPr>
        <w:t>we</w:t>
      </w:r>
      <w:r w:rsidRPr="00AF2C3B">
        <w:rPr>
          <w:strike/>
          <w:lang w:val="en-IE"/>
        </w:rPr>
        <w:t xml:space="preserve">re: live, attenuated, incorporated with oil and pumice; lyophilised, live, attenuated, which may be adjuvanted with, for example, oil after reconstitution; and heat-killed </w:t>
      </w:r>
      <w:proofErr w:type="spellStart"/>
      <w:r w:rsidRPr="00AF2C3B">
        <w:rPr>
          <w:strike/>
          <w:lang w:val="en-IE"/>
        </w:rPr>
        <w:t>bacterins</w:t>
      </w:r>
      <w:proofErr w:type="spellEnd"/>
      <w:r w:rsidRPr="00AF2C3B">
        <w:rPr>
          <w:strike/>
          <w:lang w:val="en-IE"/>
        </w:rPr>
        <w:t>.</w:t>
      </w:r>
      <w:r w:rsidR="00F848C7" w:rsidRPr="00AF2C3B">
        <w:rPr>
          <w:strike/>
          <w:lang w:val="en-IE"/>
        </w:rPr>
        <w:t xml:space="preserve"> </w:t>
      </w:r>
      <w:r w:rsidR="001D1663" w:rsidRPr="00B05CDE">
        <w:rPr>
          <w:strike/>
          <w:lang w:val="en-IE"/>
        </w:rPr>
        <w:t>The main advantage of vaccination is the prevention of clinical cases.</w:t>
      </w:r>
      <w:r w:rsidRPr="00B05CDE">
        <w:rPr>
          <w:strike/>
          <w:lang w:val="en-IE"/>
        </w:rPr>
        <w:t xml:space="preserve"> Vaccination may cause a reaction at the site of injection.</w:t>
      </w:r>
      <w:r w:rsidRPr="002060A9">
        <w:rPr>
          <w:lang w:val="en-IE"/>
        </w:rPr>
        <w:t xml:space="preserve"> Vaccination may </w:t>
      </w:r>
      <w:r w:rsidRPr="00B05CDE">
        <w:rPr>
          <w:strike/>
          <w:lang w:val="en-IE"/>
        </w:rPr>
        <w:t>also</w:t>
      </w:r>
      <w:r w:rsidRPr="002060A9">
        <w:rPr>
          <w:lang w:val="en-IE"/>
        </w:rPr>
        <w:t xml:space="preserve"> interfere with eradication programmes based on immunological testing and elimination of </w:t>
      </w:r>
      <w:r w:rsidRPr="00385298">
        <w:rPr>
          <w:lang w:val="en-IE"/>
        </w:rPr>
        <w:t>animals identified as infected and can interfere with the interpretation of DTH skin tests for bovine tuberculosis.</w:t>
      </w:r>
      <w:r w:rsidR="00217962" w:rsidRPr="00385298">
        <w:rPr>
          <w:lang w:val="en-IE"/>
        </w:rPr>
        <w:t xml:space="preserve"> All </w:t>
      </w:r>
      <w:r w:rsidR="009016C1" w:rsidRPr="00385298">
        <w:rPr>
          <w:u w:val="double"/>
          <w:lang w:val="en-IE"/>
        </w:rPr>
        <w:t>commercial</w:t>
      </w:r>
      <w:r w:rsidR="009016C1" w:rsidRPr="00385298">
        <w:rPr>
          <w:lang w:val="en-IE"/>
        </w:rPr>
        <w:t xml:space="preserve"> </w:t>
      </w:r>
      <w:r w:rsidR="00217962" w:rsidRPr="00385298">
        <w:rPr>
          <w:lang w:val="en-IE"/>
        </w:rPr>
        <w:t>vaccines now available are whole-cell-based vaccines.</w:t>
      </w:r>
      <w:r w:rsidR="009016C1" w:rsidRPr="00385298">
        <w:rPr>
          <w:lang w:val="en-IE"/>
        </w:rPr>
        <w:t xml:space="preserve"> </w:t>
      </w:r>
      <w:r w:rsidR="009016C1" w:rsidRPr="00385298">
        <w:rPr>
          <w:u w:val="double"/>
          <w:lang w:val="en-IE"/>
        </w:rPr>
        <w:t xml:space="preserve">Vaccination of cattle or small ruminants </w:t>
      </w:r>
      <w:r w:rsidR="00B6500D" w:rsidRPr="00385298">
        <w:rPr>
          <w:u w:val="double"/>
          <w:lang w:val="en-IE"/>
        </w:rPr>
        <w:t>is not allow</w:t>
      </w:r>
      <w:r w:rsidR="00B6500D">
        <w:rPr>
          <w:u w:val="double"/>
          <w:lang w:val="en-IE"/>
        </w:rPr>
        <w:t>ed</w:t>
      </w:r>
      <w:r w:rsidR="00B6500D" w:rsidRPr="00385298">
        <w:rPr>
          <w:u w:val="double"/>
          <w:lang w:val="en-IE"/>
        </w:rPr>
        <w:t xml:space="preserve"> </w:t>
      </w:r>
      <w:r w:rsidR="009016C1" w:rsidRPr="00385298">
        <w:rPr>
          <w:u w:val="double"/>
          <w:lang w:val="en-IE"/>
        </w:rPr>
        <w:t xml:space="preserve">in many countries mainly due to the fear of </w:t>
      </w:r>
      <w:r w:rsidR="00732B30">
        <w:rPr>
          <w:u w:val="double"/>
          <w:lang w:val="en-IE"/>
        </w:rPr>
        <w:t>giving rise to</w:t>
      </w:r>
      <w:r w:rsidR="00B6500D">
        <w:rPr>
          <w:u w:val="double"/>
          <w:lang w:val="en-IE"/>
        </w:rPr>
        <w:t xml:space="preserve"> </w:t>
      </w:r>
      <w:r w:rsidR="009016C1" w:rsidRPr="00385298">
        <w:rPr>
          <w:u w:val="double"/>
          <w:lang w:val="en-IE"/>
        </w:rPr>
        <w:t xml:space="preserve">false positive </w:t>
      </w:r>
      <w:r w:rsidR="00B6500D">
        <w:rPr>
          <w:u w:val="double"/>
          <w:lang w:val="en-IE"/>
        </w:rPr>
        <w:t xml:space="preserve">results in the </w:t>
      </w:r>
      <w:r w:rsidR="00B6500D" w:rsidRPr="00385298">
        <w:rPr>
          <w:color w:val="000000"/>
          <w:u w:val="double"/>
          <w:shd w:val="clear" w:color="auto" w:fill="FFFFFF"/>
        </w:rPr>
        <w:t>skin test</w:t>
      </w:r>
      <w:r w:rsidR="00B6500D" w:rsidRPr="00B6500D">
        <w:rPr>
          <w:color w:val="000000"/>
          <w:u w:val="double"/>
          <w:shd w:val="clear" w:color="auto" w:fill="FFFFFF"/>
        </w:rPr>
        <w:t xml:space="preserve"> </w:t>
      </w:r>
      <w:r w:rsidR="00B6500D">
        <w:rPr>
          <w:color w:val="000000"/>
          <w:u w:val="double"/>
          <w:shd w:val="clear" w:color="auto" w:fill="FFFFFF"/>
        </w:rPr>
        <w:t xml:space="preserve">for </w:t>
      </w:r>
      <w:r w:rsidR="00B6500D" w:rsidRPr="00385298">
        <w:rPr>
          <w:color w:val="000000"/>
          <w:u w:val="double"/>
          <w:shd w:val="clear" w:color="auto" w:fill="FFFFFF"/>
        </w:rPr>
        <w:t>bovine tuberculosis</w:t>
      </w:r>
      <w:r w:rsidR="009016C1" w:rsidRPr="00385298">
        <w:rPr>
          <w:u w:val="double"/>
          <w:lang w:val="en-IE"/>
        </w:rPr>
        <w:t>.</w:t>
      </w:r>
      <w:r w:rsidR="009016C1" w:rsidRPr="00385298">
        <w:rPr>
          <w:lang w:val="en-IE"/>
        </w:rPr>
        <w:t xml:space="preserve"> </w:t>
      </w:r>
    </w:p>
    <w:p w14:paraId="7510BB8D" w14:textId="77777777" w:rsidR="00B66F35" w:rsidRPr="002060A9" w:rsidRDefault="00B66F35" w:rsidP="00676325">
      <w:pPr>
        <w:pStyle w:val="paraA0"/>
        <w:spacing w:after="220"/>
        <w:rPr>
          <w:lang w:val="en-IE"/>
        </w:rPr>
      </w:pPr>
      <w:r w:rsidRPr="00385298">
        <w:rPr>
          <w:lang w:val="en-IE"/>
        </w:rPr>
        <w:t>Guidelines for the production of veterinary vaccines are given in Chapter 1.1.</w:t>
      </w:r>
      <w:r w:rsidR="00C45D2A" w:rsidRPr="00385298">
        <w:rPr>
          <w:lang w:val="en-IE"/>
        </w:rPr>
        <w:t>8</w:t>
      </w:r>
      <w:r w:rsidRPr="00385298">
        <w:rPr>
          <w:lang w:val="en-IE"/>
        </w:rPr>
        <w:t xml:space="preserve"> </w:t>
      </w:r>
      <w:r w:rsidRPr="00385298">
        <w:rPr>
          <w:i/>
          <w:lang w:val="en-IE"/>
        </w:rPr>
        <w:t>Principles of veterinary vaccine</w:t>
      </w:r>
      <w:r w:rsidRPr="002060A9">
        <w:rPr>
          <w:i/>
          <w:lang w:val="en-IE"/>
        </w:rPr>
        <w:t xml:space="preserve"> production</w:t>
      </w:r>
      <w:r w:rsidRPr="002060A9">
        <w:rPr>
          <w:lang w:val="en-IE"/>
        </w:rPr>
        <w:t>. The guidelines given here and in Chapter 1.1.</w:t>
      </w:r>
      <w:r w:rsidR="00C45D2A">
        <w:rPr>
          <w:lang w:val="en-IE"/>
        </w:rPr>
        <w:t>8</w:t>
      </w:r>
      <w:r w:rsidRPr="002060A9">
        <w:rPr>
          <w:lang w:val="en-IE"/>
        </w:rPr>
        <w:t xml:space="preserve"> are intended to be general in nature and may be supplemented by national and regional requirements.</w:t>
      </w:r>
    </w:p>
    <w:p w14:paraId="1DF7F647" w14:textId="77777777" w:rsidR="00B66F35" w:rsidRPr="002060A9" w:rsidRDefault="00624027" w:rsidP="00167A02">
      <w:pPr>
        <w:pStyle w:val="1"/>
        <w:keepNext/>
        <w:spacing w:after="120"/>
        <w:rPr>
          <w:lang w:val="en-IE"/>
        </w:rPr>
      </w:pPr>
      <w:r w:rsidRPr="002060A9">
        <w:rPr>
          <w:lang w:val="en-IE"/>
        </w:rPr>
        <w:lastRenderedPageBreak/>
        <w:t>2.</w:t>
      </w:r>
      <w:r w:rsidRPr="002060A9">
        <w:rPr>
          <w:lang w:val="en-IE"/>
        </w:rPr>
        <w:tab/>
        <w:t>Outline of production and minimum requirements for vaccines</w:t>
      </w:r>
    </w:p>
    <w:p w14:paraId="4CAFC48E" w14:textId="77777777" w:rsidR="009E4644" w:rsidRPr="002060A9" w:rsidRDefault="00846008" w:rsidP="00167A02">
      <w:pPr>
        <w:pStyle w:val="11"/>
        <w:keepNext/>
        <w:spacing w:after="120"/>
        <w:rPr>
          <w:lang w:val="en-IE"/>
        </w:rPr>
      </w:pPr>
      <w:r w:rsidRPr="002060A9">
        <w:rPr>
          <w:szCs w:val="18"/>
          <w:lang w:val="en-IE"/>
        </w:rPr>
        <w:t>2.1.</w:t>
      </w:r>
      <w:r w:rsidRPr="002060A9">
        <w:rPr>
          <w:szCs w:val="18"/>
          <w:lang w:val="en-IE"/>
        </w:rPr>
        <w:tab/>
      </w:r>
      <w:r w:rsidR="00B66F35" w:rsidRPr="002060A9">
        <w:rPr>
          <w:lang w:val="en-IE"/>
        </w:rPr>
        <w:t>Characteristics of the seed</w:t>
      </w:r>
    </w:p>
    <w:p w14:paraId="0E144F5C" w14:textId="77777777" w:rsidR="00C77F46" w:rsidRPr="002060A9" w:rsidRDefault="0020514E" w:rsidP="00846008">
      <w:pPr>
        <w:pStyle w:val="111"/>
        <w:rPr>
          <w:i/>
          <w:lang w:val="en-IE"/>
        </w:rPr>
      </w:pPr>
      <w:r w:rsidRPr="002060A9">
        <w:rPr>
          <w:lang w:val="en-IE"/>
        </w:rPr>
        <w:t>2.1.1</w:t>
      </w:r>
      <w:r w:rsidR="00C522D4" w:rsidRPr="002060A9">
        <w:rPr>
          <w:lang w:val="en-IE"/>
        </w:rPr>
        <w:t>.</w:t>
      </w:r>
      <w:r w:rsidR="00846008" w:rsidRPr="002060A9">
        <w:rPr>
          <w:lang w:val="en-IE"/>
        </w:rPr>
        <w:tab/>
      </w:r>
      <w:r w:rsidR="00C522D4" w:rsidRPr="002060A9">
        <w:rPr>
          <w:lang w:val="en-IE"/>
        </w:rPr>
        <w:t>Quality criteria</w:t>
      </w:r>
      <w:r w:rsidR="00C77F46" w:rsidRPr="002060A9">
        <w:rPr>
          <w:i/>
          <w:lang w:val="en-IE"/>
        </w:rPr>
        <w:t xml:space="preserve"> </w:t>
      </w:r>
    </w:p>
    <w:p w14:paraId="3C3532BF" w14:textId="77777777" w:rsidR="00C77F46" w:rsidRPr="002060A9" w:rsidRDefault="00C77F46" w:rsidP="00A07A31">
      <w:pPr>
        <w:pStyle w:val="111Para"/>
        <w:rPr>
          <w:lang w:val="en-IE"/>
        </w:rPr>
      </w:pPr>
      <w:r w:rsidRPr="002060A9">
        <w:rPr>
          <w:lang w:val="en-IE"/>
        </w:rPr>
        <w:t>Purity tests should be carried out on seed cultures and final harvest by stained smears.</w:t>
      </w:r>
    </w:p>
    <w:p w14:paraId="5FE8974F" w14:textId="77777777" w:rsidR="009E4644" w:rsidRPr="002060A9" w:rsidRDefault="0020514E" w:rsidP="00846008">
      <w:pPr>
        <w:pStyle w:val="111"/>
        <w:rPr>
          <w:lang w:val="en-IE"/>
        </w:rPr>
      </w:pPr>
      <w:r w:rsidRPr="002060A9">
        <w:rPr>
          <w:lang w:val="en-IE"/>
        </w:rPr>
        <w:t>2.1.2</w:t>
      </w:r>
      <w:r w:rsidR="00C522D4" w:rsidRPr="002060A9">
        <w:rPr>
          <w:lang w:val="en-IE"/>
        </w:rPr>
        <w:t>.</w:t>
      </w:r>
      <w:r w:rsidR="00846008" w:rsidRPr="002060A9">
        <w:rPr>
          <w:lang w:val="en-IE"/>
        </w:rPr>
        <w:tab/>
        <w:t>V</w:t>
      </w:r>
      <w:r w:rsidR="00EE6120" w:rsidRPr="002060A9">
        <w:rPr>
          <w:lang w:val="en-IE"/>
        </w:rPr>
        <w:t>alidation as a vaccine strain</w:t>
      </w:r>
    </w:p>
    <w:p w14:paraId="7901AE4D" w14:textId="77777777" w:rsidR="008A67B0" w:rsidRPr="002060A9" w:rsidRDefault="008A67B0" w:rsidP="00A07A31">
      <w:pPr>
        <w:pStyle w:val="111Para"/>
        <w:rPr>
          <w:lang w:val="en-IE"/>
        </w:rPr>
      </w:pPr>
      <w:r w:rsidRPr="002060A9">
        <w:rPr>
          <w:lang w:val="en-IE"/>
        </w:rPr>
        <w:t xml:space="preserve">Seed strains should be of a prevalent type, which may be checked by </w:t>
      </w:r>
      <w:proofErr w:type="spellStart"/>
      <w:r w:rsidRPr="002060A9">
        <w:rPr>
          <w:lang w:val="en-IE"/>
        </w:rPr>
        <w:t>biotyping</w:t>
      </w:r>
      <w:proofErr w:type="spellEnd"/>
      <w:r w:rsidRPr="002060A9">
        <w:rPr>
          <w:lang w:val="en-IE"/>
        </w:rPr>
        <w:t xml:space="preserve"> or genetic analysis. They should have been demonstrated to be innocuous when administered by the recommended route of vaccination to intended target species.</w:t>
      </w:r>
    </w:p>
    <w:p w14:paraId="5088C2CC" w14:textId="77777777" w:rsidR="00B66F35" w:rsidRPr="002060A9" w:rsidRDefault="00B66F35" w:rsidP="008A67B0">
      <w:pPr>
        <w:pStyle w:val="11"/>
        <w:rPr>
          <w:lang w:val="en-IE"/>
        </w:rPr>
      </w:pPr>
      <w:r w:rsidRPr="002060A9">
        <w:rPr>
          <w:szCs w:val="18"/>
          <w:lang w:val="en-IE"/>
        </w:rPr>
        <w:t>2</w:t>
      </w:r>
      <w:r w:rsidR="00DD5F99" w:rsidRPr="002060A9">
        <w:rPr>
          <w:szCs w:val="18"/>
          <w:lang w:val="en-IE"/>
        </w:rPr>
        <w:t>.</w:t>
      </w:r>
      <w:r w:rsidR="00DD5F99" w:rsidRPr="002060A9">
        <w:rPr>
          <w:lang w:val="en-IE"/>
        </w:rPr>
        <w:t>2</w:t>
      </w:r>
      <w:r w:rsidRPr="002060A9">
        <w:rPr>
          <w:lang w:val="en-IE"/>
        </w:rPr>
        <w:t>.</w:t>
      </w:r>
      <w:r w:rsidRPr="002060A9">
        <w:rPr>
          <w:lang w:val="en-IE"/>
        </w:rPr>
        <w:tab/>
        <w:t>Method of manufacture</w:t>
      </w:r>
    </w:p>
    <w:p w14:paraId="29A5EBA5" w14:textId="77777777" w:rsidR="009E4644" w:rsidRPr="002060A9" w:rsidRDefault="008A67B0" w:rsidP="008A67B0">
      <w:pPr>
        <w:pStyle w:val="111"/>
        <w:rPr>
          <w:lang w:val="en-IE"/>
        </w:rPr>
      </w:pPr>
      <w:r w:rsidRPr="002060A9">
        <w:rPr>
          <w:lang w:val="en-IE"/>
        </w:rPr>
        <w:t>2</w:t>
      </w:r>
      <w:r w:rsidR="00DD5F99" w:rsidRPr="002060A9">
        <w:rPr>
          <w:lang w:val="en-IE"/>
        </w:rPr>
        <w:t>.2.1.</w:t>
      </w:r>
      <w:r w:rsidRPr="002060A9">
        <w:rPr>
          <w:lang w:val="en-IE"/>
        </w:rPr>
        <w:tab/>
        <w:t>Procedure</w:t>
      </w:r>
      <w:r w:rsidR="00DD5F99" w:rsidRPr="002060A9">
        <w:rPr>
          <w:lang w:val="en-IE"/>
        </w:rPr>
        <w:t xml:space="preserve"> </w:t>
      </w:r>
    </w:p>
    <w:p w14:paraId="5D4DE31E" w14:textId="77777777" w:rsidR="009E4644" w:rsidRPr="002060A9" w:rsidRDefault="009E4644" w:rsidP="00A07A31">
      <w:pPr>
        <w:pStyle w:val="111Para"/>
        <w:rPr>
          <w:lang w:val="en-IE"/>
        </w:rPr>
      </w:pPr>
      <w:r w:rsidRPr="002060A9">
        <w:rPr>
          <w:lang w:val="en-IE"/>
        </w:rPr>
        <w:t>For vaccine batches, the organisms may be grown on a liquid synthetic medium, such as Reid’s synthetic medium. The organisms grow as a pellicle on the liquid surface. To ensure a good surface area, it is convenient to use vessels such as conical flasks containing one-third of their nominal volume of liquid medium. These flasks may be seeded directly from potato slant cultures, but with some strains, one or more passages on liquid medium may be necessary to ensure adequate pellicle growth for the final, vaccine batch passage. Such passaging should usually take place at 2-week intervals as longer periods may result in over-maturation and sinking of the pellicle. Incubation is at 37°C.</w:t>
      </w:r>
    </w:p>
    <w:p w14:paraId="100EEF5C" w14:textId="77777777" w:rsidR="009E4644" w:rsidRPr="002060A9" w:rsidRDefault="009E4644" w:rsidP="00A07A31">
      <w:pPr>
        <w:pStyle w:val="111Para"/>
        <w:rPr>
          <w:lang w:val="en-IE"/>
        </w:rPr>
      </w:pPr>
      <w:r w:rsidRPr="002060A9">
        <w:rPr>
          <w:lang w:val="en-IE"/>
        </w:rPr>
        <w:t xml:space="preserve">To prepare the vaccine, the pellicle growth from 2-week-old cultures of each strain to be included may be separated from the liquid medium by decantation, filtration and pressing between filter paper pads. The moist </w:t>
      </w:r>
      <w:r w:rsidR="00C924A0" w:rsidRPr="002060A9">
        <w:rPr>
          <w:i/>
          <w:snapToGrid w:val="0"/>
          <w:lang w:val="en-IE"/>
        </w:rPr>
        <w:t>M</w:t>
      </w:r>
      <w:r w:rsidR="00C924A0" w:rsidRPr="00E85A02">
        <w:rPr>
          <w:i/>
          <w:lang w:val="en-IE"/>
        </w:rPr>
        <w:t>AP</w:t>
      </w:r>
      <w:r w:rsidR="00C924A0" w:rsidRPr="002060A9">
        <w:rPr>
          <w:lang w:val="en-IE"/>
        </w:rPr>
        <w:t xml:space="preserve"> </w:t>
      </w:r>
      <w:r w:rsidRPr="002060A9">
        <w:rPr>
          <w:lang w:val="en-IE"/>
        </w:rPr>
        <w:t>culture is blended with an adjuvant, such as liquid paraffin, olive oil and pumice.</w:t>
      </w:r>
    </w:p>
    <w:p w14:paraId="280160C2" w14:textId="77777777" w:rsidR="00DD5F99" w:rsidRPr="002060A9" w:rsidRDefault="0020514E" w:rsidP="008A67B0">
      <w:pPr>
        <w:pStyle w:val="111"/>
        <w:rPr>
          <w:lang w:val="en-IE"/>
        </w:rPr>
      </w:pPr>
      <w:r w:rsidRPr="002060A9">
        <w:rPr>
          <w:lang w:val="en-IE"/>
        </w:rPr>
        <w:t>2.2.2</w:t>
      </w:r>
      <w:r w:rsidR="008A67B0" w:rsidRPr="002060A9">
        <w:rPr>
          <w:lang w:val="en-IE"/>
        </w:rPr>
        <w:t>.</w:t>
      </w:r>
      <w:r w:rsidR="008A67B0" w:rsidRPr="002060A9">
        <w:rPr>
          <w:lang w:val="en-IE"/>
        </w:rPr>
        <w:tab/>
        <w:t>I</w:t>
      </w:r>
      <w:r w:rsidR="00DD5F99" w:rsidRPr="002060A9">
        <w:rPr>
          <w:lang w:val="en-IE"/>
        </w:rPr>
        <w:t>n-process controls</w:t>
      </w:r>
    </w:p>
    <w:p w14:paraId="57E9BF21" w14:textId="77777777" w:rsidR="00DD5F99" w:rsidRPr="002060A9" w:rsidRDefault="00DD5F99" w:rsidP="00A07A31">
      <w:pPr>
        <w:pStyle w:val="111Para"/>
        <w:rPr>
          <w:lang w:val="en-IE"/>
        </w:rPr>
      </w:pPr>
      <w:r w:rsidRPr="002060A9">
        <w:rPr>
          <w:lang w:val="en-IE"/>
        </w:rPr>
        <w:t>Adequate growth of culture and cultural purity need to be checked. Presence of contaminating organisms may be detected by conventional sterility tests on harvests. Tests for pathogenic mycobacteria are carried out by injection of moist culture, taken prior to blending with adjuvant and diluted tenfold in saline, into two guinea-pigs, each receiving 1 ml. These are observed for 8 weeks, killed humanely, and examined for any abnormal lesions.</w:t>
      </w:r>
    </w:p>
    <w:p w14:paraId="3D5627DC" w14:textId="77777777" w:rsidR="00DD5F99" w:rsidRPr="002060A9" w:rsidRDefault="0020514E" w:rsidP="008A67B0">
      <w:pPr>
        <w:pStyle w:val="111"/>
        <w:rPr>
          <w:lang w:val="en-IE"/>
        </w:rPr>
      </w:pPr>
      <w:r w:rsidRPr="002060A9">
        <w:rPr>
          <w:lang w:val="en-IE"/>
        </w:rPr>
        <w:t>2.2.3</w:t>
      </w:r>
      <w:r w:rsidR="008A67B0" w:rsidRPr="002060A9">
        <w:rPr>
          <w:lang w:val="en-IE"/>
        </w:rPr>
        <w:t>.</w:t>
      </w:r>
      <w:r w:rsidR="008A67B0" w:rsidRPr="002060A9">
        <w:rPr>
          <w:lang w:val="en-IE"/>
        </w:rPr>
        <w:tab/>
        <w:t>Final</w:t>
      </w:r>
      <w:r w:rsidR="00DD5F99" w:rsidRPr="002060A9">
        <w:rPr>
          <w:lang w:val="en-IE"/>
        </w:rPr>
        <w:t xml:space="preserve"> product batch test</w:t>
      </w:r>
    </w:p>
    <w:p w14:paraId="2D43F8B7" w14:textId="77777777" w:rsidR="008D5350" w:rsidRPr="002060A9" w:rsidRDefault="008D5350" w:rsidP="00EE6120">
      <w:pPr>
        <w:pStyle w:val="i"/>
        <w:rPr>
          <w:lang w:val="en-IE"/>
        </w:rPr>
      </w:pPr>
      <w:proofErr w:type="spellStart"/>
      <w:r w:rsidRPr="002060A9">
        <w:rPr>
          <w:lang w:val="en-IE"/>
        </w:rPr>
        <w:t>i</w:t>
      </w:r>
      <w:proofErr w:type="spellEnd"/>
      <w:r w:rsidRPr="002060A9">
        <w:rPr>
          <w:lang w:val="en-IE"/>
        </w:rPr>
        <w:t>)</w:t>
      </w:r>
      <w:r w:rsidR="008A67B0" w:rsidRPr="002060A9">
        <w:rPr>
          <w:lang w:val="en-IE"/>
        </w:rPr>
        <w:tab/>
      </w:r>
      <w:r w:rsidRPr="002060A9">
        <w:rPr>
          <w:lang w:val="en-IE"/>
        </w:rPr>
        <w:t>Sterility</w:t>
      </w:r>
    </w:p>
    <w:p w14:paraId="23A95D7F" w14:textId="77777777" w:rsidR="008D5350" w:rsidRPr="002060A9" w:rsidRDefault="008D5350" w:rsidP="00EE6120">
      <w:pPr>
        <w:pStyle w:val="afourthpara"/>
        <w:rPr>
          <w:lang w:val="en-IE"/>
        </w:rPr>
      </w:pPr>
      <w:r w:rsidRPr="002060A9">
        <w:rPr>
          <w:lang w:val="en-IE"/>
        </w:rPr>
        <w:t xml:space="preserve">Tests for sterility and freedom from contamination </w:t>
      </w:r>
      <w:r w:rsidR="00E27D30">
        <w:rPr>
          <w:lang w:val="en-IE"/>
        </w:rPr>
        <w:t xml:space="preserve">of biological materials intended for veterinary use </w:t>
      </w:r>
      <w:r w:rsidRPr="002060A9">
        <w:rPr>
          <w:lang w:val="en-IE"/>
        </w:rPr>
        <w:t>may be found in Chapter 1.1.</w:t>
      </w:r>
      <w:r w:rsidR="00C45D2A">
        <w:rPr>
          <w:lang w:val="en-IE"/>
        </w:rPr>
        <w:t>9</w:t>
      </w:r>
      <w:r w:rsidRPr="002060A9">
        <w:rPr>
          <w:lang w:val="en-IE"/>
        </w:rPr>
        <w:t>. The vaccine organism will not normally grow to a detectable level in conventional sterility tests.</w:t>
      </w:r>
    </w:p>
    <w:p w14:paraId="3374A2E2" w14:textId="77777777" w:rsidR="008D5350" w:rsidRPr="002060A9" w:rsidRDefault="008D5350" w:rsidP="00EE6120">
      <w:pPr>
        <w:pStyle w:val="i"/>
        <w:rPr>
          <w:lang w:val="en-IE"/>
        </w:rPr>
      </w:pPr>
      <w:r w:rsidRPr="002060A9">
        <w:rPr>
          <w:lang w:val="en-IE"/>
        </w:rPr>
        <w:t>ii)</w:t>
      </w:r>
      <w:r w:rsidR="008A67B0" w:rsidRPr="002060A9">
        <w:rPr>
          <w:lang w:val="en-IE"/>
        </w:rPr>
        <w:tab/>
      </w:r>
      <w:r w:rsidRPr="002060A9">
        <w:rPr>
          <w:lang w:val="en-IE"/>
        </w:rPr>
        <w:t>Identity</w:t>
      </w:r>
    </w:p>
    <w:p w14:paraId="1C999876" w14:textId="77777777" w:rsidR="008D5350" w:rsidRPr="002060A9" w:rsidRDefault="00FF5218" w:rsidP="00EE6120">
      <w:pPr>
        <w:pStyle w:val="afourthpara"/>
        <w:rPr>
          <w:lang w:val="en-IE"/>
        </w:rPr>
      </w:pPr>
      <w:r w:rsidRPr="002060A9">
        <w:rPr>
          <w:lang w:val="en-IE"/>
        </w:rPr>
        <w:t>Identity of culture is</w:t>
      </w:r>
      <w:r w:rsidR="00D754B3" w:rsidRPr="002060A9">
        <w:rPr>
          <w:lang w:val="en-IE"/>
        </w:rPr>
        <w:t xml:space="preserve"> performed by </w:t>
      </w:r>
      <w:proofErr w:type="spellStart"/>
      <w:r w:rsidR="006D01C6" w:rsidRPr="002060A9">
        <w:rPr>
          <w:lang w:val="en-IE"/>
        </w:rPr>
        <w:t>Z</w:t>
      </w:r>
      <w:r w:rsidRPr="002060A9">
        <w:rPr>
          <w:lang w:val="en-IE"/>
        </w:rPr>
        <w:t>iehl</w:t>
      </w:r>
      <w:proofErr w:type="spellEnd"/>
      <w:r w:rsidR="00EE6120" w:rsidRPr="002060A9">
        <w:rPr>
          <w:lang w:val="en-IE"/>
        </w:rPr>
        <w:t>–</w:t>
      </w:r>
      <w:proofErr w:type="spellStart"/>
      <w:r w:rsidR="006D01C6" w:rsidRPr="002060A9">
        <w:rPr>
          <w:lang w:val="en-IE"/>
        </w:rPr>
        <w:t>Neelsen</w:t>
      </w:r>
      <w:proofErr w:type="spellEnd"/>
      <w:r w:rsidR="006D01C6" w:rsidRPr="002060A9">
        <w:rPr>
          <w:lang w:val="en-IE"/>
        </w:rPr>
        <w:t xml:space="preserve"> staining and PCR</w:t>
      </w:r>
      <w:r w:rsidRPr="002060A9">
        <w:rPr>
          <w:lang w:val="en-IE"/>
        </w:rPr>
        <w:t xml:space="preserve"> (see </w:t>
      </w:r>
      <w:r w:rsidR="007D68A0" w:rsidRPr="002060A9">
        <w:rPr>
          <w:lang w:val="en-IE"/>
        </w:rPr>
        <w:t>Section B.1.</w:t>
      </w:r>
      <w:r w:rsidR="00F12E1F" w:rsidRPr="002060A9">
        <w:rPr>
          <w:lang w:val="en-IE"/>
        </w:rPr>
        <w:t>4</w:t>
      </w:r>
      <w:r w:rsidRPr="002060A9">
        <w:rPr>
          <w:lang w:val="en-IE"/>
        </w:rPr>
        <w:t>)</w:t>
      </w:r>
      <w:r w:rsidR="006D01C6" w:rsidRPr="002060A9">
        <w:rPr>
          <w:lang w:val="en-IE"/>
        </w:rPr>
        <w:t>.</w:t>
      </w:r>
    </w:p>
    <w:p w14:paraId="4B7AB0F9" w14:textId="77777777" w:rsidR="008D5350" w:rsidRPr="002060A9" w:rsidRDefault="008D5350" w:rsidP="00EE6120">
      <w:pPr>
        <w:pStyle w:val="i"/>
        <w:rPr>
          <w:lang w:val="en-IE"/>
        </w:rPr>
      </w:pPr>
      <w:r w:rsidRPr="002060A9">
        <w:rPr>
          <w:lang w:val="en-IE"/>
        </w:rPr>
        <w:t>iii)</w:t>
      </w:r>
      <w:r w:rsidR="008A67B0" w:rsidRPr="002060A9">
        <w:rPr>
          <w:lang w:val="en-IE"/>
        </w:rPr>
        <w:tab/>
      </w:r>
      <w:r w:rsidRPr="002060A9">
        <w:rPr>
          <w:lang w:val="en-IE"/>
        </w:rPr>
        <w:t>Safety</w:t>
      </w:r>
    </w:p>
    <w:p w14:paraId="3CE40C96" w14:textId="77777777" w:rsidR="008D5350" w:rsidRPr="002060A9" w:rsidRDefault="008D5350" w:rsidP="007D68A0">
      <w:pPr>
        <w:pStyle w:val="afourthpara"/>
        <w:rPr>
          <w:lang w:val="en-IE"/>
        </w:rPr>
      </w:pPr>
      <w:r w:rsidRPr="002060A9">
        <w:rPr>
          <w:lang w:val="en-IE"/>
        </w:rPr>
        <w:t>These tests are normally performed in laboratory animals, although multidose tests in target animals would also be satisfactory. A typical laboratory animal test would be as follows. Each of two guinea-pigs is inoculated, subcutaneously, with an acceptable batch of vaccine at a fraction of the cattle dose previously determined to give a nodule but no overt necrosis at the injection site. Animals are observed for 8 weeks, killed humanely and examined for any abnormal lesions.</w:t>
      </w:r>
    </w:p>
    <w:p w14:paraId="13C39EF3" w14:textId="77777777" w:rsidR="008D5350" w:rsidRPr="002060A9" w:rsidRDefault="008D5350" w:rsidP="00EE6120">
      <w:pPr>
        <w:pStyle w:val="i"/>
        <w:rPr>
          <w:lang w:val="en-IE"/>
        </w:rPr>
      </w:pPr>
      <w:r w:rsidRPr="002060A9">
        <w:rPr>
          <w:lang w:val="en-IE"/>
        </w:rPr>
        <w:t>iv)</w:t>
      </w:r>
      <w:r w:rsidR="008A67B0" w:rsidRPr="002060A9">
        <w:rPr>
          <w:lang w:val="en-IE"/>
        </w:rPr>
        <w:tab/>
      </w:r>
      <w:r w:rsidRPr="002060A9">
        <w:rPr>
          <w:lang w:val="en-IE"/>
        </w:rPr>
        <w:t>Batch potency</w:t>
      </w:r>
    </w:p>
    <w:p w14:paraId="52B59C8E" w14:textId="77777777" w:rsidR="008D5350" w:rsidRPr="002060A9" w:rsidRDefault="008D5350" w:rsidP="007D68A0">
      <w:pPr>
        <w:pStyle w:val="afourthpara"/>
        <w:rPr>
          <w:lang w:val="en-IE"/>
        </w:rPr>
      </w:pPr>
      <w:r w:rsidRPr="002060A9">
        <w:rPr>
          <w:lang w:val="en-IE"/>
        </w:rPr>
        <w:t xml:space="preserve">As protection tests appear to be impractical, a test of sensitising ability may be used. This may then be related to bacterial content based on weight. A typical test would be as follows: guinea-pigs are sensitised by intramuscular injection of 0.5 ml of a 100-fold dilution in liquid paraffin of the vaccine under test. Skin tests are performed 6 weeks after sensitisation using intradermal inoculations of 0.2 ml of at least three serial dilutions of an </w:t>
      </w:r>
      <w:r w:rsidR="00C924A0" w:rsidRPr="002060A9">
        <w:rPr>
          <w:i/>
          <w:snapToGrid w:val="0"/>
          <w:lang w:val="en-IE"/>
        </w:rPr>
        <w:t>M</w:t>
      </w:r>
      <w:r w:rsidR="00C924A0" w:rsidRPr="00E85A02">
        <w:rPr>
          <w:i/>
          <w:lang w:val="en-IE"/>
        </w:rPr>
        <w:t>AP</w:t>
      </w:r>
      <w:r w:rsidR="00C924A0" w:rsidRPr="002060A9">
        <w:rPr>
          <w:lang w:val="en-IE"/>
        </w:rPr>
        <w:t xml:space="preserve"> </w:t>
      </w:r>
      <w:r w:rsidRPr="002060A9">
        <w:rPr>
          <w:lang w:val="en-IE"/>
        </w:rPr>
        <w:t xml:space="preserve">antigen, such as johnin PPD, the dilutions being chosen to give expected skin reactions of from 8 mm to </w:t>
      </w:r>
      <w:r w:rsidRPr="002060A9">
        <w:rPr>
          <w:lang w:val="en-IE"/>
        </w:rPr>
        <w:lastRenderedPageBreak/>
        <w:t xml:space="preserve">25 mm diameter. Each guinea-pig receives several dilutions per flank, their distribution being chosen by a Latin square design. After 24–48 hours, skin reactions are measured. A reference preparation for tests of this type has not yet been fully established. Avian tuberculin PPD of known international </w:t>
      </w:r>
      <w:proofErr w:type="spellStart"/>
      <w:r w:rsidRPr="002060A9">
        <w:rPr>
          <w:lang w:val="en-IE"/>
        </w:rPr>
        <w:t>unitage</w:t>
      </w:r>
      <w:proofErr w:type="spellEnd"/>
      <w:r w:rsidRPr="002060A9">
        <w:rPr>
          <w:lang w:val="en-IE"/>
        </w:rPr>
        <w:t xml:space="preserve"> may be used as a skin test antigen in tests of this type to ensure that the vaccine is capable of producing adequate sensitisation (corresponding to the vaccination).</w:t>
      </w:r>
    </w:p>
    <w:p w14:paraId="1C43C9FB" w14:textId="77777777" w:rsidR="008D5350" w:rsidRPr="002060A9" w:rsidRDefault="00C522D4" w:rsidP="008A67B0">
      <w:pPr>
        <w:pStyle w:val="11"/>
        <w:rPr>
          <w:lang w:val="en-IE"/>
        </w:rPr>
      </w:pPr>
      <w:r w:rsidRPr="002060A9">
        <w:rPr>
          <w:lang w:val="en-IE"/>
        </w:rPr>
        <w:t>2.3.</w:t>
      </w:r>
      <w:r w:rsidR="008A67B0" w:rsidRPr="002060A9">
        <w:rPr>
          <w:lang w:val="en-IE"/>
        </w:rPr>
        <w:tab/>
      </w:r>
      <w:r w:rsidRPr="002060A9">
        <w:rPr>
          <w:lang w:val="en-IE"/>
        </w:rPr>
        <w:t>Requirements for authorisation/registration/licensing</w:t>
      </w:r>
    </w:p>
    <w:p w14:paraId="6FA86637" w14:textId="77777777" w:rsidR="004E37DE" w:rsidRPr="002060A9" w:rsidRDefault="00C522D4" w:rsidP="008A67B0">
      <w:pPr>
        <w:pStyle w:val="111"/>
        <w:rPr>
          <w:lang w:val="en-IE"/>
        </w:rPr>
      </w:pPr>
      <w:r w:rsidRPr="002060A9">
        <w:rPr>
          <w:lang w:val="en-IE"/>
        </w:rPr>
        <w:t>2.3.1.</w:t>
      </w:r>
      <w:r w:rsidR="008A67B0" w:rsidRPr="002060A9">
        <w:rPr>
          <w:lang w:val="en-IE"/>
        </w:rPr>
        <w:tab/>
        <w:t>M</w:t>
      </w:r>
      <w:r w:rsidRPr="002060A9">
        <w:rPr>
          <w:lang w:val="en-IE"/>
        </w:rPr>
        <w:t>anufacturing process</w:t>
      </w:r>
      <w:r w:rsidR="00F10369" w:rsidRPr="002060A9">
        <w:rPr>
          <w:lang w:val="en-IE"/>
        </w:rPr>
        <w:t xml:space="preserve"> </w:t>
      </w:r>
    </w:p>
    <w:p w14:paraId="2A66497D" w14:textId="77777777" w:rsidR="002E6B22" w:rsidRDefault="004E37DE" w:rsidP="002E6B22">
      <w:pPr>
        <w:pStyle w:val="111Para"/>
        <w:rPr>
          <w:lang w:val="en-IE"/>
        </w:rPr>
      </w:pPr>
      <w:r w:rsidRPr="002060A9">
        <w:rPr>
          <w:lang w:val="en-IE"/>
        </w:rPr>
        <w:t xml:space="preserve">A preservative is normally included for vaccine in multidose containers. </w:t>
      </w:r>
    </w:p>
    <w:p w14:paraId="311DFD7A" w14:textId="77777777" w:rsidR="00D40F86" w:rsidRPr="002060A9" w:rsidRDefault="00C522D4" w:rsidP="00B96295">
      <w:pPr>
        <w:pStyle w:val="111"/>
        <w:rPr>
          <w:lang w:val="en-IE"/>
        </w:rPr>
      </w:pPr>
      <w:r w:rsidRPr="002060A9">
        <w:rPr>
          <w:lang w:val="en-IE"/>
        </w:rPr>
        <w:t>2.3.2.</w:t>
      </w:r>
      <w:r w:rsidR="008A67B0" w:rsidRPr="002060A9">
        <w:rPr>
          <w:lang w:val="en-IE"/>
        </w:rPr>
        <w:tab/>
        <w:t>S</w:t>
      </w:r>
      <w:r w:rsidRPr="002060A9">
        <w:rPr>
          <w:lang w:val="en-IE"/>
        </w:rPr>
        <w:t>afety requirements</w:t>
      </w:r>
    </w:p>
    <w:p w14:paraId="66920C95" w14:textId="77777777" w:rsidR="00D40F86" w:rsidRPr="002060A9" w:rsidRDefault="00C522D4" w:rsidP="00EE6120">
      <w:pPr>
        <w:pStyle w:val="i"/>
        <w:rPr>
          <w:lang w:val="en-IE"/>
        </w:rPr>
      </w:pPr>
      <w:proofErr w:type="spellStart"/>
      <w:r w:rsidRPr="002060A9">
        <w:rPr>
          <w:lang w:val="en-IE"/>
        </w:rPr>
        <w:t>i</w:t>
      </w:r>
      <w:proofErr w:type="spellEnd"/>
      <w:r w:rsidRPr="002060A9">
        <w:rPr>
          <w:lang w:val="en-IE"/>
        </w:rPr>
        <w:t>)</w:t>
      </w:r>
      <w:r w:rsidR="008A67B0" w:rsidRPr="002060A9">
        <w:rPr>
          <w:lang w:val="en-IE"/>
        </w:rPr>
        <w:tab/>
      </w:r>
      <w:r w:rsidR="00B96295" w:rsidRPr="002060A9">
        <w:rPr>
          <w:lang w:val="en-IE"/>
        </w:rPr>
        <w:t>Target</w:t>
      </w:r>
      <w:r w:rsidRPr="002060A9">
        <w:rPr>
          <w:lang w:val="en-IE"/>
        </w:rPr>
        <w:t xml:space="preserve"> and non</w:t>
      </w:r>
      <w:r w:rsidR="0009339E" w:rsidRPr="002060A9">
        <w:rPr>
          <w:lang w:val="en-IE"/>
        </w:rPr>
        <w:t>-</w:t>
      </w:r>
      <w:r w:rsidRPr="002060A9">
        <w:rPr>
          <w:lang w:val="en-IE"/>
        </w:rPr>
        <w:t>target animal safety</w:t>
      </w:r>
    </w:p>
    <w:p w14:paraId="0BF9931D" w14:textId="77777777" w:rsidR="006D01C6" w:rsidRPr="002060A9" w:rsidRDefault="006D01C6" w:rsidP="00B96295">
      <w:pPr>
        <w:pStyle w:val="afourthpara"/>
        <w:rPr>
          <w:lang w:val="en-IE"/>
        </w:rPr>
      </w:pPr>
      <w:r w:rsidRPr="002060A9">
        <w:rPr>
          <w:lang w:val="en-IE"/>
        </w:rPr>
        <w:t xml:space="preserve">See </w:t>
      </w:r>
      <w:r w:rsidR="007D68A0" w:rsidRPr="002060A9">
        <w:rPr>
          <w:lang w:val="en-IE"/>
        </w:rPr>
        <w:t>Section C1.</w:t>
      </w:r>
      <w:r w:rsidRPr="002060A9">
        <w:rPr>
          <w:lang w:val="en-IE"/>
        </w:rPr>
        <w:t>2.2.3.</w:t>
      </w:r>
    </w:p>
    <w:p w14:paraId="008D70FE" w14:textId="77777777" w:rsidR="00D40F86" w:rsidRPr="002060A9" w:rsidRDefault="00C522D4" w:rsidP="00EE6120">
      <w:pPr>
        <w:pStyle w:val="i"/>
        <w:rPr>
          <w:lang w:val="en-IE"/>
        </w:rPr>
      </w:pPr>
      <w:r w:rsidRPr="002060A9">
        <w:rPr>
          <w:lang w:val="en-IE"/>
        </w:rPr>
        <w:t>ii)</w:t>
      </w:r>
      <w:r w:rsidR="008A67B0" w:rsidRPr="002060A9">
        <w:rPr>
          <w:lang w:val="en-IE"/>
        </w:rPr>
        <w:tab/>
        <w:t>R</w:t>
      </w:r>
      <w:r w:rsidRPr="002060A9">
        <w:rPr>
          <w:lang w:val="en-IE"/>
        </w:rPr>
        <w:t>eversion-to-virulence for attenuated/live vaccines and environmental considerations</w:t>
      </w:r>
    </w:p>
    <w:p w14:paraId="4D346F41" w14:textId="77777777" w:rsidR="00AE6CF9" w:rsidRPr="002060A9" w:rsidRDefault="00AE6CF9" w:rsidP="00B96295">
      <w:pPr>
        <w:pStyle w:val="afourthpara"/>
        <w:rPr>
          <w:lang w:val="en-IE"/>
        </w:rPr>
      </w:pPr>
      <w:r w:rsidRPr="002060A9">
        <w:rPr>
          <w:lang w:val="en-IE"/>
        </w:rPr>
        <w:t>Live vaccines are not available.</w:t>
      </w:r>
    </w:p>
    <w:p w14:paraId="6F9CE62E" w14:textId="77777777" w:rsidR="00D40F86" w:rsidRPr="002060A9" w:rsidRDefault="00C522D4" w:rsidP="00EE6120">
      <w:pPr>
        <w:pStyle w:val="i"/>
        <w:rPr>
          <w:lang w:val="en-IE"/>
        </w:rPr>
      </w:pPr>
      <w:r w:rsidRPr="002060A9">
        <w:rPr>
          <w:lang w:val="en-IE"/>
        </w:rPr>
        <w:t>iii)</w:t>
      </w:r>
      <w:r w:rsidR="008A67B0" w:rsidRPr="002060A9">
        <w:rPr>
          <w:lang w:val="en-IE"/>
        </w:rPr>
        <w:tab/>
        <w:t>P</w:t>
      </w:r>
      <w:r w:rsidRPr="002060A9">
        <w:rPr>
          <w:lang w:val="en-IE"/>
        </w:rPr>
        <w:t>recautions (hazards)</w:t>
      </w:r>
    </w:p>
    <w:p w14:paraId="713768A5" w14:textId="77777777" w:rsidR="00D40F86" w:rsidRPr="004622FC" w:rsidRDefault="00D40F86" w:rsidP="007D68A0">
      <w:pPr>
        <w:pStyle w:val="afourthpara"/>
        <w:rPr>
          <w:lang w:val="en-IE"/>
        </w:rPr>
      </w:pPr>
      <w:r w:rsidRPr="002060A9">
        <w:rPr>
          <w:lang w:val="en-IE"/>
        </w:rPr>
        <w:t xml:space="preserve">The </w:t>
      </w:r>
      <w:r w:rsidRPr="004622FC">
        <w:rPr>
          <w:lang w:val="en-IE"/>
        </w:rPr>
        <w:t>vaccine causes some side-effects, nodule formation and sensitisation of animals to the tuberculin test (</w:t>
      </w:r>
      <w:proofErr w:type="spellStart"/>
      <w:r w:rsidRPr="004622FC">
        <w:rPr>
          <w:lang w:val="en-IE"/>
        </w:rPr>
        <w:t>Gwozdz</w:t>
      </w:r>
      <w:proofErr w:type="spellEnd"/>
      <w:r w:rsidRPr="004622FC">
        <w:rPr>
          <w:lang w:val="en-IE"/>
        </w:rPr>
        <w:t xml:space="preserve"> </w:t>
      </w:r>
      <w:r w:rsidRPr="004622FC">
        <w:rPr>
          <w:i/>
          <w:lang w:val="en-IE"/>
        </w:rPr>
        <w:t>et al</w:t>
      </w:r>
      <w:r w:rsidRPr="004622FC">
        <w:rPr>
          <w:lang w:val="en-IE"/>
        </w:rPr>
        <w:t>., 2000). In humans, accidental injection of vaccine has resulted in chronic inflammatory reactions requiring surgical treatment.</w:t>
      </w:r>
    </w:p>
    <w:p w14:paraId="75B67E8B" w14:textId="77777777" w:rsidR="00D40F86" w:rsidRPr="004622FC" w:rsidRDefault="00C522D4" w:rsidP="00EE6120">
      <w:pPr>
        <w:pStyle w:val="111"/>
        <w:rPr>
          <w:lang w:val="en-IE"/>
        </w:rPr>
      </w:pPr>
      <w:r w:rsidRPr="004622FC">
        <w:rPr>
          <w:lang w:val="en-IE"/>
        </w:rPr>
        <w:t>2.3.3.</w:t>
      </w:r>
      <w:r w:rsidR="008A67B0" w:rsidRPr="004622FC">
        <w:rPr>
          <w:lang w:val="en-IE"/>
        </w:rPr>
        <w:tab/>
      </w:r>
      <w:r w:rsidRPr="004622FC">
        <w:rPr>
          <w:lang w:val="en-IE"/>
        </w:rPr>
        <w:t>Efficacy requirements</w:t>
      </w:r>
    </w:p>
    <w:p w14:paraId="75219D65" w14:textId="77777777" w:rsidR="00EE6120" w:rsidRPr="002060A9" w:rsidRDefault="00C77F46" w:rsidP="00EE6120">
      <w:pPr>
        <w:pStyle w:val="111Para"/>
        <w:rPr>
          <w:lang w:val="en-IE"/>
        </w:rPr>
      </w:pPr>
      <w:r w:rsidRPr="004622FC">
        <w:rPr>
          <w:lang w:val="en-IE"/>
        </w:rPr>
        <w:t>The vaccine should be used as part of a control programme</w:t>
      </w:r>
      <w:r w:rsidRPr="002060A9">
        <w:rPr>
          <w:lang w:val="en-IE"/>
        </w:rPr>
        <w:t xml:space="preserve"> and will not on its own provide complete protection against disease caused by </w:t>
      </w:r>
      <w:r w:rsidRPr="002060A9">
        <w:rPr>
          <w:i/>
          <w:lang w:val="en-IE"/>
        </w:rPr>
        <w:t>MAP</w:t>
      </w:r>
      <w:r w:rsidRPr="002060A9">
        <w:rPr>
          <w:lang w:val="en-IE"/>
        </w:rPr>
        <w:t>.</w:t>
      </w:r>
    </w:p>
    <w:p w14:paraId="25A0121F" w14:textId="77777777" w:rsidR="00EC437E" w:rsidRPr="002060A9" w:rsidRDefault="00C522D4" w:rsidP="00EE6120">
      <w:pPr>
        <w:pStyle w:val="111"/>
        <w:rPr>
          <w:lang w:val="en-IE"/>
        </w:rPr>
      </w:pPr>
      <w:r w:rsidRPr="002060A9">
        <w:rPr>
          <w:lang w:val="en-IE"/>
        </w:rPr>
        <w:t>2.3.4.</w:t>
      </w:r>
      <w:r w:rsidR="00B96295" w:rsidRPr="002060A9">
        <w:rPr>
          <w:lang w:val="en-IE"/>
        </w:rPr>
        <w:tab/>
      </w:r>
      <w:r w:rsidRPr="002060A9">
        <w:rPr>
          <w:lang w:val="en-IE"/>
        </w:rPr>
        <w:t>Vaccines permitting a DIVA strategy (detection of infection in vaccinated animals)</w:t>
      </w:r>
    </w:p>
    <w:p w14:paraId="08E3EE6E" w14:textId="77777777" w:rsidR="004E37DE" w:rsidRPr="002060A9" w:rsidRDefault="00C522D4" w:rsidP="00B96295">
      <w:pPr>
        <w:pStyle w:val="111Para"/>
        <w:rPr>
          <w:lang w:val="en-IE"/>
        </w:rPr>
      </w:pPr>
      <w:r w:rsidRPr="002060A9">
        <w:rPr>
          <w:lang w:val="en-IE"/>
        </w:rPr>
        <w:t>No DIVA vaccine yet available</w:t>
      </w:r>
    </w:p>
    <w:p w14:paraId="2B3EAA29" w14:textId="77777777" w:rsidR="00B66F35" w:rsidRPr="002060A9" w:rsidRDefault="00D40F86" w:rsidP="00EE6120">
      <w:pPr>
        <w:pStyle w:val="111"/>
        <w:rPr>
          <w:lang w:val="en-IE"/>
        </w:rPr>
      </w:pPr>
      <w:r w:rsidRPr="002060A9">
        <w:rPr>
          <w:lang w:val="en-IE"/>
        </w:rPr>
        <w:t>2.3.5.</w:t>
      </w:r>
      <w:r w:rsidR="008A67B0" w:rsidRPr="002060A9">
        <w:rPr>
          <w:lang w:val="en-IE"/>
        </w:rPr>
        <w:tab/>
      </w:r>
      <w:r w:rsidR="00B66F35" w:rsidRPr="002060A9">
        <w:rPr>
          <w:lang w:val="en-IE"/>
        </w:rPr>
        <w:t>Duration of immunity</w:t>
      </w:r>
    </w:p>
    <w:p w14:paraId="1E12A337" w14:textId="77777777" w:rsidR="00B66F35" w:rsidRPr="002060A9" w:rsidRDefault="00B66F35" w:rsidP="007D68A0">
      <w:pPr>
        <w:pStyle w:val="111Para"/>
        <w:rPr>
          <w:lang w:val="en-IE"/>
        </w:rPr>
      </w:pPr>
      <w:r w:rsidRPr="002060A9">
        <w:rPr>
          <w:lang w:val="en-IE"/>
        </w:rPr>
        <w:t xml:space="preserve">After vaccination at the age of 14–30 days, the vaccination effect is expressed as the reduction in the rate of </w:t>
      </w:r>
      <w:proofErr w:type="spellStart"/>
      <w:r w:rsidRPr="002060A9">
        <w:rPr>
          <w:lang w:val="en-IE"/>
        </w:rPr>
        <w:t>excretors</w:t>
      </w:r>
      <w:proofErr w:type="spellEnd"/>
      <w:r w:rsidRPr="002060A9">
        <w:rPr>
          <w:lang w:val="en-IE"/>
        </w:rPr>
        <w:t xml:space="preserve"> among vaccinated animals as compared with nonvaccinated bovines.</w:t>
      </w:r>
    </w:p>
    <w:p w14:paraId="4C0C30EC" w14:textId="77777777" w:rsidR="007D68A0" w:rsidRPr="002060A9" w:rsidRDefault="007D68A0" w:rsidP="002B321A">
      <w:pPr>
        <w:pStyle w:val="1"/>
        <w:rPr>
          <w:lang w:val="en-IE"/>
        </w:rPr>
      </w:pPr>
      <w:r w:rsidRPr="002060A9">
        <w:rPr>
          <w:lang w:val="en-IE"/>
        </w:rPr>
        <w:t>C2.</w:t>
      </w:r>
      <w:r w:rsidRPr="002060A9">
        <w:rPr>
          <w:lang w:val="en-IE"/>
        </w:rPr>
        <w:tab/>
        <w:t>Johnin</w:t>
      </w:r>
    </w:p>
    <w:p w14:paraId="0ABDB391" w14:textId="77777777" w:rsidR="002B321A" w:rsidRPr="002060A9" w:rsidRDefault="002B321A" w:rsidP="002B321A">
      <w:pPr>
        <w:pStyle w:val="1"/>
        <w:rPr>
          <w:lang w:val="en-IE"/>
        </w:rPr>
      </w:pPr>
      <w:r w:rsidRPr="002060A9">
        <w:rPr>
          <w:lang w:val="en-IE"/>
        </w:rPr>
        <w:t xml:space="preserve">1. </w:t>
      </w:r>
      <w:r w:rsidRPr="002060A9">
        <w:rPr>
          <w:lang w:val="en-IE"/>
        </w:rPr>
        <w:tab/>
        <w:t>Background</w:t>
      </w:r>
    </w:p>
    <w:p w14:paraId="2A9E6F62" w14:textId="276BE147" w:rsidR="002B321A" w:rsidRPr="002060A9" w:rsidRDefault="002B321A" w:rsidP="007D68A0">
      <w:pPr>
        <w:pStyle w:val="para1"/>
        <w:rPr>
          <w:i/>
          <w:lang w:val="en-IE"/>
        </w:rPr>
      </w:pPr>
      <w:r w:rsidRPr="002060A9">
        <w:rPr>
          <w:lang w:val="en-IE"/>
        </w:rPr>
        <w:t xml:space="preserve">Johnin PPD is a preparation of the heat-treated products of growth and lysis of </w:t>
      </w:r>
      <w:r w:rsidRPr="002060A9">
        <w:rPr>
          <w:i/>
          <w:snapToGrid w:val="0"/>
          <w:lang w:val="en-IE"/>
        </w:rPr>
        <w:t>M</w:t>
      </w:r>
      <w:r w:rsidRPr="00E85A02">
        <w:rPr>
          <w:i/>
          <w:lang w:val="en-IE"/>
        </w:rPr>
        <w:t>AP</w:t>
      </w:r>
      <w:r w:rsidRPr="002060A9">
        <w:rPr>
          <w:i/>
          <w:lang w:val="en-IE"/>
        </w:rPr>
        <w:t xml:space="preserve">. </w:t>
      </w:r>
      <w:r w:rsidRPr="002060A9">
        <w:rPr>
          <w:lang w:val="en-IE"/>
        </w:rPr>
        <w:t xml:space="preserve">Avian tuberculin PPD is a preparation of heat-treated products of growth and lysis of </w:t>
      </w:r>
      <w:r w:rsidRPr="002060A9">
        <w:rPr>
          <w:i/>
          <w:lang w:val="en-IE"/>
        </w:rPr>
        <w:t>M.</w:t>
      </w:r>
      <w:r w:rsidRPr="002060A9">
        <w:rPr>
          <w:lang w:val="en-IE"/>
        </w:rPr>
        <w:t> </w:t>
      </w:r>
      <w:r w:rsidR="00415864" w:rsidRPr="00665677">
        <w:rPr>
          <w:i/>
          <w:iCs/>
          <w:lang w:val="en-IE"/>
        </w:rPr>
        <w:t>a</w:t>
      </w:r>
      <w:r w:rsidR="00A26F48" w:rsidRPr="00412F26">
        <w:rPr>
          <w:i/>
          <w:iCs/>
          <w:highlight w:val="yellow"/>
          <w:u w:val="double"/>
          <w:lang w:val="en-IE"/>
        </w:rPr>
        <w:t>vium</w:t>
      </w:r>
      <w:r w:rsidR="00A26F48">
        <w:rPr>
          <w:lang w:val="en-IE"/>
        </w:rPr>
        <w:t xml:space="preserve"> </w:t>
      </w:r>
      <w:r w:rsidR="00A26F48" w:rsidRPr="00412F26">
        <w:rPr>
          <w:highlight w:val="yellow"/>
          <w:u w:val="double"/>
          <w:lang w:val="en-IE"/>
        </w:rPr>
        <w:t>subsp</w:t>
      </w:r>
      <w:r w:rsidR="00A26F48">
        <w:rPr>
          <w:lang w:val="en-IE"/>
        </w:rPr>
        <w:t>.</w:t>
      </w:r>
      <w:r w:rsidR="001F3540" w:rsidRPr="002060A9">
        <w:rPr>
          <w:lang w:val="en-IE"/>
        </w:rPr>
        <w:t xml:space="preserve"> </w:t>
      </w:r>
      <w:r w:rsidRPr="002060A9">
        <w:rPr>
          <w:i/>
          <w:lang w:val="en-IE"/>
        </w:rPr>
        <w:t>avium</w:t>
      </w:r>
      <w:r w:rsidRPr="002060A9">
        <w:rPr>
          <w:lang w:val="en-IE"/>
        </w:rPr>
        <w:t xml:space="preserve"> D4ER or TB 56. Details of avian tuberculin PPD are in Chapter </w:t>
      </w:r>
      <w:r w:rsidR="00167A02">
        <w:rPr>
          <w:lang w:val="en-IE"/>
        </w:rPr>
        <w:t>3</w:t>
      </w:r>
      <w:r w:rsidRPr="002060A9">
        <w:rPr>
          <w:lang w:val="en-IE"/>
        </w:rPr>
        <w:t xml:space="preserve">.3.6 </w:t>
      </w:r>
      <w:r w:rsidRPr="002060A9">
        <w:rPr>
          <w:i/>
          <w:lang w:val="en-IE"/>
        </w:rPr>
        <w:t>Avian tuberculosis</w:t>
      </w:r>
      <w:r w:rsidRPr="002060A9">
        <w:rPr>
          <w:lang w:val="en-IE"/>
        </w:rPr>
        <w:t xml:space="preserve">. These two preparations are used, by intradermal injection, to reveal DTH as a means of identifying animals infected or sensitised with </w:t>
      </w:r>
      <w:r w:rsidRPr="002060A9">
        <w:rPr>
          <w:i/>
          <w:snapToGrid w:val="0"/>
          <w:lang w:val="en-IE"/>
        </w:rPr>
        <w:t>M</w:t>
      </w:r>
      <w:r w:rsidRPr="00E85A02">
        <w:rPr>
          <w:i/>
          <w:lang w:val="en-IE"/>
        </w:rPr>
        <w:t>AP</w:t>
      </w:r>
      <w:r w:rsidRPr="002060A9">
        <w:rPr>
          <w:i/>
          <w:lang w:val="en-IE"/>
        </w:rPr>
        <w:t>.</w:t>
      </w:r>
    </w:p>
    <w:p w14:paraId="1B23D4CD" w14:textId="77777777" w:rsidR="002B321A" w:rsidRPr="002060A9" w:rsidRDefault="002B321A" w:rsidP="002B321A">
      <w:pPr>
        <w:pStyle w:val="paraA0"/>
        <w:spacing w:after="220"/>
        <w:rPr>
          <w:lang w:val="en-IE"/>
        </w:rPr>
      </w:pPr>
      <w:r w:rsidRPr="002060A9">
        <w:rPr>
          <w:lang w:val="en-IE"/>
        </w:rPr>
        <w:t xml:space="preserve">Guidelines for the production of veterinary </w:t>
      </w:r>
      <w:r w:rsidR="007837F2" w:rsidRPr="002060A9">
        <w:rPr>
          <w:lang w:val="en-IE"/>
        </w:rPr>
        <w:t xml:space="preserve">biologicals </w:t>
      </w:r>
      <w:r w:rsidRPr="002060A9">
        <w:rPr>
          <w:lang w:val="en-IE"/>
        </w:rPr>
        <w:t>are given in Chapter 1.1.</w:t>
      </w:r>
      <w:r w:rsidR="00C45D2A">
        <w:rPr>
          <w:lang w:val="en-IE"/>
        </w:rPr>
        <w:t>8</w:t>
      </w:r>
      <w:r w:rsidRPr="002060A9">
        <w:rPr>
          <w:lang w:val="en-IE"/>
        </w:rPr>
        <w:t xml:space="preserve"> </w:t>
      </w:r>
      <w:r w:rsidRPr="002060A9">
        <w:rPr>
          <w:i/>
          <w:lang w:val="en-IE"/>
        </w:rPr>
        <w:t>Principles of veterinary vaccine production</w:t>
      </w:r>
      <w:r w:rsidRPr="002060A9">
        <w:rPr>
          <w:lang w:val="en-IE"/>
        </w:rPr>
        <w:t>. The guidelines given here and in Chapter 1.1.</w:t>
      </w:r>
      <w:r w:rsidR="00C45D2A">
        <w:rPr>
          <w:lang w:val="en-IE"/>
        </w:rPr>
        <w:t>8</w:t>
      </w:r>
      <w:r w:rsidRPr="002060A9">
        <w:rPr>
          <w:lang w:val="en-IE"/>
        </w:rPr>
        <w:t xml:space="preserve"> are intended to be general in nature and may be supplemented by national and regional requirements.</w:t>
      </w:r>
    </w:p>
    <w:p w14:paraId="48A779EA" w14:textId="77777777" w:rsidR="002B321A" w:rsidRPr="002060A9" w:rsidRDefault="002B321A" w:rsidP="00167A02">
      <w:pPr>
        <w:pStyle w:val="1"/>
        <w:spacing w:after="120"/>
        <w:rPr>
          <w:lang w:val="en-IE"/>
        </w:rPr>
      </w:pPr>
      <w:r w:rsidRPr="002060A9">
        <w:rPr>
          <w:lang w:val="en-IE"/>
        </w:rPr>
        <w:t>2.</w:t>
      </w:r>
      <w:r w:rsidRPr="002060A9">
        <w:rPr>
          <w:lang w:val="en-IE"/>
        </w:rPr>
        <w:tab/>
        <w:t xml:space="preserve">Outline of production and minimum requirements for </w:t>
      </w:r>
      <w:r w:rsidR="007837F2" w:rsidRPr="002060A9">
        <w:rPr>
          <w:lang w:val="en-IE"/>
        </w:rPr>
        <w:t>Johnin</w:t>
      </w:r>
    </w:p>
    <w:p w14:paraId="5BFCDDBF" w14:textId="77777777" w:rsidR="002B321A" w:rsidRPr="002060A9" w:rsidRDefault="002B321A" w:rsidP="00167A02">
      <w:pPr>
        <w:pStyle w:val="11"/>
        <w:spacing w:after="120"/>
        <w:rPr>
          <w:lang w:val="en-IE"/>
        </w:rPr>
      </w:pPr>
      <w:r w:rsidRPr="002060A9">
        <w:rPr>
          <w:szCs w:val="18"/>
          <w:lang w:val="en-IE"/>
        </w:rPr>
        <w:t>2.1.</w:t>
      </w:r>
      <w:r w:rsidRPr="002060A9">
        <w:rPr>
          <w:szCs w:val="18"/>
          <w:lang w:val="en-IE"/>
        </w:rPr>
        <w:tab/>
      </w:r>
      <w:r w:rsidRPr="002060A9">
        <w:rPr>
          <w:lang w:val="en-IE"/>
        </w:rPr>
        <w:t>Characteristics of the seed</w:t>
      </w:r>
    </w:p>
    <w:p w14:paraId="0ED3DD21" w14:textId="77777777" w:rsidR="002B321A" w:rsidRPr="002060A9" w:rsidRDefault="002B321A" w:rsidP="002B321A">
      <w:pPr>
        <w:pStyle w:val="111"/>
        <w:rPr>
          <w:i/>
          <w:lang w:val="en-IE"/>
        </w:rPr>
      </w:pPr>
      <w:r w:rsidRPr="002060A9">
        <w:rPr>
          <w:lang w:val="en-IE"/>
        </w:rPr>
        <w:t>2.1.1.</w:t>
      </w:r>
      <w:r w:rsidRPr="002060A9">
        <w:rPr>
          <w:lang w:val="en-IE"/>
        </w:rPr>
        <w:tab/>
        <w:t>Quality criteria</w:t>
      </w:r>
      <w:r w:rsidRPr="002060A9">
        <w:rPr>
          <w:i/>
          <w:lang w:val="en-IE"/>
        </w:rPr>
        <w:t xml:space="preserve"> </w:t>
      </w:r>
    </w:p>
    <w:p w14:paraId="70D6EE50" w14:textId="77777777" w:rsidR="002B321A" w:rsidRPr="002060A9" w:rsidRDefault="002B321A" w:rsidP="007D68A0">
      <w:pPr>
        <w:pStyle w:val="111Para"/>
        <w:rPr>
          <w:lang w:val="en-IE"/>
        </w:rPr>
      </w:pPr>
      <w:r w:rsidRPr="002060A9">
        <w:rPr>
          <w:lang w:val="en-IE"/>
        </w:rPr>
        <w:t>Cultures should be checked by staining smears for the presence of contaminating organisms.</w:t>
      </w:r>
    </w:p>
    <w:p w14:paraId="00815D2A" w14:textId="77777777" w:rsidR="002B321A" w:rsidRPr="002060A9" w:rsidRDefault="002B321A" w:rsidP="007D68A0">
      <w:pPr>
        <w:pStyle w:val="111Para"/>
        <w:rPr>
          <w:lang w:val="en-IE"/>
        </w:rPr>
      </w:pPr>
      <w:r w:rsidRPr="002060A9">
        <w:rPr>
          <w:lang w:val="en-IE"/>
        </w:rPr>
        <w:t xml:space="preserve">To test for lack of sensitising effect, three guinea-pigs that have not previously been treated with any material that could interfere with the test, are each injected intradermally on each of three occasions at 5-day intervals, with 0.01 mg of the preparation under test in a volume of 0.1 ml. Each guinea-pig, together with each of three control guinea-pigs that have not been injected </w:t>
      </w:r>
      <w:r w:rsidRPr="002060A9">
        <w:rPr>
          <w:lang w:val="en-IE"/>
        </w:rPr>
        <w:lastRenderedPageBreak/>
        <w:t>previously, is injected intradermally 15–21 days after the third injection with the same dose of the same johnin. The reactions of the two groups of guinea-pigs should not be significantly different when measured 24–48 hours later.</w:t>
      </w:r>
    </w:p>
    <w:p w14:paraId="7DDFCF86" w14:textId="77777777" w:rsidR="002B321A" w:rsidRPr="002060A9" w:rsidRDefault="002B321A" w:rsidP="002B321A">
      <w:pPr>
        <w:pStyle w:val="111"/>
        <w:rPr>
          <w:lang w:val="en-IE"/>
        </w:rPr>
      </w:pPr>
      <w:r w:rsidRPr="002060A9">
        <w:rPr>
          <w:lang w:val="en-IE"/>
        </w:rPr>
        <w:t>2.1.2.</w:t>
      </w:r>
      <w:r w:rsidRPr="002060A9">
        <w:rPr>
          <w:lang w:val="en-IE"/>
        </w:rPr>
        <w:tab/>
        <w:t>Validation as a strain</w:t>
      </w:r>
    </w:p>
    <w:p w14:paraId="0E293B86" w14:textId="77777777" w:rsidR="002B321A" w:rsidRPr="002060A9" w:rsidRDefault="002B321A" w:rsidP="007D68A0">
      <w:pPr>
        <w:pStyle w:val="111Para"/>
        <w:rPr>
          <w:lang w:val="en-IE"/>
        </w:rPr>
      </w:pPr>
      <w:r w:rsidRPr="002060A9">
        <w:rPr>
          <w:lang w:val="en-IE"/>
        </w:rPr>
        <w:t xml:space="preserve">Strains of </w:t>
      </w:r>
      <w:r w:rsidRPr="002060A9">
        <w:rPr>
          <w:i/>
          <w:lang w:val="en-IE"/>
        </w:rPr>
        <w:t xml:space="preserve">MAP </w:t>
      </w:r>
      <w:r w:rsidRPr="002060A9">
        <w:rPr>
          <w:lang w:val="en-IE"/>
        </w:rPr>
        <w:t xml:space="preserve">used to prepare seed cultures should be identified by </w:t>
      </w:r>
      <w:proofErr w:type="spellStart"/>
      <w:r w:rsidRPr="002060A9">
        <w:rPr>
          <w:lang w:val="en-IE"/>
        </w:rPr>
        <w:t>biotyping</w:t>
      </w:r>
      <w:proofErr w:type="spellEnd"/>
      <w:r w:rsidRPr="002060A9">
        <w:rPr>
          <w:lang w:val="en-IE"/>
        </w:rPr>
        <w:t xml:space="preserve"> or genetic tests. They should be shown to be free from contaminating organisms.</w:t>
      </w:r>
    </w:p>
    <w:p w14:paraId="5EDD3BA6" w14:textId="77777777" w:rsidR="002B321A" w:rsidRPr="002060A9" w:rsidRDefault="002B321A" w:rsidP="00167A02">
      <w:pPr>
        <w:pStyle w:val="11"/>
        <w:spacing w:after="120"/>
        <w:rPr>
          <w:lang w:val="en-IE"/>
        </w:rPr>
      </w:pPr>
      <w:r w:rsidRPr="002060A9">
        <w:rPr>
          <w:szCs w:val="18"/>
          <w:lang w:val="en-IE"/>
        </w:rPr>
        <w:t>2.</w:t>
      </w:r>
      <w:r w:rsidRPr="002060A9">
        <w:rPr>
          <w:lang w:val="en-IE"/>
        </w:rPr>
        <w:t>2.</w:t>
      </w:r>
      <w:r w:rsidRPr="002060A9">
        <w:rPr>
          <w:lang w:val="en-IE"/>
        </w:rPr>
        <w:tab/>
        <w:t>Method of manufacture</w:t>
      </w:r>
    </w:p>
    <w:p w14:paraId="68464371" w14:textId="77777777" w:rsidR="002B321A" w:rsidRPr="002060A9" w:rsidRDefault="002B321A" w:rsidP="002B321A">
      <w:pPr>
        <w:pStyle w:val="111"/>
        <w:rPr>
          <w:lang w:val="en-IE"/>
        </w:rPr>
      </w:pPr>
      <w:r w:rsidRPr="002060A9">
        <w:rPr>
          <w:lang w:val="en-IE"/>
        </w:rPr>
        <w:t>2.2.1.</w:t>
      </w:r>
      <w:r w:rsidRPr="002060A9">
        <w:rPr>
          <w:lang w:val="en-IE"/>
        </w:rPr>
        <w:tab/>
        <w:t xml:space="preserve">Procedure </w:t>
      </w:r>
    </w:p>
    <w:p w14:paraId="6A9634B8" w14:textId="77777777" w:rsidR="002B321A" w:rsidRPr="002060A9" w:rsidRDefault="002B321A" w:rsidP="007D68A0">
      <w:pPr>
        <w:pStyle w:val="111Para"/>
        <w:rPr>
          <w:lang w:val="en-IE"/>
        </w:rPr>
      </w:pPr>
      <w:r w:rsidRPr="002060A9">
        <w:rPr>
          <w:lang w:val="en-IE"/>
        </w:rPr>
        <w:t>Johnin for skin test diagnosis is a PPD prepared from one or more strains of</w:t>
      </w:r>
      <w:r w:rsidRPr="002060A9">
        <w:rPr>
          <w:i/>
          <w:lang w:val="en-IE"/>
        </w:rPr>
        <w:t xml:space="preserve"> </w:t>
      </w:r>
      <w:r w:rsidRPr="002060A9">
        <w:rPr>
          <w:i/>
          <w:snapToGrid w:val="0"/>
          <w:lang w:val="en-IE"/>
        </w:rPr>
        <w:t>M</w:t>
      </w:r>
      <w:r w:rsidRPr="00E85A02">
        <w:rPr>
          <w:i/>
          <w:lang w:val="en-IE"/>
        </w:rPr>
        <w:t>AP</w:t>
      </w:r>
      <w:r w:rsidRPr="002060A9">
        <w:rPr>
          <w:lang w:val="en-IE"/>
        </w:rPr>
        <w:t>. It may be prepared by the following method.</w:t>
      </w:r>
    </w:p>
    <w:p w14:paraId="1F715B8D" w14:textId="77777777" w:rsidR="002B321A" w:rsidRPr="002060A9" w:rsidRDefault="002B321A" w:rsidP="007D68A0">
      <w:pPr>
        <w:pStyle w:val="111Para"/>
        <w:rPr>
          <w:lang w:val="en-IE"/>
        </w:rPr>
      </w:pPr>
      <w:r w:rsidRPr="002060A9">
        <w:rPr>
          <w:i/>
          <w:lang w:val="en-IE"/>
        </w:rPr>
        <w:t>MAP</w:t>
      </w:r>
      <w:r w:rsidRPr="002060A9">
        <w:rPr>
          <w:lang w:val="en-IE"/>
        </w:rPr>
        <w:t xml:space="preserve"> strains are grown as a pellicle on liquid Reid’s medium. Production cultures are usually inoculated from liquid seeding cultures rather than directly from seed on solid medium (Reid’s synthetic medium). Production cultures are incubated at 37°C for 10 weeks.</w:t>
      </w:r>
    </w:p>
    <w:p w14:paraId="5AD1E87E" w14:textId="77777777" w:rsidR="002B321A" w:rsidRPr="002060A9" w:rsidRDefault="002B321A" w:rsidP="007D68A0">
      <w:pPr>
        <w:pStyle w:val="111Para"/>
        <w:rPr>
          <w:lang w:val="en-IE"/>
        </w:rPr>
      </w:pPr>
      <w:r w:rsidRPr="002060A9">
        <w:rPr>
          <w:lang w:val="en-IE"/>
        </w:rPr>
        <w:t xml:space="preserve">At the end of the incubation period, the culture medium has a pH of about 5 and little or no johnin will be obtained unless the pH is raised, using sodium hydroxide, to about 7.3 before steaming. After thorough mixing, the cultures are free steamed for 3 hours. The bulk of the killed organisms is removed by coarse filtration and the filtrate is clarified by further filtration. Protein in the filtrate is precipitated chemically with 40% trichloroacetic acid, washed and </w:t>
      </w:r>
      <w:proofErr w:type="spellStart"/>
      <w:r w:rsidRPr="002060A9">
        <w:rPr>
          <w:lang w:val="en-IE"/>
        </w:rPr>
        <w:t>redissolved</w:t>
      </w:r>
      <w:proofErr w:type="spellEnd"/>
      <w:r w:rsidRPr="002060A9">
        <w:rPr>
          <w:lang w:val="en-IE"/>
        </w:rPr>
        <w:t xml:space="preserve"> (alkaline solvent). The product is sterilised by filtration. An antimicrobial preservative that does not give rise to false-positive reactions, such as phenol (not more than 0.5% [w/v]), may be added. Glycerol (not more than 10% [w/v]) may be added as a stabiliser. The product is dispensed aseptically into sterile glass containers, which are then sealed.</w:t>
      </w:r>
    </w:p>
    <w:p w14:paraId="41D1136C" w14:textId="77777777" w:rsidR="002B321A" w:rsidRPr="002060A9" w:rsidRDefault="002B321A" w:rsidP="002B321A">
      <w:pPr>
        <w:pStyle w:val="111"/>
        <w:rPr>
          <w:lang w:val="en-IE"/>
        </w:rPr>
      </w:pPr>
      <w:r w:rsidRPr="002060A9">
        <w:rPr>
          <w:lang w:val="en-IE"/>
        </w:rPr>
        <w:t>2.2.2.</w:t>
      </w:r>
      <w:r w:rsidRPr="002060A9">
        <w:rPr>
          <w:lang w:val="en-IE"/>
        </w:rPr>
        <w:tab/>
        <w:t>In-process controls</w:t>
      </w:r>
    </w:p>
    <w:p w14:paraId="0CE2F46C" w14:textId="77777777" w:rsidR="002B321A" w:rsidRPr="004622FC" w:rsidRDefault="002B321A" w:rsidP="007D68A0">
      <w:pPr>
        <w:pStyle w:val="111Para"/>
        <w:rPr>
          <w:lang w:val="en-IE"/>
        </w:rPr>
      </w:pPr>
      <w:r w:rsidRPr="002060A9">
        <w:rPr>
          <w:lang w:val="en-IE"/>
        </w:rPr>
        <w:t xml:space="preserve">After final </w:t>
      </w:r>
      <w:r w:rsidRPr="004622FC">
        <w:rPr>
          <w:lang w:val="en-IE"/>
        </w:rPr>
        <w:t>filtration the sterility of each filtrate of the PPD solution is checked.</w:t>
      </w:r>
    </w:p>
    <w:p w14:paraId="79C79312" w14:textId="77777777" w:rsidR="002B321A" w:rsidRPr="004622FC" w:rsidRDefault="002B321A" w:rsidP="007D68A0">
      <w:pPr>
        <w:pStyle w:val="111Para"/>
        <w:rPr>
          <w:lang w:val="en-IE"/>
        </w:rPr>
      </w:pPr>
      <w:r w:rsidRPr="004622FC">
        <w:rPr>
          <w:lang w:val="en-IE"/>
        </w:rPr>
        <w:t xml:space="preserve">Sterile filtrates are tested for protein content by a </w:t>
      </w:r>
      <w:proofErr w:type="spellStart"/>
      <w:r w:rsidRPr="004622FC">
        <w:rPr>
          <w:lang w:val="en-IE"/>
        </w:rPr>
        <w:t>Kjeldahl</w:t>
      </w:r>
      <w:proofErr w:type="spellEnd"/>
      <w:r w:rsidRPr="004622FC">
        <w:rPr>
          <w:lang w:val="en-IE"/>
        </w:rPr>
        <w:t xml:space="preserve"> method (British Pharmacopoeia [Veterinary], 1985). The protein content is adjusted to give between 0.475 and 0.525 mg/ml of protein in the final product. The pH is adjusted to the range 6.5–7.5.</w:t>
      </w:r>
    </w:p>
    <w:p w14:paraId="78621072" w14:textId="77777777" w:rsidR="002B321A" w:rsidRPr="004622FC" w:rsidRDefault="002B321A" w:rsidP="002B321A">
      <w:pPr>
        <w:pStyle w:val="111"/>
        <w:rPr>
          <w:lang w:val="en-IE"/>
        </w:rPr>
      </w:pPr>
      <w:r w:rsidRPr="004622FC">
        <w:rPr>
          <w:lang w:val="en-IE"/>
        </w:rPr>
        <w:t>2.2.3.</w:t>
      </w:r>
      <w:r w:rsidRPr="004622FC">
        <w:rPr>
          <w:lang w:val="en-IE"/>
        </w:rPr>
        <w:tab/>
        <w:t>Final product batch test</w:t>
      </w:r>
    </w:p>
    <w:p w14:paraId="651DEFCE" w14:textId="77777777" w:rsidR="002B321A" w:rsidRPr="004622FC" w:rsidRDefault="002B321A" w:rsidP="002B321A">
      <w:pPr>
        <w:pStyle w:val="i"/>
        <w:rPr>
          <w:lang w:val="en-IE"/>
        </w:rPr>
      </w:pPr>
      <w:proofErr w:type="spellStart"/>
      <w:r w:rsidRPr="004622FC">
        <w:rPr>
          <w:lang w:val="en-IE"/>
        </w:rPr>
        <w:t>i</w:t>
      </w:r>
      <w:proofErr w:type="spellEnd"/>
      <w:r w:rsidRPr="004622FC">
        <w:rPr>
          <w:lang w:val="en-IE"/>
        </w:rPr>
        <w:t>)</w:t>
      </w:r>
      <w:r w:rsidRPr="004622FC">
        <w:rPr>
          <w:lang w:val="en-IE"/>
        </w:rPr>
        <w:tab/>
        <w:t>Sterility</w:t>
      </w:r>
    </w:p>
    <w:p w14:paraId="48859E8F" w14:textId="77777777" w:rsidR="002B321A" w:rsidRPr="004622FC" w:rsidRDefault="002B321A" w:rsidP="002B321A">
      <w:pPr>
        <w:pStyle w:val="afourthpara"/>
        <w:rPr>
          <w:lang w:val="en-IE"/>
        </w:rPr>
      </w:pPr>
      <w:r w:rsidRPr="004622FC">
        <w:rPr>
          <w:lang w:val="en-IE"/>
        </w:rPr>
        <w:t xml:space="preserve">Tests for sterility and freedom from contamination </w:t>
      </w:r>
      <w:r w:rsidR="00E27D30" w:rsidRPr="004622FC">
        <w:rPr>
          <w:lang w:val="en-IE"/>
        </w:rPr>
        <w:t xml:space="preserve">of biological materials intended for veterinary use </w:t>
      </w:r>
      <w:r w:rsidRPr="004622FC">
        <w:rPr>
          <w:lang w:val="en-IE"/>
        </w:rPr>
        <w:t>may be found in Chapter 1.1.</w:t>
      </w:r>
      <w:r w:rsidR="00C45D2A" w:rsidRPr="004622FC">
        <w:rPr>
          <w:lang w:val="en-IE"/>
        </w:rPr>
        <w:t>9</w:t>
      </w:r>
      <w:r w:rsidRPr="004622FC">
        <w:rPr>
          <w:lang w:val="en-IE"/>
        </w:rPr>
        <w:t>. The organism will not normally grow to a detectable level in conventional sterility tests.</w:t>
      </w:r>
    </w:p>
    <w:p w14:paraId="49209CEE" w14:textId="77777777" w:rsidR="002B321A" w:rsidRPr="004622FC" w:rsidRDefault="002B321A" w:rsidP="002B321A">
      <w:pPr>
        <w:pStyle w:val="i"/>
        <w:rPr>
          <w:lang w:val="en-IE"/>
        </w:rPr>
      </w:pPr>
      <w:r w:rsidRPr="004622FC">
        <w:rPr>
          <w:lang w:val="en-IE"/>
        </w:rPr>
        <w:t>ii)</w:t>
      </w:r>
      <w:r w:rsidRPr="004622FC">
        <w:rPr>
          <w:lang w:val="en-IE"/>
        </w:rPr>
        <w:tab/>
        <w:t>Identity</w:t>
      </w:r>
    </w:p>
    <w:p w14:paraId="03312D28" w14:textId="77777777" w:rsidR="002B321A" w:rsidRPr="004622FC" w:rsidRDefault="002B321A" w:rsidP="002B321A">
      <w:pPr>
        <w:pStyle w:val="afourthpara"/>
        <w:rPr>
          <w:lang w:val="en-IE"/>
        </w:rPr>
      </w:pPr>
      <w:r w:rsidRPr="004622FC">
        <w:rPr>
          <w:lang w:val="en-IE"/>
        </w:rPr>
        <w:t xml:space="preserve">Identity of culture is performed by </w:t>
      </w:r>
      <w:proofErr w:type="spellStart"/>
      <w:r w:rsidRPr="004622FC">
        <w:rPr>
          <w:lang w:val="en-IE"/>
        </w:rPr>
        <w:t>Ziehl</w:t>
      </w:r>
      <w:proofErr w:type="spellEnd"/>
      <w:r w:rsidRPr="004622FC">
        <w:rPr>
          <w:lang w:val="en-IE"/>
        </w:rPr>
        <w:t>–</w:t>
      </w:r>
      <w:proofErr w:type="spellStart"/>
      <w:r w:rsidRPr="004622FC">
        <w:rPr>
          <w:lang w:val="en-IE"/>
        </w:rPr>
        <w:t>Neelsen</w:t>
      </w:r>
      <w:proofErr w:type="spellEnd"/>
      <w:r w:rsidRPr="004622FC">
        <w:rPr>
          <w:lang w:val="en-IE"/>
        </w:rPr>
        <w:t xml:space="preserve"> staining and PCR (</w:t>
      </w:r>
      <w:r w:rsidR="00A87564" w:rsidRPr="004622FC">
        <w:rPr>
          <w:lang w:val="en-IE"/>
        </w:rPr>
        <w:t>see Section B.1.</w:t>
      </w:r>
      <w:r w:rsidR="00F12E1F" w:rsidRPr="004622FC">
        <w:rPr>
          <w:lang w:val="en-IE"/>
        </w:rPr>
        <w:t>4</w:t>
      </w:r>
      <w:r w:rsidRPr="004622FC">
        <w:rPr>
          <w:lang w:val="en-IE"/>
        </w:rPr>
        <w:t>).</w:t>
      </w:r>
    </w:p>
    <w:p w14:paraId="109E1114" w14:textId="77777777" w:rsidR="002B321A" w:rsidRPr="004622FC" w:rsidRDefault="002B321A" w:rsidP="002B321A">
      <w:pPr>
        <w:pStyle w:val="i"/>
        <w:rPr>
          <w:lang w:val="en-IE"/>
        </w:rPr>
      </w:pPr>
      <w:r w:rsidRPr="004622FC">
        <w:rPr>
          <w:lang w:val="en-IE"/>
        </w:rPr>
        <w:t>iii)</w:t>
      </w:r>
      <w:r w:rsidRPr="004622FC">
        <w:rPr>
          <w:lang w:val="en-IE"/>
        </w:rPr>
        <w:tab/>
        <w:t>Safety</w:t>
      </w:r>
    </w:p>
    <w:p w14:paraId="1B01F2EE" w14:textId="77777777" w:rsidR="002B321A" w:rsidRPr="004622FC" w:rsidRDefault="002B321A" w:rsidP="007D68A0">
      <w:pPr>
        <w:pStyle w:val="afourthpara"/>
        <w:rPr>
          <w:lang w:val="en-IE"/>
        </w:rPr>
      </w:pPr>
      <w:r w:rsidRPr="004622FC">
        <w:rPr>
          <w:lang w:val="en-IE"/>
        </w:rPr>
        <w:t>Two guinea-pigs should each be injected subcutaneously with 0.5 ml of the johnin under test. No significant local or systemic lesions should be seen within 7 days (British Pharmacopoeia [Veterinary], 1985).</w:t>
      </w:r>
    </w:p>
    <w:p w14:paraId="34D14398" w14:textId="77777777" w:rsidR="002B321A" w:rsidRPr="002060A9" w:rsidRDefault="002B321A" w:rsidP="007D68A0">
      <w:pPr>
        <w:pStyle w:val="afourthpara"/>
        <w:rPr>
          <w:lang w:val="en-IE"/>
        </w:rPr>
      </w:pPr>
      <w:r w:rsidRPr="004622FC">
        <w:rPr>
          <w:lang w:val="en-IE"/>
        </w:rPr>
        <w:t>Tests on johnin for living mycobacteria may be performed either on the material immediately before it is dispensed into final containers or on samples taken from final containers themselves. A sample of at least 10 ml should be taken, and this should be injected intraperitoneally or subcutaneously into at least</w:t>
      </w:r>
      <w:r w:rsidRPr="002060A9">
        <w:rPr>
          <w:lang w:val="en-IE"/>
        </w:rPr>
        <w:t xml:space="preserve"> two guinea-pigs, dividing the volume to be tested equally between the guinea-pigs. It is desirable to take a larger sample, say 50 ml, and to concentrate any residual mycobacteria by centrifugation or membrane filtration. The guinea-pigs are observed for at least 42 days and post-mortem examinations are carried out. Any macroscopic lesions are examined microscopically and culturally.</w:t>
      </w:r>
    </w:p>
    <w:p w14:paraId="5B1ADB5C" w14:textId="77777777" w:rsidR="002B321A" w:rsidRPr="002060A9" w:rsidRDefault="002B321A" w:rsidP="00167A02">
      <w:pPr>
        <w:pStyle w:val="i"/>
        <w:keepNext/>
        <w:rPr>
          <w:lang w:val="en-IE"/>
        </w:rPr>
      </w:pPr>
      <w:r w:rsidRPr="002060A9">
        <w:rPr>
          <w:lang w:val="en-IE"/>
        </w:rPr>
        <w:lastRenderedPageBreak/>
        <w:t>iv)</w:t>
      </w:r>
      <w:r w:rsidRPr="002060A9">
        <w:rPr>
          <w:lang w:val="en-IE"/>
        </w:rPr>
        <w:tab/>
        <w:t>Batch potency</w:t>
      </w:r>
    </w:p>
    <w:p w14:paraId="305E3AA7" w14:textId="77777777" w:rsidR="002B321A" w:rsidRPr="004622FC" w:rsidRDefault="002B321A" w:rsidP="007D68A0">
      <w:pPr>
        <w:pStyle w:val="afourthpara"/>
        <w:rPr>
          <w:lang w:val="en-IE"/>
        </w:rPr>
      </w:pPr>
      <w:r w:rsidRPr="002060A9">
        <w:rPr>
          <w:lang w:val="en-IE"/>
        </w:rPr>
        <w:t xml:space="preserve">The potency of johnin is currently determined by chemical </w:t>
      </w:r>
      <w:r w:rsidRPr="004622FC">
        <w:rPr>
          <w:lang w:val="en-IE"/>
        </w:rPr>
        <w:t xml:space="preserve">assay for protein using a </w:t>
      </w:r>
      <w:proofErr w:type="spellStart"/>
      <w:r w:rsidRPr="004622FC">
        <w:rPr>
          <w:lang w:val="en-IE"/>
        </w:rPr>
        <w:t>Kjeldahl</w:t>
      </w:r>
      <w:proofErr w:type="spellEnd"/>
      <w:r w:rsidRPr="004622FC">
        <w:rPr>
          <w:lang w:val="en-IE"/>
        </w:rPr>
        <w:t xml:space="preserve"> method. A PPD content of 0.5 ± 0.025 mg/ml of final product is recommended (British Pharmacopoeia [Veterinary], 1985).</w:t>
      </w:r>
    </w:p>
    <w:p w14:paraId="29FCF787" w14:textId="77777777" w:rsidR="002B321A" w:rsidRPr="004622FC" w:rsidRDefault="002B321A" w:rsidP="002B321A">
      <w:pPr>
        <w:pStyle w:val="11"/>
        <w:rPr>
          <w:lang w:val="en-IE"/>
        </w:rPr>
      </w:pPr>
      <w:r w:rsidRPr="004622FC">
        <w:rPr>
          <w:lang w:val="en-IE"/>
        </w:rPr>
        <w:t>2.3.</w:t>
      </w:r>
      <w:r w:rsidRPr="004622FC">
        <w:rPr>
          <w:lang w:val="en-IE"/>
        </w:rPr>
        <w:tab/>
        <w:t>Requirements for authorisation/registration/licensing</w:t>
      </w:r>
    </w:p>
    <w:p w14:paraId="68B0CE3B" w14:textId="77777777" w:rsidR="002B321A" w:rsidRPr="002060A9" w:rsidRDefault="002B321A" w:rsidP="006849A2">
      <w:pPr>
        <w:pStyle w:val="11Para"/>
        <w:spacing w:after="480"/>
        <w:rPr>
          <w:lang w:val="en-IE"/>
        </w:rPr>
      </w:pPr>
      <w:r w:rsidRPr="004622FC">
        <w:rPr>
          <w:lang w:val="en-IE"/>
        </w:rPr>
        <w:t>For johnin, the phenol used is no more than 0.5% (w/v). The concentration of the preservative in the final product and its persistence through shelf life should be checked.</w:t>
      </w:r>
    </w:p>
    <w:p w14:paraId="61E4A59E" w14:textId="77777777" w:rsidR="00C924A0" w:rsidRPr="002060A9" w:rsidRDefault="00B66F35" w:rsidP="00B27459">
      <w:pPr>
        <w:pStyle w:val="A0"/>
        <w:outlineLvl w:val="0"/>
        <w:rPr>
          <w:lang w:val="en-IE"/>
        </w:rPr>
      </w:pPr>
      <w:r w:rsidRPr="002060A9">
        <w:rPr>
          <w:sz w:val="22"/>
          <w:lang w:val="en-IE"/>
        </w:rPr>
        <w:t>REFERENCES</w:t>
      </w:r>
    </w:p>
    <w:p w14:paraId="1BB285BA" w14:textId="77777777" w:rsidR="00B66F35" w:rsidRPr="00A74290" w:rsidRDefault="00C924A0" w:rsidP="001535F4">
      <w:pPr>
        <w:pStyle w:val="paraA0"/>
        <w:spacing w:before="120"/>
        <w:jc w:val="center"/>
        <w:rPr>
          <w:strike/>
          <w:sz w:val="22"/>
          <w:lang w:val="en-IE"/>
        </w:rPr>
      </w:pPr>
      <w:r w:rsidRPr="00A74290">
        <w:rPr>
          <w:strike/>
          <w:lang w:val="en-IE"/>
        </w:rPr>
        <w:t>The</w:t>
      </w:r>
      <w:r w:rsidRPr="00A74290">
        <w:rPr>
          <w:smallCaps/>
          <w:strike/>
          <w:lang w:val="en-IE"/>
        </w:rPr>
        <w:t xml:space="preserve"> </w:t>
      </w:r>
      <w:r w:rsidRPr="00A74290">
        <w:rPr>
          <w:strike/>
          <w:lang w:val="en-IE"/>
        </w:rPr>
        <w:t>main publications are listed below.</w:t>
      </w:r>
      <w:r w:rsidRPr="00A74290">
        <w:rPr>
          <w:smallCaps/>
          <w:strike/>
          <w:lang w:val="en-IE"/>
        </w:rPr>
        <w:t xml:space="preserve"> </w:t>
      </w:r>
      <w:r w:rsidRPr="00A74290">
        <w:rPr>
          <w:strike/>
          <w:lang w:val="en-IE"/>
        </w:rPr>
        <w:t>If you are interested by other publications, please contact the OIE experts.</w:t>
      </w:r>
    </w:p>
    <w:p w14:paraId="2AC0F68E" w14:textId="77777777" w:rsidR="00B66F35" w:rsidRPr="002060A9" w:rsidRDefault="00B66F35" w:rsidP="003805C0">
      <w:pPr>
        <w:pStyle w:val="Ref"/>
        <w:rPr>
          <w:lang w:val="en-IE"/>
        </w:rPr>
      </w:pPr>
      <w:r w:rsidRPr="002060A9">
        <w:rPr>
          <w:smallCaps/>
          <w:lang w:val="en-IE"/>
        </w:rPr>
        <w:t>British Pharmacopoeia (Veterinary</w:t>
      </w:r>
      <w:r w:rsidRPr="002060A9">
        <w:rPr>
          <w:lang w:val="en-IE"/>
        </w:rPr>
        <w:t>) (1985). Johnin purified protein derivative. British Pharmacopoeia (Veterinary), 184–185.</w:t>
      </w:r>
    </w:p>
    <w:p w14:paraId="47BF7216" w14:textId="77777777" w:rsidR="003C1848" w:rsidRPr="002060A9" w:rsidRDefault="00B66F35" w:rsidP="004A45B1">
      <w:pPr>
        <w:pStyle w:val="Ref"/>
        <w:rPr>
          <w:lang w:val="en-IE"/>
        </w:rPr>
      </w:pPr>
      <w:r w:rsidRPr="002060A9">
        <w:rPr>
          <w:smallCaps/>
          <w:lang w:val="en-IE"/>
        </w:rPr>
        <w:t xml:space="preserve">Collins M.T., </w:t>
      </w:r>
      <w:proofErr w:type="spellStart"/>
      <w:r w:rsidRPr="002060A9">
        <w:rPr>
          <w:smallCaps/>
          <w:lang w:val="en-IE"/>
        </w:rPr>
        <w:t>Kenefick</w:t>
      </w:r>
      <w:proofErr w:type="spellEnd"/>
      <w:r w:rsidRPr="002060A9">
        <w:rPr>
          <w:smallCaps/>
          <w:lang w:val="en-IE"/>
        </w:rPr>
        <w:t xml:space="preserve"> K.B., </w:t>
      </w:r>
      <w:proofErr w:type="spellStart"/>
      <w:r w:rsidRPr="002060A9">
        <w:rPr>
          <w:smallCaps/>
          <w:lang w:val="en-IE"/>
        </w:rPr>
        <w:t>Sockett</w:t>
      </w:r>
      <w:proofErr w:type="spellEnd"/>
      <w:r w:rsidRPr="002060A9">
        <w:rPr>
          <w:smallCaps/>
          <w:lang w:val="en-IE"/>
        </w:rPr>
        <w:t xml:space="preserve"> D.C., Lambrecht R.S., McDonald J. &amp; Jorgensen J.B</w:t>
      </w:r>
      <w:r w:rsidRPr="002060A9">
        <w:rPr>
          <w:caps/>
          <w:lang w:val="en-IE"/>
        </w:rPr>
        <w:t>.</w:t>
      </w:r>
      <w:r w:rsidRPr="002060A9">
        <w:rPr>
          <w:lang w:val="en-IE"/>
        </w:rPr>
        <w:t xml:space="preserve"> (1990). Enhanced radiometric detection of </w:t>
      </w:r>
      <w:r w:rsidRPr="002060A9">
        <w:rPr>
          <w:i/>
          <w:lang w:val="en-IE"/>
        </w:rPr>
        <w:t>Mycobacterium paratuberculosis</w:t>
      </w:r>
      <w:r w:rsidRPr="002060A9">
        <w:rPr>
          <w:lang w:val="en-IE"/>
        </w:rPr>
        <w:t xml:space="preserve"> by using filter-concentrated bovine </w:t>
      </w:r>
      <w:proofErr w:type="spellStart"/>
      <w:r w:rsidRPr="002060A9">
        <w:rPr>
          <w:lang w:val="en-IE"/>
        </w:rPr>
        <w:t>fecal</w:t>
      </w:r>
      <w:proofErr w:type="spellEnd"/>
      <w:r w:rsidRPr="002060A9">
        <w:rPr>
          <w:lang w:val="en-IE"/>
        </w:rPr>
        <w:t xml:space="preserve"> specimens. </w:t>
      </w:r>
      <w:r w:rsidRPr="002060A9">
        <w:rPr>
          <w:i/>
          <w:lang w:val="en-IE"/>
        </w:rPr>
        <w:t xml:space="preserve">J. Clin. </w:t>
      </w:r>
      <w:proofErr w:type="spellStart"/>
      <w:r w:rsidRPr="002060A9">
        <w:rPr>
          <w:i/>
          <w:lang w:val="en-IE"/>
        </w:rPr>
        <w:t>Microbiol</w:t>
      </w:r>
      <w:proofErr w:type="spellEnd"/>
      <w:r w:rsidRPr="002060A9">
        <w:rPr>
          <w:lang w:val="en-IE"/>
        </w:rPr>
        <w:t>.,</w:t>
      </w:r>
      <w:r w:rsidRPr="00D7396C">
        <w:rPr>
          <w:lang w:val="en-IE"/>
        </w:rPr>
        <w:t xml:space="preserve"> </w:t>
      </w:r>
      <w:r w:rsidRPr="002060A9">
        <w:rPr>
          <w:b/>
          <w:lang w:val="en-IE"/>
        </w:rPr>
        <w:t>28</w:t>
      </w:r>
      <w:r w:rsidRPr="002060A9">
        <w:rPr>
          <w:lang w:val="en-IE"/>
        </w:rPr>
        <w:t>, 2514–2519.</w:t>
      </w:r>
    </w:p>
    <w:p w14:paraId="1688A14B" w14:textId="77777777" w:rsidR="00B66F35" w:rsidRPr="00D7396C" w:rsidRDefault="003F3A2B" w:rsidP="007407B7">
      <w:pPr>
        <w:pStyle w:val="Ref"/>
        <w:rPr>
          <w:lang w:val="en-IE"/>
        </w:rPr>
      </w:pPr>
      <w:r w:rsidRPr="002060A9">
        <w:rPr>
          <w:smallCaps/>
          <w:lang w:val="en-IE"/>
        </w:rPr>
        <w:t xml:space="preserve">Cox J.C., </w:t>
      </w:r>
      <w:proofErr w:type="spellStart"/>
      <w:r w:rsidRPr="002060A9">
        <w:rPr>
          <w:smallCaps/>
          <w:lang w:val="en-IE"/>
        </w:rPr>
        <w:t>Drane</w:t>
      </w:r>
      <w:proofErr w:type="spellEnd"/>
      <w:r w:rsidRPr="002060A9">
        <w:rPr>
          <w:smallCaps/>
          <w:lang w:val="en-IE"/>
        </w:rPr>
        <w:t xml:space="preserve"> D.P., Jones S.L., Ridge R. &amp; Milner A.R.</w:t>
      </w:r>
      <w:r w:rsidRPr="002060A9">
        <w:rPr>
          <w:lang w:val="en-IE"/>
        </w:rPr>
        <w:t xml:space="preserve"> (1991). </w:t>
      </w:r>
      <w:r w:rsidR="00B66F35" w:rsidRPr="002060A9">
        <w:rPr>
          <w:lang w:val="en-IE"/>
        </w:rPr>
        <w:t xml:space="preserve">Development and evaluation of a rapid absorbed enzyme immunoassay test for the diagnosis of </w:t>
      </w:r>
      <w:proofErr w:type="spellStart"/>
      <w:r w:rsidR="00B66F35" w:rsidRPr="002060A9">
        <w:rPr>
          <w:lang w:val="en-IE"/>
        </w:rPr>
        <w:t>Johne’s</w:t>
      </w:r>
      <w:proofErr w:type="spellEnd"/>
      <w:r w:rsidR="00B66F35" w:rsidRPr="002060A9">
        <w:rPr>
          <w:lang w:val="en-IE"/>
        </w:rPr>
        <w:t xml:space="preserve"> disease in cattle. </w:t>
      </w:r>
      <w:r w:rsidR="00B66F35" w:rsidRPr="00D7396C">
        <w:rPr>
          <w:i/>
          <w:lang w:val="en-IE"/>
        </w:rPr>
        <w:t>Aust. Vet. J.</w:t>
      </w:r>
      <w:r w:rsidR="00B66F35" w:rsidRPr="00D7396C">
        <w:rPr>
          <w:lang w:val="en-IE"/>
        </w:rPr>
        <w:t xml:space="preserve">, </w:t>
      </w:r>
      <w:r w:rsidR="00B66F35" w:rsidRPr="00D7396C">
        <w:rPr>
          <w:b/>
          <w:lang w:val="en-IE"/>
        </w:rPr>
        <w:t>68</w:t>
      </w:r>
      <w:r w:rsidR="00B66F35" w:rsidRPr="00D7396C">
        <w:rPr>
          <w:lang w:val="en-IE"/>
        </w:rPr>
        <w:t>, 157–160.</w:t>
      </w:r>
    </w:p>
    <w:p w14:paraId="12A071EC" w14:textId="77777777" w:rsidR="00B66F35" w:rsidRPr="002060A9" w:rsidRDefault="00B66F35" w:rsidP="00DE391F">
      <w:pPr>
        <w:pStyle w:val="Ref"/>
        <w:rPr>
          <w:lang w:val="en-IE"/>
        </w:rPr>
      </w:pPr>
      <w:proofErr w:type="spellStart"/>
      <w:r w:rsidRPr="002060A9">
        <w:rPr>
          <w:smallCaps/>
          <w:lang w:val="en-IE"/>
        </w:rPr>
        <w:t>Eamens</w:t>
      </w:r>
      <w:proofErr w:type="spellEnd"/>
      <w:r w:rsidRPr="002060A9">
        <w:rPr>
          <w:smallCaps/>
          <w:lang w:val="en-IE"/>
        </w:rPr>
        <w:t xml:space="preserve"> G.J., Whittington R.J., Marsh I.B., Turner M.J., Saunders V., </w:t>
      </w:r>
      <w:proofErr w:type="spellStart"/>
      <w:r w:rsidRPr="002060A9">
        <w:rPr>
          <w:smallCaps/>
          <w:lang w:val="en-IE"/>
        </w:rPr>
        <w:t>Kemsley</w:t>
      </w:r>
      <w:proofErr w:type="spellEnd"/>
      <w:r w:rsidRPr="002060A9">
        <w:rPr>
          <w:smallCaps/>
          <w:lang w:val="en-IE"/>
        </w:rPr>
        <w:t xml:space="preserve"> P.D. &amp; </w:t>
      </w:r>
      <w:proofErr w:type="spellStart"/>
      <w:r w:rsidRPr="002060A9">
        <w:rPr>
          <w:smallCaps/>
          <w:lang w:val="en-IE"/>
        </w:rPr>
        <w:t>Rayward</w:t>
      </w:r>
      <w:proofErr w:type="spellEnd"/>
      <w:r w:rsidRPr="002060A9">
        <w:rPr>
          <w:lang w:val="en-IE"/>
        </w:rPr>
        <w:t xml:space="preserve"> D. (2000). Comparative sensitivity of various faecal culture methods and ELISA in dairy cattle herds with endemic </w:t>
      </w:r>
      <w:proofErr w:type="spellStart"/>
      <w:r w:rsidRPr="002060A9">
        <w:rPr>
          <w:lang w:val="en-IE"/>
        </w:rPr>
        <w:t>Johne’s</w:t>
      </w:r>
      <w:proofErr w:type="spellEnd"/>
      <w:r w:rsidRPr="002060A9">
        <w:rPr>
          <w:lang w:val="en-IE"/>
        </w:rPr>
        <w:t xml:space="preserve"> disease. </w:t>
      </w:r>
      <w:r w:rsidRPr="002060A9">
        <w:rPr>
          <w:i/>
          <w:iCs/>
          <w:lang w:val="en-IE"/>
        </w:rPr>
        <w:t xml:space="preserve">Vet. </w:t>
      </w:r>
      <w:proofErr w:type="spellStart"/>
      <w:r w:rsidRPr="002060A9">
        <w:rPr>
          <w:i/>
          <w:iCs/>
          <w:lang w:val="en-IE"/>
        </w:rPr>
        <w:t>Microbiol</w:t>
      </w:r>
      <w:proofErr w:type="spellEnd"/>
      <w:r w:rsidRPr="002060A9">
        <w:rPr>
          <w:lang w:val="en-IE"/>
        </w:rPr>
        <w:t xml:space="preserve">., </w:t>
      </w:r>
      <w:r w:rsidRPr="002060A9">
        <w:rPr>
          <w:b/>
          <w:bCs/>
          <w:lang w:val="en-IE"/>
        </w:rPr>
        <w:t>77</w:t>
      </w:r>
      <w:r w:rsidRPr="002060A9">
        <w:rPr>
          <w:lang w:val="en-IE"/>
        </w:rPr>
        <w:t>, 357–367.</w:t>
      </w:r>
    </w:p>
    <w:p w14:paraId="303F1CA3" w14:textId="77777777" w:rsidR="00B66F35" w:rsidRPr="002060A9" w:rsidRDefault="00B66F35" w:rsidP="00DE391F">
      <w:pPr>
        <w:pStyle w:val="Ref"/>
        <w:rPr>
          <w:lang w:val="en-IE"/>
        </w:rPr>
      </w:pPr>
      <w:r w:rsidRPr="002060A9">
        <w:rPr>
          <w:smallCaps/>
          <w:lang w:val="en-IE"/>
        </w:rPr>
        <w:t xml:space="preserve">Ellingson J.L.E., Bolin C.A. &amp; </w:t>
      </w:r>
      <w:proofErr w:type="spellStart"/>
      <w:r w:rsidRPr="002060A9">
        <w:rPr>
          <w:smallCaps/>
          <w:lang w:val="en-IE"/>
        </w:rPr>
        <w:t>Stabel</w:t>
      </w:r>
      <w:proofErr w:type="spellEnd"/>
      <w:r w:rsidRPr="002060A9">
        <w:rPr>
          <w:smallCaps/>
          <w:lang w:val="en-IE"/>
        </w:rPr>
        <w:t xml:space="preserve"> J.R.</w:t>
      </w:r>
      <w:r w:rsidRPr="002060A9">
        <w:rPr>
          <w:lang w:val="en-IE"/>
        </w:rPr>
        <w:t xml:space="preserve"> (1998). Identification of a gene unique to </w:t>
      </w:r>
      <w:r w:rsidRPr="002060A9">
        <w:rPr>
          <w:i/>
          <w:lang w:val="en-IE"/>
        </w:rPr>
        <w:t>Mycobacterium avium</w:t>
      </w:r>
      <w:r w:rsidRPr="002060A9">
        <w:rPr>
          <w:lang w:val="en-IE"/>
        </w:rPr>
        <w:t xml:space="preserve"> subspecies </w:t>
      </w:r>
      <w:r w:rsidRPr="002060A9">
        <w:rPr>
          <w:i/>
          <w:lang w:val="en-IE"/>
        </w:rPr>
        <w:t>paratuberculosis</w:t>
      </w:r>
      <w:r w:rsidRPr="002060A9">
        <w:rPr>
          <w:lang w:val="en-IE"/>
        </w:rPr>
        <w:t xml:space="preserve"> and application to diagnosis of paratuberculosis. </w:t>
      </w:r>
      <w:r w:rsidRPr="002060A9">
        <w:rPr>
          <w:i/>
          <w:lang w:val="en-IE"/>
        </w:rPr>
        <w:t>Mol. Cell. Probes</w:t>
      </w:r>
      <w:r w:rsidRPr="002060A9">
        <w:rPr>
          <w:lang w:val="en-IE"/>
        </w:rPr>
        <w:t xml:space="preserve">, </w:t>
      </w:r>
      <w:r w:rsidRPr="002060A9">
        <w:rPr>
          <w:b/>
          <w:lang w:val="en-IE"/>
        </w:rPr>
        <w:t>12</w:t>
      </w:r>
      <w:r w:rsidRPr="002060A9">
        <w:rPr>
          <w:lang w:val="en-IE"/>
        </w:rPr>
        <w:t>, 133–142.</w:t>
      </w:r>
    </w:p>
    <w:p w14:paraId="003A7202" w14:textId="77777777" w:rsidR="000273EA" w:rsidRPr="002060A9" w:rsidRDefault="000273EA" w:rsidP="00DE391F">
      <w:pPr>
        <w:pStyle w:val="Ref"/>
        <w:rPr>
          <w:lang w:val="en-IE"/>
        </w:rPr>
      </w:pPr>
      <w:proofErr w:type="spellStart"/>
      <w:r w:rsidRPr="002060A9">
        <w:rPr>
          <w:smallCaps/>
          <w:lang w:val="en-IE"/>
        </w:rPr>
        <w:t>Fodstad</w:t>
      </w:r>
      <w:proofErr w:type="spellEnd"/>
      <w:r w:rsidRPr="002060A9">
        <w:rPr>
          <w:smallCaps/>
          <w:lang w:val="en-IE"/>
        </w:rPr>
        <w:t xml:space="preserve"> </w:t>
      </w:r>
      <w:r w:rsidR="001D322B" w:rsidRPr="002060A9">
        <w:rPr>
          <w:smallCaps/>
          <w:lang w:val="en-IE"/>
        </w:rPr>
        <w:t xml:space="preserve">F.H. </w:t>
      </w:r>
      <w:r w:rsidRPr="002060A9">
        <w:rPr>
          <w:smallCaps/>
          <w:lang w:val="en-IE"/>
        </w:rPr>
        <w:t>&amp; Gunnarsson</w:t>
      </w:r>
      <w:r w:rsidR="001D322B" w:rsidRPr="002060A9">
        <w:rPr>
          <w:smallCaps/>
          <w:lang w:val="en-IE"/>
        </w:rPr>
        <w:t xml:space="preserve"> E.</w:t>
      </w:r>
      <w:r w:rsidR="001D322B" w:rsidRPr="002060A9">
        <w:rPr>
          <w:lang w:val="en-IE"/>
        </w:rPr>
        <w:t xml:space="preserve"> (</w:t>
      </w:r>
      <w:r w:rsidRPr="002060A9">
        <w:rPr>
          <w:lang w:val="en-IE"/>
        </w:rPr>
        <w:t xml:space="preserve">1979). </w:t>
      </w:r>
      <w:r w:rsidR="001D322B" w:rsidRPr="002060A9">
        <w:rPr>
          <w:lang w:val="en-IE"/>
        </w:rPr>
        <w:t xml:space="preserve">Post-mortem examination in the diagnosis of </w:t>
      </w:r>
      <w:proofErr w:type="spellStart"/>
      <w:r w:rsidR="001D322B" w:rsidRPr="002060A9">
        <w:rPr>
          <w:lang w:val="en-IE"/>
        </w:rPr>
        <w:t>Johne's</w:t>
      </w:r>
      <w:proofErr w:type="spellEnd"/>
      <w:r w:rsidR="001D322B" w:rsidRPr="002060A9">
        <w:rPr>
          <w:lang w:val="en-IE"/>
        </w:rPr>
        <w:t xml:space="preserve"> disease in goats. </w:t>
      </w:r>
      <w:hyperlink r:id="rId8" w:tooltip="Acta veterinaria Scandinavica." w:history="1">
        <w:r w:rsidR="001D322B" w:rsidRPr="002060A9">
          <w:rPr>
            <w:rStyle w:val="Lienhypertexte"/>
            <w:rFonts w:eastAsiaTheme="majorEastAsia"/>
            <w:i/>
            <w:color w:val="auto"/>
            <w:u w:val="none"/>
            <w:lang w:val="en-IE"/>
          </w:rPr>
          <w:t>Acta Vet. Scand</w:t>
        </w:r>
        <w:r w:rsidR="001D322B" w:rsidRPr="002060A9">
          <w:rPr>
            <w:rStyle w:val="Lienhypertexte"/>
            <w:rFonts w:eastAsiaTheme="majorEastAsia"/>
            <w:color w:val="auto"/>
            <w:u w:val="none"/>
            <w:lang w:val="en-IE"/>
          </w:rPr>
          <w:t>.</w:t>
        </w:r>
      </w:hyperlink>
      <w:r w:rsidR="001D322B" w:rsidRPr="002060A9">
        <w:rPr>
          <w:lang w:val="en-IE"/>
        </w:rPr>
        <w:t xml:space="preserve">, </w:t>
      </w:r>
      <w:r w:rsidR="001D322B" w:rsidRPr="002060A9">
        <w:rPr>
          <w:b/>
          <w:lang w:val="en-IE"/>
        </w:rPr>
        <w:t>20</w:t>
      </w:r>
      <w:r w:rsidR="001D322B" w:rsidRPr="002060A9">
        <w:rPr>
          <w:lang w:val="en-IE"/>
        </w:rPr>
        <w:t>, 157–167.</w:t>
      </w:r>
    </w:p>
    <w:p w14:paraId="5D347391" w14:textId="77777777" w:rsidR="00B66F35" w:rsidRPr="002060A9" w:rsidRDefault="00B66F35" w:rsidP="00DE391F">
      <w:pPr>
        <w:pStyle w:val="Ref"/>
        <w:rPr>
          <w:lang w:val="en-IE"/>
        </w:rPr>
      </w:pPr>
      <w:r w:rsidRPr="002060A9">
        <w:rPr>
          <w:smallCaps/>
          <w:lang w:val="en-IE"/>
        </w:rPr>
        <w:t>Greig A., Stevenson K., Henderson D., Perez V., Hugues V., Pavlik I., Hines M.E. 2nd, McKendrick I. &amp; Sharp J.M.</w:t>
      </w:r>
      <w:r w:rsidRPr="002060A9">
        <w:rPr>
          <w:lang w:val="en-IE"/>
        </w:rPr>
        <w:t xml:space="preserve"> (1999). Epidemiological study of paratuberculosis in wild rabbits in Scotland.</w:t>
      </w:r>
      <w:r w:rsidRPr="002060A9">
        <w:rPr>
          <w:i/>
          <w:iCs/>
          <w:lang w:val="en-IE"/>
        </w:rPr>
        <w:t xml:space="preserve"> J. Clin. </w:t>
      </w:r>
      <w:proofErr w:type="spellStart"/>
      <w:r w:rsidRPr="002060A9">
        <w:rPr>
          <w:i/>
          <w:iCs/>
          <w:lang w:val="en-IE"/>
        </w:rPr>
        <w:t>Microbiol</w:t>
      </w:r>
      <w:proofErr w:type="spellEnd"/>
      <w:r w:rsidRPr="002060A9">
        <w:rPr>
          <w:i/>
          <w:iCs/>
          <w:lang w:val="en-IE"/>
        </w:rPr>
        <w:t>.,</w:t>
      </w:r>
      <w:r w:rsidRPr="002060A9">
        <w:rPr>
          <w:lang w:val="en-IE"/>
        </w:rPr>
        <w:t xml:space="preserve"> </w:t>
      </w:r>
      <w:r w:rsidRPr="002060A9">
        <w:rPr>
          <w:b/>
          <w:bCs/>
          <w:lang w:val="en-IE"/>
        </w:rPr>
        <w:t>37</w:t>
      </w:r>
      <w:r w:rsidRPr="002060A9">
        <w:rPr>
          <w:lang w:val="en-IE"/>
        </w:rPr>
        <w:t>, 1746–1751.</w:t>
      </w:r>
    </w:p>
    <w:p w14:paraId="40426E66" w14:textId="77777777" w:rsidR="00B66F35" w:rsidRPr="002060A9" w:rsidRDefault="00C80B68" w:rsidP="00DE391F">
      <w:pPr>
        <w:pStyle w:val="Ref"/>
        <w:rPr>
          <w:lang w:val="en-IE"/>
        </w:rPr>
      </w:pPr>
      <w:proofErr w:type="spellStart"/>
      <w:r w:rsidRPr="002060A9">
        <w:rPr>
          <w:smallCaps/>
          <w:lang w:val="en-IE"/>
        </w:rPr>
        <w:t>Gwozdz</w:t>
      </w:r>
      <w:proofErr w:type="spellEnd"/>
      <w:r w:rsidRPr="002060A9">
        <w:rPr>
          <w:smallCaps/>
          <w:lang w:val="en-IE"/>
        </w:rPr>
        <w:t xml:space="preserve"> J.M</w:t>
      </w:r>
      <w:r w:rsidR="00B66F35" w:rsidRPr="002060A9">
        <w:rPr>
          <w:smallCaps/>
          <w:lang w:val="en-IE"/>
        </w:rPr>
        <w:t xml:space="preserve">., Thompson K.G., Murray A., Reichel M.P., </w:t>
      </w:r>
      <w:proofErr w:type="spellStart"/>
      <w:r w:rsidR="00B66F35" w:rsidRPr="002060A9">
        <w:rPr>
          <w:smallCaps/>
          <w:lang w:val="en-IE"/>
        </w:rPr>
        <w:t>Manktelow</w:t>
      </w:r>
      <w:proofErr w:type="spellEnd"/>
      <w:r w:rsidR="00B66F35" w:rsidRPr="002060A9">
        <w:rPr>
          <w:smallCaps/>
          <w:lang w:val="en-IE"/>
        </w:rPr>
        <w:t xml:space="preserve"> B.W. &amp; West D.M.</w:t>
      </w:r>
      <w:r w:rsidR="00B66F35" w:rsidRPr="002060A9">
        <w:rPr>
          <w:lang w:val="en-IE"/>
        </w:rPr>
        <w:t xml:space="preserve"> (2000). Comparison of three serological tests and an interferon-gamma assay for the diagnosis of paratuberculosis in experimentally infected sheep. </w:t>
      </w:r>
      <w:r w:rsidR="00B66F35" w:rsidRPr="002060A9">
        <w:rPr>
          <w:i/>
          <w:iCs/>
          <w:lang w:val="en-IE"/>
        </w:rPr>
        <w:t>Aust. Vet. J.,</w:t>
      </w:r>
      <w:r w:rsidR="00B66F35" w:rsidRPr="002060A9">
        <w:rPr>
          <w:lang w:val="en-IE"/>
        </w:rPr>
        <w:t xml:space="preserve"> </w:t>
      </w:r>
      <w:r w:rsidR="00B66F35" w:rsidRPr="002060A9">
        <w:rPr>
          <w:b/>
          <w:bCs/>
          <w:lang w:val="en-IE"/>
        </w:rPr>
        <w:t>78</w:t>
      </w:r>
      <w:r w:rsidR="00B66F35" w:rsidRPr="002060A9">
        <w:rPr>
          <w:lang w:val="en-IE"/>
        </w:rPr>
        <w:t>, 779–783.</w:t>
      </w:r>
    </w:p>
    <w:p w14:paraId="4F92166C" w14:textId="77777777" w:rsidR="009260BE" w:rsidRPr="002060A9" w:rsidRDefault="008127AB" w:rsidP="00DE391F">
      <w:pPr>
        <w:pStyle w:val="Ref"/>
        <w:rPr>
          <w:lang w:val="en-IE"/>
        </w:rPr>
      </w:pPr>
      <w:r w:rsidRPr="002060A9">
        <w:rPr>
          <w:smallCaps/>
          <w:lang w:val="en-IE"/>
        </w:rPr>
        <w:t>Hendrick S., Duffield T., Leslie K., Lissemore K., Archambault M. &amp; Kelton D</w:t>
      </w:r>
      <w:r w:rsidRPr="002060A9">
        <w:rPr>
          <w:lang w:val="en-IE"/>
        </w:rPr>
        <w:t xml:space="preserve">. (2005) The prevalence of milk and serum antibodies to Mycobacterium avium subspecies paratuberculosis in dairy herds in Ontario. </w:t>
      </w:r>
      <w:r w:rsidRPr="002060A9">
        <w:rPr>
          <w:i/>
          <w:iCs/>
          <w:lang w:val="en-IE"/>
        </w:rPr>
        <w:t>Can. Vet. J.,</w:t>
      </w:r>
      <w:r w:rsidRPr="002060A9">
        <w:rPr>
          <w:lang w:val="en-IE"/>
        </w:rPr>
        <w:t xml:space="preserve"> </w:t>
      </w:r>
      <w:r w:rsidRPr="002060A9">
        <w:rPr>
          <w:b/>
          <w:bCs/>
          <w:lang w:val="en-IE"/>
        </w:rPr>
        <w:t>46</w:t>
      </w:r>
      <w:r w:rsidRPr="002060A9">
        <w:rPr>
          <w:lang w:val="en-IE"/>
        </w:rPr>
        <w:t>, 1126–1129.</w:t>
      </w:r>
    </w:p>
    <w:p w14:paraId="3272FF22" w14:textId="77777777" w:rsidR="00B66F35" w:rsidRPr="002060A9" w:rsidRDefault="00B66F35" w:rsidP="00DE391F">
      <w:pPr>
        <w:pStyle w:val="Ref"/>
        <w:rPr>
          <w:lang w:val="en-IE"/>
        </w:rPr>
      </w:pPr>
      <w:r w:rsidRPr="002060A9">
        <w:rPr>
          <w:smallCaps/>
          <w:lang w:val="en-IE"/>
        </w:rPr>
        <w:t xml:space="preserve">Hope A.F., </w:t>
      </w:r>
      <w:proofErr w:type="spellStart"/>
      <w:r w:rsidRPr="002060A9">
        <w:rPr>
          <w:smallCaps/>
          <w:lang w:val="en-IE"/>
        </w:rPr>
        <w:t>Kluver</w:t>
      </w:r>
      <w:proofErr w:type="spellEnd"/>
      <w:r w:rsidRPr="002060A9">
        <w:rPr>
          <w:smallCaps/>
          <w:lang w:val="en-IE"/>
        </w:rPr>
        <w:t xml:space="preserve"> P.F., Jones S.L. &amp; Condron R.J.</w:t>
      </w:r>
      <w:r w:rsidRPr="002060A9">
        <w:rPr>
          <w:lang w:val="en-IE"/>
        </w:rPr>
        <w:t xml:space="preserve"> (2000). Sensitivity and specificity of two serological tests for the detection of ovine paratuberculosis. </w:t>
      </w:r>
      <w:r w:rsidRPr="002060A9">
        <w:rPr>
          <w:i/>
          <w:iCs/>
          <w:lang w:val="en-IE"/>
        </w:rPr>
        <w:t>Aust. Vet. J</w:t>
      </w:r>
      <w:r w:rsidRPr="002060A9">
        <w:rPr>
          <w:lang w:val="en-IE"/>
        </w:rPr>
        <w:t xml:space="preserve">., </w:t>
      </w:r>
      <w:r w:rsidRPr="002060A9">
        <w:rPr>
          <w:b/>
          <w:bCs/>
          <w:lang w:val="en-IE"/>
        </w:rPr>
        <w:t>78</w:t>
      </w:r>
      <w:r w:rsidRPr="002060A9">
        <w:rPr>
          <w:lang w:val="en-IE"/>
        </w:rPr>
        <w:t>, 850–856.</w:t>
      </w:r>
    </w:p>
    <w:p w14:paraId="00B28349" w14:textId="77777777" w:rsidR="00B66F35" w:rsidRPr="002060A9" w:rsidRDefault="00B66F35" w:rsidP="00DE391F">
      <w:pPr>
        <w:pStyle w:val="Ref"/>
        <w:rPr>
          <w:lang w:val="en-IE"/>
        </w:rPr>
      </w:pPr>
      <w:proofErr w:type="spellStart"/>
      <w:r w:rsidRPr="002060A9">
        <w:rPr>
          <w:smallCaps/>
          <w:lang w:val="en-IE"/>
        </w:rPr>
        <w:t>Jubb</w:t>
      </w:r>
      <w:proofErr w:type="spellEnd"/>
      <w:r w:rsidRPr="002060A9">
        <w:rPr>
          <w:smallCaps/>
          <w:lang w:val="en-IE"/>
        </w:rPr>
        <w:t xml:space="preserve"> T.F., Sergeant E.S., </w:t>
      </w:r>
      <w:proofErr w:type="spellStart"/>
      <w:r w:rsidRPr="002060A9">
        <w:rPr>
          <w:smallCaps/>
          <w:lang w:val="en-IE"/>
        </w:rPr>
        <w:t>Callinan</w:t>
      </w:r>
      <w:proofErr w:type="spellEnd"/>
      <w:r w:rsidRPr="002060A9">
        <w:rPr>
          <w:smallCaps/>
          <w:lang w:val="en-IE"/>
        </w:rPr>
        <w:t xml:space="preserve"> A.P. &amp; Galvin J.</w:t>
      </w:r>
      <w:r w:rsidRPr="002060A9">
        <w:rPr>
          <w:lang w:val="en-IE"/>
        </w:rPr>
        <w:t xml:space="preserve"> (2004). Estimate of the sensitivity of an ELISA used to detect </w:t>
      </w:r>
      <w:proofErr w:type="spellStart"/>
      <w:r w:rsidRPr="002060A9">
        <w:rPr>
          <w:lang w:val="en-IE"/>
        </w:rPr>
        <w:t>Johne’s</w:t>
      </w:r>
      <w:proofErr w:type="spellEnd"/>
      <w:r w:rsidRPr="002060A9">
        <w:rPr>
          <w:lang w:val="en-IE"/>
        </w:rPr>
        <w:t xml:space="preserve"> disease in Victorian dairy cattle herds. </w:t>
      </w:r>
      <w:r w:rsidRPr="002060A9">
        <w:rPr>
          <w:i/>
          <w:iCs/>
          <w:lang w:val="en-IE"/>
        </w:rPr>
        <w:t>Aust. Vet. J.,</w:t>
      </w:r>
      <w:r w:rsidRPr="002060A9">
        <w:rPr>
          <w:lang w:val="en-IE"/>
        </w:rPr>
        <w:t xml:space="preserve"> </w:t>
      </w:r>
      <w:r w:rsidRPr="002060A9">
        <w:rPr>
          <w:b/>
          <w:bCs/>
          <w:lang w:val="en-IE"/>
        </w:rPr>
        <w:t>82</w:t>
      </w:r>
      <w:r w:rsidRPr="002060A9">
        <w:rPr>
          <w:lang w:val="en-IE"/>
        </w:rPr>
        <w:t>, 569–573.</w:t>
      </w:r>
    </w:p>
    <w:p w14:paraId="5B634961" w14:textId="77777777" w:rsidR="00B66F35" w:rsidRPr="002060A9" w:rsidRDefault="00B66F35" w:rsidP="00DE391F">
      <w:pPr>
        <w:pStyle w:val="Ref"/>
        <w:rPr>
          <w:lang w:val="en-IE"/>
        </w:rPr>
      </w:pPr>
      <w:proofErr w:type="spellStart"/>
      <w:r w:rsidRPr="002060A9">
        <w:rPr>
          <w:smallCaps/>
          <w:lang w:val="en-IE"/>
        </w:rPr>
        <w:t>Kalis</w:t>
      </w:r>
      <w:proofErr w:type="spellEnd"/>
      <w:r w:rsidRPr="002060A9">
        <w:rPr>
          <w:smallCaps/>
          <w:lang w:val="en-IE"/>
        </w:rPr>
        <w:t xml:space="preserve"> C.H., Collins M.T., </w:t>
      </w:r>
      <w:proofErr w:type="spellStart"/>
      <w:r w:rsidRPr="002060A9">
        <w:rPr>
          <w:smallCaps/>
          <w:lang w:val="en-IE"/>
        </w:rPr>
        <w:t>Hesselink</w:t>
      </w:r>
      <w:proofErr w:type="spellEnd"/>
      <w:r w:rsidRPr="002060A9">
        <w:rPr>
          <w:smallCaps/>
          <w:lang w:val="en-IE"/>
        </w:rPr>
        <w:t xml:space="preserve"> J.W. &amp; </w:t>
      </w:r>
      <w:proofErr w:type="spellStart"/>
      <w:r w:rsidRPr="002060A9">
        <w:rPr>
          <w:smallCaps/>
          <w:lang w:val="en-IE"/>
        </w:rPr>
        <w:t>Barkema</w:t>
      </w:r>
      <w:proofErr w:type="spellEnd"/>
      <w:r w:rsidRPr="002060A9">
        <w:rPr>
          <w:smallCaps/>
          <w:lang w:val="en-IE"/>
        </w:rPr>
        <w:t xml:space="preserve"> HW.</w:t>
      </w:r>
      <w:r w:rsidRPr="002060A9">
        <w:rPr>
          <w:lang w:val="en-IE"/>
        </w:rPr>
        <w:t xml:space="preserve"> (2003)</w:t>
      </w:r>
      <w:r w:rsidR="008E6A78" w:rsidRPr="002060A9">
        <w:rPr>
          <w:lang w:val="en-IE"/>
        </w:rPr>
        <w:t>.</w:t>
      </w:r>
      <w:r w:rsidRPr="002060A9">
        <w:rPr>
          <w:lang w:val="en-IE"/>
        </w:rPr>
        <w:t xml:space="preserve"> Specificity of two tests for the early diagnosis of bovine paratuberculosis based on cell-mediated immunity: the Johnin skin test and the gamma interferon assay. </w:t>
      </w:r>
      <w:r w:rsidRPr="002060A9">
        <w:rPr>
          <w:i/>
          <w:lang w:val="en-IE"/>
        </w:rPr>
        <w:t xml:space="preserve">Vet. </w:t>
      </w:r>
      <w:proofErr w:type="spellStart"/>
      <w:r w:rsidRPr="002060A9">
        <w:rPr>
          <w:i/>
          <w:lang w:val="en-IE"/>
        </w:rPr>
        <w:t>Microbiol</w:t>
      </w:r>
      <w:proofErr w:type="spellEnd"/>
      <w:r w:rsidRPr="002060A9">
        <w:rPr>
          <w:lang w:val="en-IE"/>
        </w:rPr>
        <w:t xml:space="preserve">., </w:t>
      </w:r>
      <w:r w:rsidRPr="002060A9">
        <w:rPr>
          <w:b/>
          <w:lang w:val="en-IE"/>
        </w:rPr>
        <w:t>97</w:t>
      </w:r>
      <w:r w:rsidRPr="002060A9">
        <w:rPr>
          <w:lang w:val="en-IE"/>
        </w:rPr>
        <w:t>, 73–86.</w:t>
      </w:r>
    </w:p>
    <w:p w14:paraId="0B03017C" w14:textId="77777777" w:rsidR="000273EA" w:rsidRPr="00D7396C" w:rsidRDefault="000273EA" w:rsidP="000273EA">
      <w:pPr>
        <w:pStyle w:val="Ref"/>
        <w:rPr>
          <w:smallCaps/>
          <w:lang w:val="en-IE"/>
        </w:rPr>
      </w:pPr>
      <w:r w:rsidRPr="002060A9">
        <w:rPr>
          <w:smallCaps/>
          <w:lang w:val="en-IE"/>
        </w:rPr>
        <w:t xml:space="preserve">Koh S.H., Dobson K.Y. &amp; </w:t>
      </w:r>
      <w:proofErr w:type="spellStart"/>
      <w:r w:rsidRPr="002060A9">
        <w:rPr>
          <w:smallCaps/>
          <w:lang w:val="en-IE"/>
        </w:rPr>
        <w:t>Tomasovic</w:t>
      </w:r>
      <w:proofErr w:type="spellEnd"/>
      <w:r w:rsidRPr="002060A9">
        <w:rPr>
          <w:smallCaps/>
          <w:lang w:val="en-IE"/>
        </w:rPr>
        <w:t xml:space="preserve"> A. (1988). </w:t>
      </w:r>
      <w:r w:rsidRPr="002060A9">
        <w:rPr>
          <w:lang w:val="en-IE"/>
        </w:rPr>
        <w:t xml:space="preserve">A </w:t>
      </w:r>
      <w:proofErr w:type="spellStart"/>
      <w:r w:rsidRPr="002060A9">
        <w:rPr>
          <w:lang w:val="en-IE"/>
        </w:rPr>
        <w:t>Johne’s</w:t>
      </w:r>
      <w:proofErr w:type="spellEnd"/>
      <w:r w:rsidRPr="002060A9">
        <w:rPr>
          <w:lang w:val="en-IE"/>
        </w:rPr>
        <w:t xml:space="preserve"> disease survey and comparison of diagnostic tests</w:t>
      </w:r>
      <w:r w:rsidRPr="002060A9">
        <w:rPr>
          <w:smallCaps/>
          <w:lang w:val="en-IE"/>
        </w:rPr>
        <w:t xml:space="preserve">. </w:t>
      </w:r>
      <w:proofErr w:type="spellStart"/>
      <w:r w:rsidR="008127AB" w:rsidRPr="00D7396C">
        <w:rPr>
          <w:i/>
          <w:lang w:val="en-IE"/>
        </w:rPr>
        <w:t>Austr</w:t>
      </w:r>
      <w:proofErr w:type="spellEnd"/>
      <w:r w:rsidR="008127AB" w:rsidRPr="00D7396C">
        <w:rPr>
          <w:i/>
          <w:lang w:val="en-IE"/>
        </w:rPr>
        <w:t xml:space="preserve">. Vet. J., </w:t>
      </w:r>
      <w:r w:rsidR="008127AB" w:rsidRPr="00D7396C">
        <w:rPr>
          <w:b/>
          <w:smallCaps/>
          <w:lang w:val="en-IE"/>
        </w:rPr>
        <w:t>65</w:t>
      </w:r>
      <w:r w:rsidR="008127AB" w:rsidRPr="00D7396C">
        <w:rPr>
          <w:smallCaps/>
          <w:lang w:val="en-IE"/>
        </w:rPr>
        <w:t>, 160–161.</w:t>
      </w:r>
    </w:p>
    <w:p w14:paraId="0D5C9890" w14:textId="77777777" w:rsidR="00B66F35" w:rsidRPr="002060A9" w:rsidRDefault="00B66F35" w:rsidP="00DE391F">
      <w:pPr>
        <w:pStyle w:val="Ref"/>
        <w:rPr>
          <w:lang w:val="en-IE"/>
        </w:rPr>
      </w:pPr>
      <w:r w:rsidRPr="002060A9">
        <w:rPr>
          <w:smallCaps/>
          <w:lang w:val="en-IE"/>
        </w:rPr>
        <w:t xml:space="preserve">Larson A.B. &amp; </w:t>
      </w:r>
      <w:proofErr w:type="spellStart"/>
      <w:r w:rsidRPr="002060A9">
        <w:rPr>
          <w:smallCaps/>
          <w:lang w:val="en-IE"/>
        </w:rPr>
        <w:t>Kopecky</w:t>
      </w:r>
      <w:proofErr w:type="spellEnd"/>
      <w:r w:rsidRPr="002060A9">
        <w:rPr>
          <w:smallCaps/>
          <w:lang w:val="en-IE"/>
        </w:rPr>
        <w:t xml:space="preserve"> K.E.</w:t>
      </w:r>
      <w:r w:rsidRPr="002060A9">
        <w:rPr>
          <w:lang w:val="en-IE"/>
        </w:rPr>
        <w:t xml:space="preserve"> (1970). </w:t>
      </w:r>
      <w:r w:rsidRPr="002060A9">
        <w:rPr>
          <w:i/>
          <w:lang w:val="en-IE"/>
        </w:rPr>
        <w:t>Mycobacterium paratuberculosis</w:t>
      </w:r>
      <w:r w:rsidRPr="002060A9">
        <w:rPr>
          <w:lang w:val="en-IE"/>
        </w:rPr>
        <w:t xml:space="preserve"> in reproductive organs and semen of bulls. </w:t>
      </w:r>
      <w:r w:rsidRPr="002060A9">
        <w:rPr>
          <w:i/>
          <w:iCs/>
          <w:lang w:val="en-IE"/>
        </w:rPr>
        <w:t>Am. J. Vet. Res</w:t>
      </w:r>
      <w:r w:rsidRPr="002060A9">
        <w:rPr>
          <w:lang w:val="en-IE"/>
        </w:rPr>
        <w:t xml:space="preserve">., </w:t>
      </w:r>
      <w:r w:rsidRPr="002060A9">
        <w:rPr>
          <w:b/>
          <w:lang w:val="en-IE"/>
        </w:rPr>
        <w:t>31</w:t>
      </w:r>
      <w:r w:rsidRPr="002060A9">
        <w:rPr>
          <w:lang w:val="en-IE"/>
        </w:rPr>
        <w:t>, 255–258.</w:t>
      </w:r>
    </w:p>
    <w:p w14:paraId="34558DBA" w14:textId="77777777" w:rsidR="00CB7BDC" w:rsidRPr="002060A9" w:rsidRDefault="00631926" w:rsidP="006849A2">
      <w:pPr>
        <w:pStyle w:val="Ref"/>
        <w:rPr>
          <w:bCs/>
          <w:kern w:val="36"/>
          <w:lang w:val="en-IE" w:eastAsia="en-AU"/>
        </w:rPr>
      </w:pPr>
      <w:hyperlink r:id="rId9" w:history="1">
        <w:proofErr w:type="spellStart"/>
        <w:r w:rsidR="008127AB" w:rsidRPr="002060A9">
          <w:rPr>
            <w:smallCaps/>
            <w:lang w:val="en-IE" w:eastAsia="en-AU"/>
          </w:rPr>
          <w:t>Leite</w:t>
        </w:r>
        <w:proofErr w:type="spellEnd"/>
        <w:r w:rsidR="008127AB" w:rsidRPr="002060A9">
          <w:rPr>
            <w:smallCaps/>
            <w:lang w:val="en-IE" w:eastAsia="en-AU"/>
          </w:rPr>
          <w:t xml:space="preserve"> F</w:t>
        </w:r>
        <w:r w:rsidR="00CB7BDC" w:rsidRPr="002060A9">
          <w:rPr>
            <w:smallCaps/>
            <w:lang w:val="en-IE" w:eastAsia="en-AU"/>
          </w:rPr>
          <w:t>.</w:t>
        </w:r>
        <w:r w:rsidR="008127AB" w:rsidRPr="002060A9">
          <w:rPr>
            <w:smallCaps/>
            <w:lang w:val="en-IE" w:eastAsia="en-AU"/>
          </w:rPr>
          <w:t>L</w:t>
        </w:r>
      </w:hyperlink>
      <w:r w:rsidR="00CB7BDC" w:rsidRPr="002060A9">
        <w:rPr>
          <w:smallCaps/>
          <w:lang w:val="en-IE" w:eastAsia="en-AU"/>
        </w:rPr>
        <w:t>.</w:t>
      </w:r>
      <w:r w:rsidR="008127AB" w:rsidRPr="002060A9">
        <w:rPr>
          <w:smallCaps/>
          <w:lang w:val="en-IE" w:eastAsia="en-AU"/>
        </w:rPr>
        <w:t xml:space="preserve">, </w:t>
      </w:r>
      <w:hyperlink r:id="rId10" w:history="1">
        <w:r w:rsidR="008127AB" w:rsidRPr="002060A9">
          <w:rPr>
            <w:smallCaps/>
            <w:lang w:val="en-IE" w:eastAsia="en-AU"/>
          </w:rPr>
          <w:t>Stokes K</w:t>
        </w:r>
        <w:r w:rsidR="00CB7BDC" w:rsidRPr="002060A9">
          <w:rPr>
            <w:smallCaps/>
            <w:lang w:val="en-IE" w:eastAsia="en-AU"/>
          </w:rPr>
          <w:t>.</w:t>
        </w:r>
        <w:r w:rsidR="008127AB" w:rsidRPr="002060A9">
          <w:rPr>
            <w:smallCaps/>
            <w:lang w:val="en-IE" w:eastAsia="en-AU"/>
          </w:rPr>
          <w:t>D</w:t>
        </w:r>
      </w:hyperlink>
      <w:r w:rsidR="00CB7BDC" w:rsidRPr="002060A9">
        <w:rPr>
          <w:smallCaps/>
          <w:lang w:val="en-IE" w:eastAsia="en-AU"/>
        </w:rPr>
        <w:t>.</w:t>
      </w:r>
      <w:r w:rsidR="008127AB" w:rsidRPr="002060A9">
        <w:rPr>
          <w:smallCaps/>
          <w:lang w:val="en-IE" w:eastAsia="en-AU"/>
        </w:rPr>
        <w:t xml:space="preserve">, </w:t>
      </w:r>
      <w:hyperlink r:id="rId11" w:history="1">
        <w:proofErr w:type="spellStart"/>
        <w:r w:rsidR="008127AB" w:rsidRPr="002060A9">
          <w:rPr>
            <w:smallCaps/>
            <w:lang w:val="en-IE" w:eastAsia="en-AU"/>
          </w:rPr>
          <w:t>Robbe-Austerman</w:t>
        </w:r>
        <w:proofErr w:type="spellEnd"/>
        <w:r w:rsidR="008127AB" w:rsidRPr="002060A9">
          <w:rPr>
            <w:smallCaps/>
            <w:lang w:val="en-IE" w:eastAsia="en-AU"/>
          </w:rPr>
          <w:t xml:space="preserve"> S</w:t>
        </w:r>
      </w:hyperlink>
      <w:r w:rsidR="006849A2" w:rsidRPr="002060A9">
        <w:rPr>
          <w:smallCaps/>
          <w:lang w:val="en-IE" w:eastAsia="en-AU"/>
        </w:rPr>
        <w:t>. &amp;</w:t>
      </w:r>
      <w:r w:rsidR="008127AB" w:rsidRPr="002060A9">
        <w:rPr>
          <w:smallCaps/>
          <w:lang w:val="en-IE" w:eastAsia="en-AU"/>
        </w:rPr>
        <w:t xml:space="preserve"> </w:t>
      </w:r>
      <w:hyperlink r:id="rId12" w:history="1">
        <w:proofErr w:type="spellStart"/>
        <w:r w:rsidR="008127AB" w:rsidRPr="002060A9">
          <w:rPr>
            <w:smallCaps/>
            <w:lang w:val="en-IE" w:eastAsia="en-AU"/>
          </w:rPr>
          <w:t>Stabel</w:t>
        </w:r>
        <w:proofErr w:type="spellEnd"/>
        <w:r w:rsidR="008127AB" w:rsidRPr="002060A9">
          <w:rPr>
            <w:smallCaps/>
            <w:lang w:val="en-IE" w:eastAsia="en-AU"/>
          </w:rPr>
          <w:t xml:space="preserve"> J</w:t>
        </w:r>
        <w:r w:rsidR="00CB7BDC" w:rsidRPr="002060A9">
          <w:rPr>
            <w:smallCaps/>
            <w:lang w:val="en-IE" w:eastAsia="en-AU"/>
          </w:rPr>
          <w:t>.</w:t>
        </w:r>
        <w:r w:rsidR="008127AB" w:rsidRPr="002060A9">
          <w:rPr>
            <w:smallCaps/>
            <w:lang w:val="en-IE" w:eastAsia="en-AU"/>
          </w:rPr>
          <w:t>R</w:t>
        </w:r>
      </w:hyperlink>
      <w:r w:rsidR="008127AB" w:rsidRPr="002060A9">
        <w:rPr>
          <w:lang w:val="en-IE" w:eastAsia="en-AU"/>
        </w:rPr>
        <w:t xml:space="preserve">. </w:t>
      </w:r>
      <w:r w:rsidR="00CB7BDC" w:rsidRPr="002060A9">
        <w:rPr>
          <w:lang w:val="en-IE" w:eastAsia="en-AU"/>
        </w:rPr>
        <w:t>(</w:t>
      </w:r>
      <w:r w:rsidR="008127AB" w:rsidRPr="002060A9">
        <w:rPr>
          <w:lang w:val="en-IE" w:eastAsia="en-AU"/>
        </w:rPr>
        <w:t>2013</w:t>
      </w:r>
      <w:r w:rsidR="00CB7BDC" w:rsidRPr="002060A9">
        <w:rPr>
          <w:lang w:val="en-IE" w:eastAsia="en-AU"/>
        </w:rPr>
        <w:t>)</w:t>
      </w:r>
      <w:r w:rsidR="006849A2" w:rsidRPr="002060A9">
        <w:rPr>
          <w:lang w:val="en-IE" w:eastAsia="en-AU"/>
        </w:rPr>
        <w:t>.</w:t>
      </w:r>
      <w:r w:rsidR="008127AB" w:rsidRPr="002060A9">
        <w:rPr>
          <w:lang w:val="en-IE" w:eastAsia="en-AU"/>
        </w:rPr>
        <w:t xml:space="preserve"> </w:t>
      </w:r>
      <w:r w:rsidR="008127AB" w:rsidRPr="009E2518">
        <w:rPr>
          <w:bCs/>
          <w:kern w:val="36"/>
          <w:lang w:val="en-IE" w:eastAsia="en-AU"/>
        </w:rPr>
        <w:t xml:space="preserve">Comparison of </w:t>
      </w:r>
      <w:proofErr w:type="spellStart"/>
      <w:r w:rsidR="008127AB" w:rsidRPr="009E2518">
        <w:rPr>
          <w:bCs/>
          <w:kern w:val="36"/>
          <w:lang w:val="en-IE" w:eastAsia="en-AU"/>
        </w:rPr>
        <w:t>fecal</w:t>
      </w:r>
      <w:proofErr w:type="spellEnd"/>
      <w:r w:rsidR="008127AB" w:rsidRPr="009E2518">
        <w:rPr>
          <w:bCs/>
          <w:kern w:val="36"/>
          <w:lang w:val="en-IE" w:eastAsia="en-AU"/>
        </w:rPr>
        <w:t xml:space="preserve"> DNA extraction kits for the detection of </w:t>
      </w:r>
      <w:r w:rsidR="008127AB" w:rsidRPr="009E2518">
        <w:rPr>
          <w:bCs/>
          <w:i/>
          <w:kern w:val="36"/>
          <w:lang w:val="en-IE" w:eastAsia="en-AU"/>
        </w:rPr>
        <w:t>Mycobacterium</w:t>
      </w:r>
      <w:r w:rsidR="008127AB" w:rsidRPr="002060A9">
        <w:rPr>
          <w:bCs/>
          <w:i/>
          <w:kern w:val="36"/>
          <w:lang w:val="en-IE" w:eastAsia="en-AU"/>
        </w:rPr>
        <w:t xml:space="preserve"> avium subsp. paratuberculosis</w:t>
      </w:r>
      <w:r w:rsidR="008127AB" w:rsidRPr="002060A9">
        <w:rPr>
          <w:bCs/>
          <w:kern w:val="36"/>
          <w:lang w:val="en-IE" w:eastAsia="en-AU"/>
        </w:rPr>
        <w:t xml:space="preserve"> by polymerase chain reaction. </w:t>
      </w:r>
      <w:hyperlink r:id="rId13" w:tooltip="Journal of veterinary diagnostic investigation : official publication of the American Association of Veterinary Laboratory Diagnosticians, Inc." w:history="1">
        <w:r w:rsidR="008127AB" w:rsidRPr="002060A9">
          <w:rPr>
            <w:i/>
            <w:lang w:val="en-IE" w:eastAsia="en-AU"/>
          </w:rPr>
          <w:t>J. Vet. Diagn. Invest</w:t>
        </w:r>
      </w:hyperlink>
      <w:r w:rsidR="00CB7BDC" w:rsidRPr="002060A9">
        <w:rPr>
          <w:lang w:val="en-IE" w:eastAsia="en-AU"/>
        </w:rPr>
        <w:t>.,</w:t>
      </w:r>
      <w:r w:rsidR="008127AB" w:rsidRPr="002060A9">
        <w:rPr>
          <w:lang w:val="en-IE" w:eastAsia="en-AU"/>
        </w:rPr>
        <w:t xml:space="preserve"> </w:t>
      </w:r>
      <w:r w:rsidR="008127AB" w:rsidRPr="002060A9">
        <w:rPr>
          <w:b/>
          <w:lang w:val="en-IE" w:eastAsia="en-AU"/>
        </w:rPr>
        <w:t>25</w:t>
      </w:r>
      <w:r w:rsidR="00CB7BDC" w:rsidRPr="002060A9">
        <w:rPr>
          <w:lang w:val="en-IE" w:eastAsia="en-AU"/>
        </w:rPr>
        <w:t xml:space="preserve">, </w:t>
      </w:r>
      <w:r w:rsidR="008127AB" w:rsidRPr="002060A9">
        <w:rPr>
          <w:lang w:val="en-IE" w:eastAsia="en-AU"/>
        </w:rPr>
        <w:t>27</w:t>
      </w:r>
      <w:r w:rsidR="006849A2" w:rsidRPr="002060A9">
        <w:rPr>
          <w:lang w:val="en-IE" w:eastAsia="en-AU"/>
        </w:rPr>
        <w:t>–</w:t>
      </w:r>
      <w:r w:rsidR="008127AB" w:rsidRPr="002060A9">
        <w:rPr>
          <w:lang w:val="en-IE" w:eastAsia="en-AU"/>
        </w:rPr>
        <w:t xml:space="preserve">34. </w:t>
      </w:r>
    </w:p>
    <w:p w14:paraId="512AE200" w14:textId="77777777" w:rsidR="00B66F35" w:rsidRPr="002060A9" w:rsidRDefault="00B66F35" w:rsidP="00DE391F">
      <w:pPr>
        <w:pStyle w:val="Ref"/>
        <w:rPr>
          <w:lang w:val="en-IE"/>
        </w:rPr>
      </w:pPr>
      <w:r w:rsidRPr="002060A9">
        <w:rPr>
          <w:smallCaps/>
          <w:lang w:val="en-IE"/>
        </w:rPr>
        <w:t xml:space="preserve">McFadden J.J., Butcher P.D., </w:t>
      </w:r>
      <w:proofErr w:type="spellStart"/>
      <w:r w:rsidRPr="002060A9">
        <w:rPr>
          <w:smallCaps/>
          <w:lang w:val="en-IE"/>
        </w:rPr>
        <w:t>Chiodini</w:t>
      </w:r>
      <w:proofErr w:type="spellEnd"/>
      <w:r w:rsidRPr="002060A9">
        <w:rPr>
          <w:smallCaps/>
          <w:lang w:val="en-IE"/>
        </w:rPr>
        <w:t xml:space="preserve"> R. &amp; Hermon-Taylor J. </w:t>
      </w:r>
      <w:r w:rsidRPr="002060A9">
        <w:rPr>
          <w:lang w:val="en-IE"/>
        </w:rPr>
        <w:t xml:space="preserve">(1987). Crohn’s disease </w:t>
      </w:r>
      <w:r w:rsidRPr="002060A9">
        <w:rPr>
          <w:i/>
          <w:lang w:val="en-IE"/>
        </w:rPr>
        <w:t>–</w:t>
      </w:r>
      <w:r w:rsidRPr="002060A9">
        <w:rPr>
          <w:lang w:val="en-IE"/>
        </w:rPr>
        <w:t xml:space="preserve"> isolated mycobacteria are identical to </w:t>
      </w:r>
      <w:r w:rsidRPr="002060A9">
        <w:rPr>
          <w:i/>
          <w:lang w:val="en-IE"/>
        </w:rPr>
        <w:t>Mycobacterium paratuberculosis,</w:t>
      </w:r>
      <w:r w:rsidRPr="002060A9">
        <w:rPr>
          <w:lang w:val="en-IE"/>
        </w:rPr>
        <w:t xml:space="preserve"> as determined by DNA probes that distinguish between mycobacterial species. </w:t>
      </w:r>
      <w:r w:rsidRPr="002060A9">
        <w:rPr>
          <w:i/>
          <w:lang w:val="en-IE"/>
        </w:rPr>
        <w:t xml:space="preserve">J. Clin. </w:t>
      </w:r>
      <w:proofErr w:type="spellStart"/>
      <w:r w:rsidRPr="002060A9">
        <w:rPr>
          <w:i/>
          <w:lang w:val="en-IE"/>
        </w:rPr>
        <w:t>Microbiol</w:t>
      </w:r>
      <w:proofErr w:type="spellEnd"/>
      <w:r w:rsidRPr="002060A9">
        <w:rPr>
          <w:i/>
          <w:lang w:val="en-IE"/>
        </w:rPr>
        <w:t>.,</w:t>
      </w:r>
      <w:r w:rsidRPr="002060A9">
        <w:rPr>
          <w:lang w:val="en-IE"/>
        </w:rPr>
        <w:t xml:space="preserve"> </w:t>
      </w:r>
      <w:r w:rsidRPr="002060A9">
        <w:rPr>
          <w:b/>
          <w:lang w:val="en-IE"/>
        </w:rPr>
        <w:t>25</w:t>
      </w:r>
      <w:r w:rsidRPr="002060A9">
        <w:rPr>
          <w:lang w:val="en-IE"/>
        </w:rPr>
        <w:t>, 796–801.</w:t>
      </w:r>
    </w:p>
    <w:p w14:paraId="752CF423" w14:textId="77777777" w:rsidR="00B66F35" w:rsidRPr="002060A9" w:rsidRDefault="00B66F35" w:rsidP="00DE391F">
      <w:pPr>
        <w:pStyle w:val="Ref"/>
        <w:rPr>
          <w:lang w:val="en-IE"/>
        </w:rPr>
      </w:pPr>
      <w:proofErr w:type="spellStart"/>
      <w:r w:rsidRPr="002060A9">
        <w:rPr>
          <w:smallCaps/>
          <w:lang w:val="en-IE"/>
        </w:rPr>
        <w:t>Merkal</w:t>
      </w:r>
      <w:proofErr w:type="spellEnd"/>
      <w:r w:rsidRPr="002060A9">
        <w:rPr>
          <w:smallCaps/>
          <w:lang w:val="en-IE"/>
        </w:rPr>
        <w:t xml:space="preserve"> R.S., Larsen A.B., </w:t>
      </w:r>
      <w:proofErr w:type="spellStart"/>
      <w:r w:rsidRPr="002060A9">
        <w:rPr>
          <w:smallCaps/>
          <w:lang w:val="en-IE"/>
        </w:rPr>
        <w:t>Kopecky</w:t>
      </w:r>
      <w:proofErr w:type="spellEnd"/>
      <w:r w:rsidRPr="002060A9">
        <w:rPr>
          <w:smallCaps/>
          <w:lang w:val="en-IE"/>
        </w:rPr>
        <w:t xml:space="preserve"> K.E. &amp; Ness R.D.</w:t>
      </w:r>
      <w:r w:rsidRPr="002060A9">
        <w:rPr>
          <w:lang w:val="en-IE"/>
        </w:rPr>
        <w:t xml:space="preserve"> (1968). Comparison of examination and test methods for early detection of paratuberculosis in cattle. </w:t>
      </w:r>
      <w:r w:rsidRPr="002060A9">
        <w:rPr>
          <w:i/>
          <w:lang w:val="en-IE"/>
        </w:rPr>
        <w:t>Am. J. Vet. Res.</w:t>
      </w:r>
      <w:r w:rsidRPr="002060A9">
        <w:rPr>
          <w:lang w:val="en-IE"/>
        </w:rPr>
        <w:t xml:space="preserve">, </w:t>
      </w:r>
      <w:r w:rsidRPr="002060A9">
        <w:rPr>
          <w:b/>
          <w:lang w:val="en-IE"/>
        </w:rPr>
        <w:t>29</w:t>
      </w:r>
      <w:r w:rsidRPr="002060A9">
        <w:rPr>
          <w:lang w:val="en-IE"/>
        </w:rPr>
        <w:t>, 1533–1538.</w:t>
      </w:r>
    </w:p>
    <w:p w14:paraId="589ED042" w14:textId="77777777" w:rsidR="00E73E2B" w:rsidRPr="002060A9" w:rsidRDefault="00E73E2B" w:rsidP="00DE391F">
      <w:pPr>
        <w:pStyle w:val="Ref"/>
        <w:rPr>
          <w:lang w:val="en-IE"/>
        </w:rPr>
      </w:pPr>
      <w:r w:rsidRPr="002060A9">
        <w:rPr>
          <w:smallCaps/>
          <w:lang w:val="en-IE"/>
        </w:rPr>
        <w:t>Milner A.R., Mack W.</w:t>
      </w:r>
      <w:r w:rsidR="00B66F35" w:rsidRPr="002060A9">
        <w:rPr>
          <w:smallCaps/>
          <w:lang w:val="en-IE"/>
        </w:rPr>
        <w:t>N</w:t>
      </w:r>
      <w:r w:rsidRPr="002060A9">
        <w:rPr>
          <w:smallCaps/>
          <w:lang w:val="en-IE"/>
        </w:rPr>
        <w:t xml:space="preserve">., Coates K., Wood P.R., </w:t>
      </w:r>
      <w:proofErr w:type="spellStart"/>
      <w:r w:rsidRPr="002060A9">
        <w:rPr>
          <w:smallCaps/>
          <w:lang w:val="en-IE"/>
        </w:rPr>
        <w:t>Sheldrick</w:t>
      </w:r>
      <w:proofErr w:type="spellEnd"/>
      <w:r w:rsidRPr="002060A9">
        <w:rPr>
          <w:smallCaps/>
          <w:lang w:val="en-IE"/>
        </w:rPr>
        <w:t xml:space="preserve"> P., Hill J. &amp; Gill I.</w:t>
      </w:r>
      <w:r w:rsidRPr="002060A9">
        <w:rPr>
          <w:lang w:val="en-IE"/>
        </w:rPr>
        <w:t xml:space="preserve"> </w:t>
      </w:r>
      <w:r w:rsidR="003805C0" w:rsidRPr="002060A9">
        <w:rPr>
          <w:lang w:val="en-IE"/>
        </w:rPr>
        <w:t>(</w:t>
      </w:r>
      <w:r w:rsidRPr="002060A9">
        <w:rPr>
          <w:lang w:val="en-IE"/>
        </w:rPr>
        <w:t>1988). The absorbed ELISA for the</w:t>
      </w:r>
      <w:r w:rsidR="00B66F35" w:rsidRPr="002060A9">
        <w:rPr>
          <w:lang w:val="en-IE"/>
        </w:rPr>
        <w:t xml:space="preserve"> diagnosis of </w:t>
      </w:r>
      <w:proofErr w:type="spellStart"/>
      <w:r w:rsidRPr="002060A9">
        <w:rPr>
          <w:lang w:val="en-IE"/>
        </w:rPr>
        <w:t>Johne’s</w:t>
      </w:r>
      <w:proofErr w:type="spellEnd"/>
      <w:r w:rsidRPr="002060A9">
        <w:rPr>
          <w:lang w:val="en-IE"/>
        </w:rPr>
        <w:t xml:space="preserve"> disease in cattle. </w:t>
      </w:r>
      <w:r w:rsidRPr="002060A9">
        <w:rPr>
          <w:i/>
          <w:lang w:val="en-IE"/>
        </w:rPr>
        <w:t>In:</w:t>
      </w:r>
      <w:r w:rsidRPr="002060A9">
        <w:rPr>
          <w:lang w:val="en-IE"/>
        </w:rPr>
        <w:t xml:space="preserve"> </w:t>
      </w:r>
      <w:proofErr w:type="spellStart"/>
      <w:r w:rsidRPr="002060A9">
        <w:rPr>
          <w:lang w:val="en-IE"/>
        </w:rPr>
        <w:t>Johne’s</w:t>
      </w:r>
      <w:proofErr w:type="spellEnd"/>
      <w:r w:rsidRPr="002060A9">
        <w:rPr>
          <w:lang w:val="en-IE"/>
        </w:rPr>
        <w:t xml:space="preserve"> Disease, Milner A. &amp; Wood P., eds. CSIRO Publications, Melbourne, Australia, 158</w:t>
      </w:r>
      <w:r w:rsidR="005F037D" w:rsidRPr="002060A9">
        <w:rPr>
          <w:lang w:val="en-IE"/>
        </w:rPr>
        <w:t>–</w:t>
      </w:r>
      <w:r w:rsidRPr="002060A9">
        <w:rPr>
          <w:lang w:val="en-IE"/>
        </w:rPr>
        <w:t>163.</w:t>
      </w:r>
    </w:p>
    <w:p w14:paraId="5FA86365" w14:textId="77777777" w:rsidR="002F0E4C" w:rsidRPr="002060A9" w:rsidRDefault="002F0E4C" w:rsidP="00F85211">
      <w:pPr>
        <w:pStyle w:val="Ref"/>
        <w:rPr>
          <w:lang w:val="en-IE"/>
        </w:rPr>
      </w:pPr>
      <w:r w:rsidRPr="002060A9">
        <w:rPr>
          <w:smallCaps/>
          <w:lang w:val="en-IE"/>
        </w:rPr>
        <w:t xml:space="preserve">Nielsen S.S. &amp; Toft </w:t>
      </w:r>
      <w:r w:rsidR="001D322B" w:rsidRPr="002060A9">
        <w:rPr>
          <w:smallCaps/>
          <w:lang w:val="en-IE"/>
        </w:rPr>
        <w:t>N</w:t>
      </w:r>
      <w:r w:rsidRPr="002060A9">
        <w:rPr>
          <w:smallCaps/>
          <w:lang w:val="en-IE"/>
        </w:rPr>
        <w:t>.</w:t>
      </w:r>
      <w:r w:rsidRPr="002060A9">
        <w:rPr>
          <w:lang w:val="en-IE"/>
        </w:rPr>
        <w:t xml:space="preserve"> (2008). Ante mortem</w:t>
      </w:r>
      <w:r w:rsidR="001D322B" w:rsidRPr="002060A9">
        <w:rPr>
          <w:lang w:val="en-IE"/>
        </w:rPr>
        <w:t xml:space="preserve"> diagnosis of paratuberculosis</w:t>
      </w:r>
      <w:r w:rsidRPr="002060A9">
        <w:rPr>
          <w:lang w:val="en-IE"/>
        </w:rPr>
        <w:t>: a review of accuracies of ELISA, interferon-</w:t>
      </w:r>
      <w:r w:rsidR="001D322B" w:rsidRPr="002060A9">
        <w:rPr>
          <w:lang w:val="en-IE"/>
        </w:rPr>
        <w:t>gamma</w:t>
      </w:r>
      <w:r w:rsidRPr="002060A9">
        <w:rPr>
          <w:lang w:val="en-IE"/>
        </w:rPr>
        <w:t xml:space="preserve"> assay and faecal culture techniques.</w:t>
      </w:r>
      <w:r w:rsidRPr="002060A9">
        <w:rPr>
          <w:bCs/>
          <w:lang w:val="en-IE"/>
        </w:rPr>
        <w:t xml:space="preserve"> </w:t>
      </w:r>
      <w:r w:rsidR="001D322B" w:rsidRPr="002060A9">
        <w:rPr>
          <w:bCs/>
          <w:i/>
          <w:lang w:val="en-IE"/>
        </w:rPr>
        <w:t xml:space="preserve">Vet. </w:t>
      </w:r>
      <w:proofErr w:type="spellStart"/>
      <w:r w:rsidR="001D322B" w:rsidRPr="002060A9">
        <w:rPr>
          <w:bCs/>
          <w:i/>
          <w:lang w:val="en-IE"/>
        </w:rPr>
        <w:t>Microbi</w:t>
      </w:r>
      <w:r w:rsidR="00BE2B0F" w:rsidRPr="002060A9">
        <w:rPr>
          <w:bCs/>
          <w:i/>
          <w:lang w:val="en-IE"/>
        </w:rPr>
        <w:t>o</w:t>
      </w:r>
      <w:r w:rsidR="001D322B" w:rsidRPr="002060A9">
        <w:rPr>
          <w:bCs/>
          <w:i/>
          <w:lang w:val="en-IE"/>
        </w:rPr>
        <w:t>l</w:t>
      </w:r>
      <w:proofErr w:type="spellEnd"/>
      <w:r w:rsidR="001D322B" w:rsidRPr="002060A9">
        <w:rPr>
          <w:bCs/>
          <w:lang w:val="en-IE"/>
        </w:rPr>
        <w:t xml:space="preserve">., </w:t>
      </w:r>
      <w:r w:rsidRPr="002060A9">
        <w:rPr>
          <w:b/>
          <w:bCs/>
          <w:lang w:val="en-IE"/>
        </w:rPr>
        <w:t>129</w:t>
      </w:r>
      <w:r w:rsidRPr="002060A9">
        <w:rPr>
          <w:lang w:val="en-IE"/>
        </w:rPr>
        <w:t>, 217–235</w:t>
      </w:r>
      <w:r w:rsidR="001D322B" w:rsidRPr="002060A9">
        <w:rPr>
          <w:lang w:val="en-IE"/>
        </w:rPr>
        <w:t>.</w:t>
      </w:r>
    </w:p>
    <w:p w14:paraId="59F9F75A" w14:textId="77777777" w:rsidR="006849A2" w:rsidRPr="002060A9" w:rsidRDefault="006849A2" w:rsidP="00F85211">
      <w:pPr>
        <w:pStyle w:val="Ref"/>
        <w:rPr>
          <w:lang w:val="en-IE"/>
        </w:rPr>
      </w:pPr>
      <w:r w:rsidRPr="002060A9">
        <w:rPr>
          <w:smallCaps/>
          <w:lang w:val="en-IE"/>
        </w:rPr>
        <w:t xml:space="preserve">Parka K.T., </w:t>
      </w:r>
      <w:proofErr w:type="spellStart"/>
      <w:r w:rsidRPr="002060A9">
        <w:rPr>
          <w:smallCaps/>
          <w:lang w:val="en-IE"/>
        </w:rPr>
        <w:t>Allenb</w:t>
      </w:r>
      <w:proofErr w:type="spellEnd"/>
      <w:r w:rsidRPr="002060A9">
        <w:rPr>
          <w:smallCaps/>
          <w:lang w:val="en-IE"/>
        </w:rPr>
        <w:t xml:space="preserve"> A.J. &amp; </w:t>
      </w:r>
      <w:proofErr w:type="spellStart"/>
      <w:r w:rsidRPr="002060A9">
        <w:rPr>
          <w:smallCaps/>
          <w:lang w:val="en-IE"/>
        </w:rPr>
        <w:t>Davisa</w:t>
      </w:r>
      <w:proofErr w:type="spellEnd"/>
      <w:r w:rsidRPr="002060A9">
        <w:rPr>
          <w:smallCaps/>
          <w:lang w:val="en-IE"/>
        </w:rPr>
        <w:t xml:space="preserve"> W.C.</w:t>
      </w:r>
      <w:r w:rsidRPr="002060A9">
        <w:rPr>
          <w:lang w:val="en-IE"/>
        </w:rPr>
        <w:t xml:space="preserve"> </w:t>
      </w:r>
      <w:r w:rsidR="00C538AE" w:rsidRPr="002060A9">
        <w:rPr>
          <w:lang w:val="en-IE"/>
        </w:rPr>
        <w:t xml:space="preserve">(2014). Development of a novel DNA extraction method for identification and quantification of </w:t>
      </w:r>
      <w:r w:rsidR="00C538AE" w:rsidRPr="002060A9">
        <w:rPr>
          <w:i/>
          <w:lang w:val="en-IE"/>
        </w:rPr>
        <w:t>Mycobacterium avium</w:t>
      </w:r>
      <w:r w:rsidR="00C538AE" w:rsidRPr="002060A9">
        <w:rPr>
          <w:lang w:val="en-IE"/>
        </w:rPr>
        <w:t xml:space="preserve"> subsp. </w:t>
      </w:r>
      <w:r w:rsidR="00C538AE" w:rsidRPr="002060A9">
        <w:rPr>
          <w:i/>
          <w:lang w:val="en-IE"/>
        </w:rPr>
        <w:t>paratuberculosis</w:t>
      </w:r>
      <w:r w:rsidR="00C538AE" w:rsidRPr="002060A9">
        <w:rPr>
          <w:lang w:val="en-IE"/>
        </w:rPr>
        <w:t xml:space="preserve"> from tissue samples by real-time PCR. </w:t>
      </w:r>
      <w:r w:rsidR="00C538AE" w:rsidRPr="002060A9">
        <w:rPr>
          <w:i/>
          <w:lang w:val="en-IE"/>
        </w:rPr>
        <w:t xml:space="preserve">J. </w:t>
      </w:r>
      <w:proofErr w:type="spellStart"/>
      <w:r w:rsidR="00C538AE" w:rsidRPr="002060A9">
        <w:rPr>
          <w:i/>
          <w:lang w:val="en-IE"/>
        </w:rPr>
        <w:t>Microbiol</w:t>
      </w:r>
      <w:proofErr w:type="spellEnd"/>
      <w:r w:rsidR="00C538AE" w:rsidRPr="002060A9">
        <w:rPr>
          <w:i/>
          <w:lang w:val="en-IE"/>
        </w:rPr>
        <w:t>. Meth</w:t>
      </w:r>
      <w:r w:rsidRPr="002060A9">
        <w:rPr>
          <w:lang w:val="en-IE"/>
        </w:rPr>
        <w:t>ods,</w:t>
      </w:r>
      <w:r w:rsidR="00C538AE" w:rsidRPr="002060A9">
        <w:rPr>
          <w:lang w:val="en-IE"/>
        </w:rPr>
        <w:t xml:space="preserve"> </w:t>
      </w:r>
      <w:r w:rsidR="00C538AE" w:rsidRPr="002060A9">
        <w:rPr>
          <w:b/>
          <w:lang w:val="en-IE"/>
        </w:rPr>
        <w:t>99</w:t>
      </w:r>
      <w:r w:rsidR="00C538AE" w:rsidRPr="002060A9">
        <w:rPr>
          <w:lang w:val="en-IE"/>
        </w:rPr>
        <w:t>, 58</w:t>
      </w:r>
      <w:r w:rsidRPr="002060A9">
        <w:rPr>
          <w:lang w:val="en-IE"/>
        </w:rPr>
        <w:t>–</w:t>
      </w:r>
      <w:r w:rsidR="00C538AE" w:rsidRPr="002060A9">
        <w:rPr>
          <w:lang w:val="en-IE"/>
        </w:rPr>
        <w:t>65.</w:t>
      </w:r>
    </w:p>
    <w:p w14:paraId="6593137B" w14:textId="77777777" w:rsidR="00B66F35" w:rsidRPr="002060A9" w:rsidRDefault="00B66F35" w:rsidP="00F85211">
      <w:pPr>
        <w:pStyle w:val="Ref"/>
        <w:rPr>
          <w:lang w:val="en-IE"/>
        </w:rPr>
      </w:pPr>
      <w:r w:rsidRPr="002060A9">
        <w:rPr>
          <w:smallCaps/>
          <w:lang w:val="en-IE"/>
        </w:rPr>
        <w:t xml:space="preserve">Salgado M., Manning E.J. &amp; Collins M.T. (2005). </w:t>
      </w:r>
      <w:r w:rsidRPr="002060A9">
        <w:rPr>
          <w:lang w:val="en-IE"/>
        </w:rPr>
        <w:t xml:space="preserve">Performance of a </w:t>
      </w:r>
      <w:proofErr w:type="spellStart"/>
      <w:r w:rsidRPr="002060A9">
        <w:rPr>
          <w:lang w:val="en-IE"/>
        </w:rPr>
        <w:t>Johne’s</w:t>
      </w:r>
      <w:proofErr w:type="spellEnd"/>
      <w:r w:rsidRPr="002060A9">
        <w:rPr>
          <w:lang w:val="en-IE"/>
        </w:rPr>
        <w:t xml:space="preserve"> disease enzyme-linked immunosorbent assay adapted for milk samples from goats. </w:t>
      </w:r>
      <w:r w:rsidRPr="002060A9">
        <w:rPr>
          <w:i/>
          <w:iCs/>
          <w:lang w:val="en-IE"/>
        </w:rPr>
        <w:t>J. Vet. Diagn. Invest</w:t>
      </w:r>
      <w:r w:rsidRPr="002060A9">
        <w:rPr>
          <w:lang w:val="en-IE"/>
        </w:rPr>
        <w:t xml:space="preserve">., </w:t>
      </w:r>
      <w:r w:rsidRPr="002060A9">
        <w:rPr>
          <w:b/>
          <w:bCs/>
          <w:lang w:val="en-IE"/>
        </w:rPr>
        <w:t>17</w:t>
      </w:r>
      <w:r w:rsidRPr="002060A9">
        <w:rPr>
          <w:lang w:val="en-IE"/>
        </w:rPr>
        <w:t>, 350–354.</w:t>
      </w:r>
    </w:p>
    <w:p w14:paraId="565F4314" w14:textId="77777777" w:rsidR="00B66F35" w:rsidRPr="002060A9" w:rsidRDefault="00B66F35" w:rsidP="00F85211">
      <w:pPr>
        <w:pStyle w:val="Ref"/>
        <w:rPr>
          <w:smallCaps/>
          <w:lang w:val="en-IE"/>
        </w:rPr>
      </w:pPr>
      <w:r w:rsidRPr="002060A9">
        <w:rPr>
          <w:smallCaps/>
          <w:lang w:val="en-IE"/>
        </w:rPr>
        <w:t xml:space="preserve">Sergeant E.S., Marshall D.J., </w:t>
      </w:r>
      <w:proofErr w:type="spellStart"/>
      <w:r w:rsidRPr="002060A9">
        <w:rPr>
          <w:smallCaps/>
          <w:lang w:val="en-IE"/>
        </w:rPr>
        <w:t>Eamens</w:t>
      </w:r>
      <w:proofErr w:type="spellEnd"/>
      <w:r w:rsidRPr="002060A9">
        <w:rPr>
          <w:smallCaps/>
          <w:lang w:val="en-IE"/>
        </w:rPr>
        <w:t xml:space="preserve"> G.J., Kearns C. &amp; Whittington R.J. (2003). </w:t>
      </w:r>
      <w:r w:rsidRPr="002060A9">
        <w:rPr>
          <w:lang w:val="en-IE"/>
        </w:rPr>
        <w:t xml:space="preserve">Evaluation of an absorbed ELISA and an agar-gel immuno-diffusion test for ovine paratuberculosis in sheep in Australia. </w:t>
      </w:r>
      <w:r w:rsidRPr="002060A9">
        <w:rPr>
          <w:i/>
          <w:iCs/>
          <w:lang w:val="en-IE"/>
        </w:rPr>
        <w:t>Prev. Vet. Med</w:t>
      </w:r>
      <w:r w:rsidRPr="002060A9">
        <w:rPr>
          <w:lang w:val="en-IE"/>
        </w:rPr>
        <w:t xml:space="preserve">., </w:t>
      </w:r>
      <w:r w:rsidRPr="002060A9">
        <w:rPr>
          <w:b/>
          <w:bCs/>
          <w:lang w:val="en-IE"/>
        </w:rPr>
        <w:t>61</w:t>
      </w:r>
      <w:r w:rsidRPr="002060A9">
        <w:rPr>
          <w:lang w:val="en-IE"/>
        </w:rPr>
        <w:t>, 235–248</w:t>
      </w:r>
      <w:r w:rsidRPr="002060A9">
        <w:rPr>
          <w:smallCaps/>
          <w:lang w:val="en-IE"/>
        </w:rPr>
        <w:t>.</w:t>
      </w:r>
    </w:p>
    <w:p w14:paraId="1F9D379A" w14:textId="77777777" w:rsidR="00B66F35" w:rsidRPr="002060A9" w:rsidRDefault="00B66F35" w:rsidP="00F85211">
      <w:pPr>
        <w:pStyle w:val="Ref"/>
        <w:rPr>
          <w:lang w:val="en-IE"/>
        </w:rPr>
      </w:pPr>
      <w:r w:rsidRPr="002060A9">
        <w:rPr>
          <w:smallCaps/>
          <w:lang w:val="en-IE"/>
        </w:rPr>
        <w:t xml:space="preserve">Sevilla I., Singh S.V., Garrido J.M., Aduriz G., Rodriguez S., </w:t>
      </w:r>
      <w:proofErr w:type="spellStart"/>
      <w:r w:rsidRPr="002060A9">
        <w:rPr>
          <w:smallCaps/>
          <w:lang w:val="en-IE"/>
        </w:rPr>
        <w:t>Geijo</w:t>
      </w:r>
      <w:proofErr w:type="spellEnd"/>
      <w:r w:rsidRPr="002060A9">
        <w:rPr>
          <w:smallCaps/>
          <w:lang w:val="en-IE"/>
        </w:rPr>
        <w:t xml:space="preserve"> M.V., Whittington R.J., Saunders V., Whitlock R.H. &amp; </w:t>
      </w:r>
      <w:proofErr w:type="spellStart"/>
      <w:r w:rsidRPr="002060A9">
        <w:rPr>
          <w:smallCaps/>
          <w:lang w:val="en-IE"/>
        </w:rPr>
        <w:t>Juste</w:t>
      </w:r>
      <w:proofErr w:type="spellEnd"/>
      <w:r w:rsidRPr="002060A9">
        <w:rPr>
          <w:smallCaps/>
          <w:lang w:val="en-IE"/>
        </w:rPr>
        <w:t xml:space="preserve"> R.A.</w:t>
      </w:r>
      <w:r w:rsidRPr="002060A9">
        <w:rPr>
          <w:lang w:val="en-IE"/>
        </w:rPr>
        <w:t xml:space="preserve"> (2005). Molecular typing of </w:t>
      </w:r>
      <w:r w:rsidRPr="002060A9">
        <w:rPr>
          <w:i/>
          <w:lang w:val="en-IE"/>
        </w:rPr>
        <w:t xml:space="preserve">Mycobacterium avium </w:t>
      </w:r>
      <w:r w:rsidRPr="002060A9">
        <w:rPr>
          <w:lang w:val="en-IE"/>
        </w:rPr>
        <w:t xml:space="preserve">subspecies </w:t>
      </w:r>
      <w:r w:rsidRPr="002060A9">
        <w:rPr>
          <w:i/>
          <w:lang w:val="en-IE"/>
        </w:rPr>
        <w:t>paratuberculosis</w:t>
      </w:r>
      <w:r w:rsidRPr="002060A9">
        <w:rPr>
          <w:lang w:val="en-IE"/>
        </w:rPr>
        <w:t xml:space="preserve"> strains from different hosts and regions. </w:t>
      </w:r>
      <w:r w:rsidRPr="002060A9">
        <w:rPr>
          <w:i/>
          <w:iCs/>
          <w:lang w:val="en-IE"/>
        </w:rPr>
        <w:t xml:space="preserve">Rev. sci. tech. Off. int. </w:t>
      </w:r>
      <w:proofErr w:type="spellStart"/>
      <w:r w:rsidRPr="002060A9">
        <w:rPr>
          <w:i/>
          <w:iCs/>
          <w:lang w:val="en-IE"/>
        </w:rPr>
        <w:t>Epiz</w:t>
      </w:r>
      <w:proofErr w:type="spellEnd"/>
      <w:r w:rsidRPr="002060A9">
        <w:rPr>
          <w:i/>
          <w:iCs/>
          <w:lang w:val="en-IE"/>
        </w:rPr>
        <w:t>.,</w:t>
      </w:r>
      <w:r w:rsidRPr="002060A9">
        <w:rPr>
          <w:lang w:val="en-IE"/>
        </w:rPr>
        <w:t xml:space="preserve"> </w:t>
      </w:r>
      <w:r w:rsidRPr="002060A9">
        <w:rPr>
          <w:b/>
          <w:bCs/>
          <w:lang w:val="en-IE"/>
        </w:rPr>
        <w:t>24</w:t>
      </w:r>
      <w:r w:rsidRPr="002060A9">
        <w:rPr>
          <w:lang w:val="en-IE"/>
        </w:rPr>
        <w:t>, 1061–1066.</w:t>
      </w:r>
    </w:p>
    <w:p w14:paraId="6D6AC08C" w14:textId="0AB822B4" w:rsidR="00B66F35" w:rsidRPr="008A6077" w:rsidRDefault="00B66F35" w:rsidP="00F85211">
      <w:pPr>
        <w:pStyle w:val="Ref"/>
        <w:rPr>
          <w:strike/>
          <w:lang w:val="en-IE"/>
        </w:rPr>
      </w:pPr>
      <w:proofErr w:type="spellStart"/>
      <w:r w:rsidRPr="008A6077">
        <w:rPr>
          <w:smallCaps/>
          <w:strike/>
          <w:lang w:val="en-IE"/>
        </w:rPr>
        <w:t>Sockett</w:t>
      </w:r>
      <w:proofErr w:type="spellEnd"/>
      <w:r w:rsidRPr="008A6077">
        <w:rPr>
          <w:smallCaps/>
          <w:strike/>
          <w:lang w:val="en-IE"/>
        </w:rPr>
        <w:t xml:space="preserve"> D.C., Conrad T.A., Thomas C.D. &amp; Collins M.T. </w:t>
      </w:r>
      <w:r w:rsidRPr="008A6077">
        <w:rPr>
          <w:strike/>
          <w:lang w:val="en-IE"/>
        </w:rPr>
        <w:t xml:space="preserve">(1992). Evaluation of four serological tests for bovine paratuberculosis. </w:t>
      </w:r>
      <w:r w:rsidRPr="008A6077">
        <w:rPr>
          <w:i/>
          <w:strike/>
          <w:lang w:val="en-IE"/>
        </w:rPr>
        <w:t xml:space="preserve">J. Clin. </w:t>
      </w:r>
      <w:proofErr w:type="spellStart"/>
      <w:r w:rsidRPr="008A6077">
        <w:rPr>
          <w:i/>
          <w:strike/>
          <w:lang w:val="en-IE"/>
        </w:rPr>
        <w:t>Microbiol</w:t>
      </w:r>
      <w:proofErr w:type="spellEnd"/>
      <w:r w:rsidRPr="008A6077">
        <w:rPr>
          <w:i/>
          <w:strike/>
          <w:lang w:val="en-IE"/>
        </w:rPr>
        <w:t>.</w:t>
      </w:r>
      <w:r w:rsidRPr="008A6077">
        <w:rPr>
          <w:strike/>
          <w:lang w:val="en-IE"/>
        </w:rPr>
        <w:t xml:space="preserve">, </w:t>
      </w:r>
      <w:r w:rsidRPr="008A6077">
        <w:rPr>
          <w:b/>
          <w:strike/>
          <w:lang w:val="en-IE"/>
        </w:rPr>
        <w:t>30</w:t>
      </w:r>
      <w:r w:rsidRPr="008A6077">
        <w:rPr>
          <w:strike/>
          <w:lang w:val="en-IE"/>
        </w:rPr>
        <w:t>, 1134–1139.</w:t>
      </w:r>
    </w:p>
    <w:p w14:paraId="33699E24" w14:textId="77777777" w:rsidR="00B66F35" w:rsidRPr="002060A9" w:rsidRDefault="008168F5" w:rsidP="00F85211">
      <w:pPr>
        <w:pStyle w:val="Ref"/>
        <w:rPr>
          <w:lang w:val="en-IE"/>
        </w:rPr>
      </w:pPr>
      <w:proofErr w:type="spellStart"/>
      <w:r w:rsidRPr="008D3686">
        <w:rPr>
          <w:smallCaps/>
          <w:lang w:val="en-IE"/>
        </w:rPr>
        <w:t>Stabel</w:t>
      </w:r>
      <w:proofErr w:type="spellEnd"/>
      <w:r w:rsidRPr="008D3686">
        <w:rPr>
          <w:smallCaps/>
          <w:lang w:val="en-IE"/>
        </w:rPr>
        <w:t xml:space="preserve"> J.R. </w:t>
      </w:r>
      <w:r w:rsidR="00B66F35" w:rsidRPr="008D3686">
        <w:rPr>
          <w:smallCaps/>
          <w:lang w:val="en-IE"/>
        </w:rPr>
        <w:t xml:space="preserve">&amp; </w:t>
      </w:r>
      <w:proofErr w:type="spellStart"/>
      <w:r w:rsidR="00B66F35" w:rsidRPr="008D3686">
        <w:rPr>
          <w:smallCaps/>
          <w:lang w:val="en-IE"/>
        </w:rPr>
        <w:t>Bannantine</w:t>
      </w:r>
      <w:proofErr w:type="spellEnd"/>
      <w:r w:rsidR="00B66F35" w:rsidRPr="008D3686">
        <w:rPr>
          <w:smallCaps/>
          <w:lang w:val="en-IE"/>
        </w:rPr>
        <w:t xml:space="preserve"> J.P</w:t>
      </w:r>
      <w:r w:rsidR="00B66F35" w:rsidRPr="008D3686">
        <w:rPr>
          <w:lang w:val="en-IE"/>
        </w:rPr>
        <w:t xml:space="preserve">. (2005). </w:t>
      </w:r>
      <w:r w:rsidR="00B66F35" w:rsidRPr="002060A9">
        <w:rPr>
          <w:lang w:val="en-IE"/>
        </w:rPr>
        <w:t>Development of a nested PCR method targeting a unique multicopy element, ISMap02, for detection of</w:t>
      </w:r>
      <w:r w:rsidR="00B66F35" w:rsidRPr="002060A9">
        <w:rPr>
          <w:i/>
          <w:lang w:val="en-IE"/>
        </w:rPr>
        <w:t xml:space="preserve"> Mycobacterium avium</w:t>
      </w:r>
      <w:r w:rsidR="00B66F35" w:rsidRPr="002060A9">
        <w:rPr>
          <w:lang w:val="en-IE"/>
        </w:rPr>
        <w:t xml:space="preserve"> subsp. </w:t>
      </w:r>
      <w:r w:rsidR="00B66F35" w:rsidRPr="002060A9">
        <w:rPr>
          <w:i/>
          <w:lang w:val="en-IE"/>
        </w:rPr>
        <w:t>paratuberculosis</w:t>
      </w:r>
      <w:r w:rsidR="00B66F35" w:rsidRPr="002060A9">
        <w:rPr>
          <w:lang w:val="en-IE"/>
        </w:rPr>
        <w:t xml:space="preserve"> in </w:t>
      </w:r>
      <w:proofErr w:type="spellStart"/>
      <w:r w:rsidR="00B66F35" w:rsidRPr="002060A9">
        <w:rPr>
          <w:lang w:val="en-IE"/>
        </w:rPr>
        <w:t>fecal</w:t>
      </w:r>
      <w:proofErr w:type="spellEnd"/>
      <w:r w:rsidR="00B66F35" w:rsidRPr="002060A9">
        <w:rPr>
          <w:lang w:val="en-IE"/>
        </w:rPr>
        <w:t xml:space="preserve"> samples. </w:t>
      </w:r>
      <w:r w:rsidR="00B66F35" w:rsidRPr="002060A9">
        <w:rPr>
          <w:i/>
          <w:iCs/>
          <w:lang w:val="en-IE"/>
        </w:rPr>
        <w:t xml:space="preserve">J. Clin. </w:t>
      </w:r>
      <w:proofErr w:type="spellStart"/>
      <w:r w:rsidR="00B66F35" w:rsidRPr="002060A9">
        <w:rPr>
          <w:i/>
          <w:iCs/>
          <w:lang w:val="en-IE"/>
        </w:rPr>
        <w:t>Microbiol</w:t>
      </w:r>
      <w:proofErr w:type="spellEnd"/>
      <w:r w:rsidR="00B66F35" w:rsidRPr="002060A9">
        <w:rPr>
          <w:i/>
          <w:iCs/>
          <w:lang w:val="en-IE"/>
        </w:rPr>
        <w:t>.</w:t>
      </w:r>
      <w:r w:rsidR="00B66F35" w:rsidRPr="002060A9">
        <w:rPr>
          <w:lang w:val="en-IE"/>
        </w:rPr>
        <w:t xml:space="preserve">, </w:t>
      </w:r>
      <w:r w:rsidR="00B66F35" w:rsidRPr="002060A9">
        <w:rPr>
          <w:b/>
          <w:bCs/>
          <w:lang w:val="en-IE"/>
        </w:rPr>
        <w:t>43</w:t>
      </w:r>
      <w:r w:rsidR="00B66F35" w:rsidRPr="002060A9">
        <w:rPr>
          <w:lang w:val="en-IE"/>
        </w:rPr>
        <w:t>, 4744–4750.</w:t>
      </w:r>
    </w:p>
    <w:p w14:paraId="75E4987A" w14:textId="77777777" w:rsidR="00B66F35" w:rsidRPr="002060A9" w:rsidRDefault="002E6B22" w:rsidP="00F85211">
      <w:pPr>
        <w:pStyle w:val="Ref"/>
        <w:rPr>
          <w:lang w:val="en-IE"/>
        </w:rPr>
      </w:pPr>
      <w:proofErr w:type="spellStart"/>
      <w:r>
        <w:rPr>
          <w:smallCaps/>
          <w:lang w:val="en-IE"/>
        </w:rPr>
        <w:t>Strommenger</w:t>
      </w:r>
      <w:proofErr w:type="spellEnd"/>
      <w:r>
        <w:rPr>
          <w:smallCaps/>
          <w:lang w:val="en-IE"/>
        </w:rPr>
        <w:t xml:space="preserve"> B., Stevenson K. &amp; </w:t>
      </w:r>
      <w:r w:rsidR="00B66F35" w:rsidRPr="002060A9">
        <w:rPr>
          <w:smallCaps/>
          <w:lang w:val="en-IE"/>
        </w:rPr>
        <w:t>Gerlach G.F.</w:t>
      </w:r>
      <w:r w:rsidR="00B66F35" w:rsidRPr="002060A9">
        <w:rPr>
          <w:lang w:val="en-IE"/>
        </w:rPr>
        <w:t xml:space="preserve"> (2001). Isolation and diagnostic potential of ISMav2, a novel insertion sequence-like element from</w:t>
      </w:r>
      <w:r w:rsidR="00B66F35" w:rsidRPr="002060A9">
        <w:rPr>
          <w:i/>
          <w:lang w:val="en-IE"/>
        </w:rPr>
        <w:t xml:space="preserve"> Mycobacterium avium</w:t>
      </w:r>
      <w:r w:rsidR="00B66F35" w:rsidRPr="002060A9">
        <w:rPr>
          <w:lang w:val="en-IE"/>
        </w:rPr>
        <w:t xml:space="preserve"> subspecies </w:t>
      </w:r>
      <w:r w:rsidR="00B66F35" w:rsidRPr="002060A9">
        <w:rPr>
          <w:i/>
          <w:lang w:val="en-IE"/>
        </w:rPr>
        <w:t>paratuberculosis</w:t>
      </w:r>
      <w:r w:rsidR="00B66F35" w:rsidRPr="002060A9">
        <w:rPr>
          <w:lang w:val="en-IE"/>
        </w:rPr>
        <w:t xml:space="preserve">. </w:t>
      </w:r>
      <w:r w:rsidR="00B66F35" w:rsidRPr="002060A9">
        <w:rPr>
          <w:i/>
          <w:iCs/>
          <w:lang w:val="en-IE"/>
        </w:rPr>
        <w:t xml:space="preserve">FEMS </w:t>
      </w:r>
      <w:proofErr w:type="spellStart"/>
      <w:r w:rsidR="00B66F35" w:rsidRPr="002060A9">
        <w:rPr>
          <w:i/>
          <w:iCs/>
          <w:lang w:val="en-IE"/>
        </w:rPr>
        <w:t>Microbiol</w:t>
      </w:r>
      <w:proofErr w:type="spellEnd"/>
      <w:r w:rsidR="00B66F35" w:rsidRPr="002060A9">
        <w:rPr>
          <w:i/>
          <w:iCs/>
          <w:lang w:val="en-IE"/>
        </w:rPr>
        <w:t>. Lett</w:t>
      </w:r>
      <w:r w:rsidR="00B66F35" w:rsidRPr="002060A9">
        <w:rPr>
          <w:lang w:val="en-IE"/>
        </w:rPr>
        <w:t xml:space="preserve">., </w:t>
      </w:r>
      <w:r w:rsidR="00B66F35" w:rsidRPr="002060A9">
        <w:rPr>
          <w:b/>
          <w:bCs/>
          <w:lang w:val="en-IE"/>
        </w:rPr>
        <w:t>196</w:t>
      </w:r>
      <w:r w:rsidR="00B66F35" w:rsidRPr="002060A9">
        <w:rPr>
          <w:lang w:val="en-IE"/>
        </w:rPr>
        <w:t>, 31–37.</w:t>
      </w:r>
    </w:p>
    <w:p w14:paraId="5DBA7282" w14:textId="77777777" w:rsidR="00B66F35" w:rsidRPr="002060A9" w:rsidRDefault="00B66F35" w:rsidP="00F85211">
      <w:pPr>
        <w:pStyle w:val="Ref"/>
        <w:rPr>
          <w:lang w:val="en-IE"/>
        </w:rPr>
      </w:pPr>
      <w:r w:rsidRPr="002060A9">
        <w:rPr>
          <w:smallCaps/>
          <w:lang w:val="en-IE"/>
        </w:rPr>
        <w:t>Sweeney R.W., Whitlock R.H., Buckley C.L &amp; Spencer P.A</w:t>
      </w:r>
      <w:r w:rsidRPr="002060A9">
        <w:rPr>
          <w:lang w:val="en-IE"/>
        </w:rPr>
        <w:t xml:space="preserve">. (1995). Evaluation of a commercial enzyme-linked immunosorbent assay for the diagnosis of paratuberculosis in dairy cattle. </w:t>
      </w:r>
      <w:r w:rsidRPr="002060A9">
        <w:rPr>
          <w:i/>
          <w:iCs/>
          <w:lang w:val="en-IE"/>
        </w:rPr>
        <w:t>J. Vet. Diagn. Invest</w:t>
      </w:r>
      <w:r w:rsidRPr="002060A9">
        <w:rPr>
          <w:lang w:val="en-IE"/>
        </w:rPr>
        <w:t xml:space="preserve">., </w:t>
      </w:r>
      <w:r w:rsidRPr="002060A9">
        <w:rPr>
          <w:b/>
          <w:lang w:val="en-IE"/>
        </w:rPr>
        <w:t>7</w:t>
      </w:r>
      <w:r w:rsidRPr="002060A9">
        <w:rPr>
          <w:lang w:val="en-IE"/>
        </w:rPr>
        <w:t>, 488–493.</w:t>
      </w:r>
    </w:p>
    <w:p w14:paraId="54C7DE89" w14:textId="77777777" w:rsidR="00B66F35" w:rsidRPr="00D7396C" w:rsidRDefault="00B66F35" w:rsidP="00F85211">
      <w:pPr>
        <w:pStyle w:val="Ref"/>
        <w:rPr>
          <w:lang w:val="en-IE"/>
        </w:rPr>
      </w:pPr>
      <w:proofErr w:type="spellStart"/>
      <w:r w:rsidRPr="002060A9">
        <w:rPr>
          <w:smallCaps/>
          <w:lang w:val="en-IE"/>
        </w:rPr>
        <w:t>Thorel</w:t>
      </w:r>
      <w:proofErr w:type="spellEnd"/>
      <w:r w:rsidRPr="002060A9">
        <w:rPr>
          <w:smallCaps/>
          <w:lang w:val="en-IE"/>
        </w:rPr>
        <w:t xml:space="preserve"> M.F, </w:t>
      </w:r>
      <w:proofErr w:type="spellStart"/>
      <w:r w:rsidRPr="002060A9">
        <w:rPr>
          <w:smallCaps/>
          <w:lang w:val="en-IE"/>
        </w:rPr>
        <w:t>Krichevsky</w:t>
      </w:r>
      <w:proofErr w:type="spellEnd"/>
      <w:r w:rsidRPr="002060A9">
        <w:rPr>
          <w:smallCaps/>
          <w:lang w:val="en-IE"/>
        </w:rPr>
        <w:t xml:space="preserve"> M. &amp; Vincent Levy-</w:t>
      </w:r>
      <w:proofErr w:type="spellStart"/>
      <w:r w:rsidRPr="002060A9">
        <w:rPr>
          <w:smallCaps/>
          <w:lang w:val="en-IE"/>
        </w:rPr>
        <w:t>Frebault</w:t>
      </w:r>
      <w:proofErr w:type="spellEnd"/>
      <w:r w:rsidRPr="002060A9">
        <w:rPr>
          <w:smallCaps/>
          <w:lang w:val="en-IE"/>
        </w:rPr>
        <w:t xml:space="preserve"> V.</w:t>
      </w:r>
      <w:r w:rsidRPr="002060A9">
        <w:rPr>
          <w:lang w:val="en-IE"/>
        </w:rPr>
        <w:t xml:space="preserve"> (1990). Numerical taxonomy of mycobactin-dependent mycobacteria, emended description of </w:t>
      </w:r>
      <w:r w:rsidRPr="002060A9">
        <w:rPr>
          <w:i/>
          <w:lang w:val="en-IE"/>
        </w:rPr>
        <w:t>Mycobacterium avium</w:t>
      </w:r>
      <w:r w:rsidRPr="002060A9">
        <w:rPr>
          <w:lang w:val="en-IE"/>
        </w:rPr>
        <w:t xml:space="preserve"> subsp. </w:t>
      </w:r>
      <w:r w:rsidRPr="002060A9">
        <w:rPr>
          <w:i/>
          <w:lang w:val="en-IE"/>
        </w:rPr>
        <w:t>avium</w:t>
      </w:r>
      <w:r w:rsidRPr="002060A9">
        <w:rPr>
          <w:lang w:val="en-IE"/>
        </w:rPr>
        <w:t xml:space="preserve"> subsp. </w:t>
      </w:r>
      <w:proofErr w:type="spellStart"/>
      <w:r w:rsidRPr="002060A9">
        <w:rPr>
          <w:lang w:val="en-IE"/>
        </w:rPr>
        <w:t>nov.</w:t>
      </w:r>
      <w:proofErr w:type="spellEnd"/>
      <w:r w:rsidRPr="002060A9">
        <w:rPr>
          <w:lang w:val="en-IE"/>
        </w:rPr>
        <w:t xml:space="preserve">, </w:t>
      </w:r>
      <w:r w:rsidRPr="002060A9">
        <w:rPr>
          <w:i/>
          <w:lang w:val="en-IE"/>
        </w:rPr>
        <w:t>Mycobacterium avium</w:t>
      </w:r>
      <w:r w:rsidRPr="002060A9">
        <w:rPr>
          <w:lang w:val="en-IE"/>
        </w:rPr>
        <w:t xml:space="preserve"> subsp. </w:t>
      </w:r>
      <w:r w:rsidRPr="002060A9">
        <w:rPr>
          <w:i/>
          <w:lang w:val="en-IE"/>
        </w:rPr>
        <w:t>paratuberculosis</w:t>
      </w:r>
      <w:r w:rsidRPr="002060A9">
        <w:rPr>
          <w:lang w:val="en-IE"/>
        </w:rPr>
        <w:t xml:space="preserve"> subsp. </w:t>
      </w:r>
      <w:proofErr w:type="spellStart"/>
      <w:r w:rsidRPr="002060A9">
        <w:rPr>
          <w:lang w:val="en-IE"/>
        </w:rPr>
        <w:t>nov.</w:t>
      </w:r>
      <w:proofErr w:type="spellEnd"/>
      <w:r w:rsidRPr="002060A9">
        <w:rPr>
          <w:lang w:val="en-IE"/>
        </w:rPr>
        <w:t>, and</w:t>
      </w:r>
      <w:r w:rsidRPr="002060A9">
        <w:rPr>
          <w:i/>
          <w:lang w:val="en-IE"/>
        </w:rPr>
        <w:t xml:space="preserve"> Mycobacterium avium</w:t>
      </w:r>
      <w:r w:rsidRPr="002060A9">
        <w:rPr>
          <w:lang w:val="en-IE"/>
        </w:rPr>
        <w:t xml:space="preserve"> subsp. </w:t>
      </w:r>
      <w:proofErr w:type="spellStart"/>
      <w:r w:rsidRPr="002060A9">
        <w:rPr>
          <w:i/>
          <w:lang w:val="en-IE"/>
        </w:rPr>
        <w:t>silvaticum</w:t>
      </w:r>
      <w:proofErr w:type="spellEnd"/>
      <w:r w:rsidRPr="002060A9">
        <w:rPr>
          <w:lang w:val="en-IE"/>
        </w:rPr>
        <w:t xml:space="preserve"> subsp. </w:t>
      </w:r>
      <w:proofErr w:type="spellStart"/>
      <w:r w:rsidRPr="002060A9">
        <w:rPr>
          <w:lang w:val="en-IE"/>
        </w:rPr>
        <w:t>nov.</w:t>
      </w:r>
      <w:proofErr w:type="spellEnd"/>
      <w:r w:rsidRPr="002060A9">
        <w:rPr>
          <w:lang w:val="en-IE"/>
        </w:rPr>
        <w:t xml:space="preserve"> </w:t>
      </w:r>
      <w:r w:rsidRPr="002060A9">
        <w:rPr>
          <w:i/>
          <w:lang w:val="en-IE"/>
        </w:rPr>
        <w:t xml:space="preserve">Int. J. Syst. </w:t>
      </w:r>
      <w:proofErr w:type="spellStart"/>
      <w:r w:rsidRPr="00D7396C">
        <w:rPr>
          <w:i/>
          <w:lang w:val="en-IE"/>
        </w:rPr>
        <w:t>Bacteriol</w:t>
      </w:r>
      <w:proofErr w:type="spellEnd"/>
      <w:r w:rsidRPr="00D7396C">
        <w:rPr>
          <w:i/>
          <w:lang w:val="en-IE"/>
        </w:rPr>
        <w:t>.</w:t>
      </w:r>
      <w:r w:rsidRPr="00D7396C">
        <w:rPr>
          <w:lang w:val="en-IE"/>
        </w:rPr>
        <w:t xml:space="preserve">, </w:t>
      </w:r>
      <w:r w:rsidRPr="00D7396C">
        <w:rPr>
          <w:b/>
          <w:lang w:val="en-IE"/>
        </w:rPr>
        <w:t>40</w:t>
      </w:r>
      <w:r w:rsidRPr="00D7396C">
        <w:rPr>
          <w:lang w:val="en-IE"/>
        </w:rPr>
        <w:t>, 254–260.</w:t>
      </w:r>
    </w:p>
    <w:p w14:paraId="12B10A89" w14:textId="4C1C473C" w:rsidR="00B66F35" w:rsidRDefault="00B66F35" w:rsidP="00F85211">
      <w:pPr>
        <w:pStyle w:val="Ref"/>
        <w:rPr>
          <w:lang w:val="en-IE"/>
        </w:rPr>
      </w:pPr>
      <w:proofErr w:type="spellStart"/>
      <w:r w:rsidRPr="002060A9">
        <w:rPr>
          <w:smallCaps/>
          <w:lang w:val="en-IE"/>
        </w:rPr>
        <w:t>Vansnick</w:t>
      </w:r>
      <w:proofErr w:type="spellEnd"/>
      <w:r w:rsidRPr="002060A9">
        <w:rPr>
          <w:smallCaps/>
          <w:lang w:val="en-IE"/>
        </w:rPr>
        <w:t xml:space="preserve"> E., De </w:t>
      </w:r>
      <w:proofErr w:type="spellStart"/>
      <w:r w:rsidRPr="002060A9">
        <w:rPr>
          <w:smallCaps/>
          <w:lang w:val="en-IE"/>
        </w:rPr>
        <w:t>Rijk</w:t>
      </w:r>
      <w:proofErr w:type="spellEnd"/>
      <w:r w:rsidRPr="002060A9">
        <w:rPr>
          <w:smallCaps/>
          <w:lang w:val="en-IE"/>
        </w:rPr>
        <w:t xml:space="preserve"> P., Vercamm</w:t>
      </w:r>
      <w:r w:rsidR="00E85A02">
        <w:rPr>
          <w:smallCaps/>
          <w:lang w:val="en-IE"/>
        </w:rPr>
        <w:t xml:space="preserve">en F., </w:t>
      </w:r>
      <w:proofErr w:type="spellStart"/>
      <w:r w:rsidR="00E85A02">
        <w:rPr>
          <w:smallCaps/>
          <w:lang w:val="en-IE"/>
        </w:rPr>
        <w:t>Geysen</w:t>
      </w:r>
      <w:proofErr w:type="spellEnd"/>
      <w:r w:rsidR="00E85A02">
        <w:rPr>
          <w:smallCaps/>
          <w:lang w:val="en-IE"/>
        </w:rPr>
        <w:t xml:space="preserve"> D., Rigouts L. &amp; </w:t>
      </w:r>
      <w:proofErr w:type="spellStart"/>
      <w:r w:rsidRPr="002060A9">
        <w:rPr>
          <w:smallCaps/>
          <w:lang w:val="en-IE"/>
        </w:rPr>
        <w:t>Portaels</w:t>
      </w:r>
      <w:proofErr w:type="spellEnd"/>
      <w:r w:rsidRPr="002060A9">
        <w:rPr>
          <w:smallCaps/>
          <w:lang w:val="en-IE"/>
        </w:rPr>
        <w:t xml:space="preserve"> F</w:t>
      </w:r>
      <w:r w:rsidRPr="002060A9">
        <w:rPr>
          <w:lang w:val="en-IE"/>
        </w:rPr>
        <w:t xml:space="preserve">. (2004). Newly developed primers for the detection of </w:t>
      </w:r>
      <w:r w:rsidRPr="002060A9">
        <w:rPr>
          <w:i/>
          <w:lang w:val="en-IE"/>
        </w:rPr>
        <w:t>Mycobacterium avium</w:t>
      </w:r>
      <w:r w:rsidRPr="002060A9">
        <w:rPr>
          <w:lang w:val="en-IE"/>
        </w:rPr>
        <w:t xml:space="preserve"> subspecies </w:t>
      </w:r>
      <w:r w:rsidRPr="002060A9">
        <w:rPr>
          <w:i/>
          <w:lang w:val="en-IE"/>
        </w:rPr>
        <w:t>paratuberculosis</w:t>
      </w:r>
      <w:r w:rsidRPr="002060A9">
        <w:rPr>
          <w:lang w:val="en-IE"/>
        </w:rPr>
        <w:t xml:space="preserve">. </w:t>
      </w:r>
      <w:r w:rsidRPr="002060A9">
        <w:rPr>
          <w:i/>
          <w:iCs/>
          <w:lang w:val="en-IE"/>
        </w:rPr>
        <w:t xml:space="preserve">Vet. </w:t>
      </w:r>
      <w:proofErr w:type="spellStart"/>
      <w:r w:rsidRPr="002060A9">
        <w:rPr>
          <w:i/>
          <w:iCs/>
          <w:lang w:val="en-IE"/>
        </w:rPr>
        <w:t>Microbiol</w:t>
      </w:r>
      <w:proofErr w:type="spellEnd"/>
      <w:r w:rsidRPr="002060A9">
        <w:rPr>
          <w:lang w:val="en-IE"/>
        </w:rPr>
        <w:t xml:space="preserve">., </w:t>
      </w:r>
      <w:r w:rsidRPr="002060A9">
        <w:rPr>
          <w:b/>
          <w:bCs/>
          <w:lang w:val="en-IE"/>
        </w:rPr>
        <w:t>100</w:t>
      </w:r>
      <w:r w:rsidRPr="002060A9">
        <w:rPr>
          <w:lang w:val="en-IE"/>
        </w:rPr>
        <w:t>, 197–204.</w:t>
      </w:r>
    </w:p>
    <w:p w14:paraId="73E59D63" w14:textId="7D064C43" w:rsidR="000F1D95" w:rsidRPr="00412F26" w:rsidRDefault="000F1D95" w:rsidP="00F85211">
      <w:pPr>
        <w:pStyle w:val="Ref"/>
        <w:rPr>
          <w:u w:val="double"/>
          <w:lang w:val="en-IE"/>
        </w:rPr>
      </w:pPr>
      <w:r w:rsidRPr="00C92B04">
        <w:rPr>
          <w:smallCaps/>
          <w:highlight w:val="yellow"/>
          <w:u w:val="double"/>
          <w:lang w:val="en-IE"/>
        </w:rPr>
        <w:t xml:space="preserve">Vary P.H., </w:t>
      </w:r>
      <w:r w:rsidR="00C92B04" w:rsidRPr="00C92B04">
        <w:rPr>
          <w:rFonts w:eastAsiaTheme="majorEastAsia" w:cs="Times New Roman"/>
          <w:smallCaps/>
          <w:highlight w:val="yellow"/>
          <w:u w:val="double"/>
        </w:rPr>
        <w:t>Andersen P.R.</w:t>
      </w:r>
      <w:r w:rsidR="00C92B04" w:rsidRPr="00C92B04">
        <w:rPr>
          <w:smallCaps/>
          <w:highlight w:val="yellow"/>
          <w:u w:val="double"/>
        </w:rPr>
        <w:t xml:space="preserve">, </w:t>
      </w:r>
      <w:r w:rsidR="00C92B04" w:rsidRPr="00C92B04">
        <w:rPr>
          <w:rFonts w:eastAsiaTheme="majorEastAsia" w:cs="Times New Roman"/>
          <w:smallCaps/>
          <w:highlight w:val="yellow"/>
          <w:u w:val="double"/>
        </w:rPr>
        <w:t>Green E.</w:t>
      </w:r>
      <w:r w:rsidR="00C92B04" w:rsidRPr="00C92B04">
        <w:rPr>
          <w:smallCaps/>
          <w:highlight w:val="yellow"/>
          <w:u w:val="double"/>
        </w:rPr>
        <w:t xml:space="preserve">, </w:t>
      </w:r>
      <w:r w:rsidR="00C92B04" w:rsidRPr="00C92B04">
        <w:rPr>
          <w:rFonts w:eastAsiaTheme="majorEastAsia" w:cs="Times New Roman"/>
          <w:smallCaps/>
          <w:highlight w:val="yellow"/>
          <w:u w:val="double"/>
        </w:rPr>
        <w:t>Hermon-Taylor J. &amp;</w:t>
      </w:r>
      <w:r w:rsidR="00C92B04" w:rsidRPr="00C92B04">
        <w:rPr>
          <w:smallCaps/>
          <w:highlight w:val="yellow"/>
          <w:u w:val="double"/>
        </w:rPr>
        <w:t xml:space="preserve"> </w:t>
      </w:r>
      <w:r w:rsidR="00C92B04" w:rsidRPr="00C92B04">
        <w:rPr>
          <w:rFonts w:eastAsiaTheme="majorEastAsia" w:cs="Times New Roman"/>
          <w:smallCaps/>
          <w:highlight w:val="yellow"/>
          <w:u w:val="double"/>
        </w:rPr>
        <w:t>McFadden J.J</w:t>
      </w:r>
      <w:r w:rsidR="00C92B04" w:rsidRPr="00C92B04">
        <w:rPr>
          <w:smallCaps/>
          <w:highlight w:val="yellow"/>
          <w:u w:val="double"/>
        </w:rPr>
        <w:t>.</w:t>
      </w:r>
      <w:r w:rsidR="00C92B04" w:rsidRPr="00C92B04">
        <w:rPr>
          <w:highlight w:val="yellow"/>
          <w:u w:val="double"/>
          <w:lang w:val="en-AU"/>
        </w:rPr>
        <w:t xml:space="preserve"> </w:t>
      </w:r>
      <w:r w:rsidRPr="00C92B04">
        <w:rPr>
          <w:highlight w:val="yellow"/>
          <w:u w:val="double"/>
          <w:lang w:val="en-AU"/>
        </w:rPr>
        <w:t xml:space="preserve">(1990). Use of highly specific DNA probes and the polymerase chain reaction to detect </w:t>
      </w:r>
      <w:r w:rsidRPr="00C92B04">
        <w:rPr>
          <w:i/>
          <w:iCs/>
          <w:highlight w:val="yellow"/>
          <w:u w:val="double"/>
          <w:lang w:val="en-AU"/>
        </w:rPr>
        <w:t>Mycobacterium paratuberculosis</w:t>
      </w:r>
      <w:r w:rsidRPr="00C92B04">
        <w:rPr>
          <w:highlight w:val="yellow"/>
          <w:u w:val="double"/>
          <w:lang w:val="en-AU"/>
        </w:rPr>
        <w:t xml:space="preserve"> in </w:t>
      </w:r>
      <w:proofErr w:type="spellStart"/>
      <w:r w:rsidRPr="00C92B04">
        <w:rPr>
          <w:highlight w:val="yellow"/>
          <w:u w:val="double"/>
          <w:lang w:val="en-AU"/>
        </w:rPr>
        <w:t>Johne's</w:t>
      </w:r>
      <w:proofErr w:type="spellEnd"/>
      <w:r w:rsidRPr="00C92B04">
        <w:rPr>
          <w:highlight w:val="yellow"/>
          <w:u w:val="double"/>
          <w:lang w:val="en-AU"/>
        </w:rPr>
        <w:t xml:space="preserve"> disease. </w:t>
      </w:r>
      <w:r w:rsidRPr="00C92B04">
        <w:rPr>
          <w:i/>
          <w:iCs/>
          <w:highlight w:val="yellow"/>
          <w:u w:val="double"/>
          <w:lang w:val="en-AU"/>
        </w:rPr>
        <w:t>J</w:t>
      </w:r>
      <w:r w:rsidR="00412F26" w:rsidRPr="00C92B04">
        <w:rPr>
          <w:i/>
          <w:iCs/>
          <w:highlight w:val="yellow"/>
          <w:u w:val="double"/>
          <w:lang w:val="en-AU"/>
        </w:rPr>
        <w:t>.</w:t>
      </w:r>
      <w:r w:rsidRPr="00C92B04">
        <w:rPr>
          <w:i/>
          <w:iCs/>
          <w:highlight w:val="yellow"/>
          <w:u w:val="double"/>
          <w:lang w:val="en-AU"/>
        </w:rPr>
        <w:t xml:space="preserve"> Clin</w:t>
      </w:r>
      <w:r w:rsidR="00412F26" w:rsidRPr="00C92B04">
        <w:rPr>
          <w:i/>
          <w:iCs/>
          <w:highlight w:val="yellow"/>
          <w:u w:val="double"/>
          <w:lang w:val="en-AU"/>
        </w:rPr>
        <w:t>.</w:t>
      </w:r>
      <w:r w:rsidRPr="00C92B04">
        <w:rPr>
          <w:i/>
          <w:iCs/>
          <w:highlight w:val="yellow"/>
          <w:u w:val="double"/>
          <w:lang w:val="en-AU"/>
        </w:rPr>
        <w:t xml:space="preserve"> Microbiol</w:t>
      </w:r>
      <w:r w:rsidR="00412F26" w:rsidRPr="00C92B04">
        <w:rPr>
          <w:highlight w:val="yellow"/>
          <w:u w:val="double"/>
          <w:lang w:val="en-AU"/>
        </w:rPr>
        <w:t>.,</w:t>
      </w:r>
      <w:r w:rsidRPr="00C92B04">
        <w:rPr>
          <w:highlight w:val="yellow"/>
          <w:u w:val="double"/>
          <w:lang w:val="en-AU"/>
        </w:rPr>
        <w:t xml:space="preserve"> </w:t>
      </w:r>
      <w:r w:rsidRPr="00C92B04">
        <w:rPr>
          <w:b/>
          <w:highlight w:val="yellow"/>
          <w:u w:val="double"/>
          <w:lang w:val="en-AU"/>
        </w:rPr>
        <w:t>28</w:t>
      </w:r>
      <w:r w:rsidR="00412F26" w:rsidRPr="00C92B04">
        <w:rPr>
          <w:highlight w:val="yellow"/>
          <w:u w:val="double"/>
          <w:lang w:val="en-AU"/>
        </w:rPr>
        <w:t>,</w:t>
      </w:r>
      <w:r w:rsidRPr="00C92B04">
        <w:rPr>
          <w:highlight w:val="yellow"/>
          <w:u w:val="double"/>
          <w:lang w:val="en-AU"/>
        </w:rPr>
        <w:t xml:space="preserve"> 933</w:t>
      </w:r>
      <w:r w:rsidR="00C92B04" w:rsidRPr="00C92B04">
        <w:rPr>
          <w:highlight w:val="yellow"/>
          <w:u w:val="double"/>
          <w:lang w:val="en-AU"/>
        </w:rPr>
        <w:t>–937</w:t>
      </w:r>
      <w:r w:rsidR="00412F26" w:rsidRPr="00C92B04">
        <w:rPr>
          <w:highlight w:val="yellow"/>
          <w:u w:val="double"/>
          <w:lang w:val="en-AU"/>
        </w:rPr>
        <w:t>.</w:t>
      </w:r>
    </w:p>
    <w:p w14:paraId="2CEDD84D" w14:textId="77777777" w:rsidR="00E73E2B" w:rsidRPr="002060A9" w:rsidRDefault="00E73E2B" w:rsidP="00F85211">
      <w:pPr>
        <w:pStyle w:val="Ref"/>
        <w:rPr>
          <w:lang w:val="en-IE"/>
        </w:rPr>
      </w:pPr>
      <w:r w:rsidRPr="002060A9">
        <w:rPr>
          <w:smallCaps/>
          <w:lang w:val="en-IE"/>
        </w:rPr>
        <w:t>Whitlock R.H., Rosenberger A.E., Sweeney R.W., Hutchinson L.J.</w:t>
      </w:r>
      <w:r w:rsidRPr="002060A9">
        <w:rPr>
          <w:caps/>
          <w:lang w:val="en-IE"/>
        </w:rPr>
        <w:t xml:space="preserve"> </w:t>
      </w:r>
      <w:r w:rsidR="003805C0" w:rsidRPr="002060A9">
        <w:rPr>
          <w:caps/>
          <w:lang w:val="en-IE"/>
        </w:rPr>
        <w:t>(</w:t>
      </w:r>
      <w:r w:rsidRPr="002060A9">
        <w:rPr>
          <w:caps/>
          <w:lang w:val="en-IE"/>
        </w:rPr>
        <w:t xml:space="preserve">1991). </w:t>
      </w:r>
      <w:r w:rsidRPr="002060A9">
        <w:rPr>
          <w:lang w:val="en-IE"/>
        </w:rPr>
        <w:t xml:space="preserve">Culture techniques and media constituents for the isolation of </w:t>
      </w:r>
      <w:r w:rsidRPr="002060A9">
        <w:rPr>
          <w:i/>
          <w:lang w:val="en-IE"/>
        </w:rPr>
        <w:t>Mycobacterium</w:t>
      </w:r>
      <w:r w:rsidRPr="002060A9">
        <w:rPr>
          <w:lang w:val="en-IE"/>
        </w:rPr>
        <w:t xml:space="preserve"> </w:t>
      </w:r>
      <w:r w:rsidRPr="002060A9">
        <w:rPr>
          <w:i/>
          <w:lang w:val="en-IE"/>
        </w:rPr>
        <w:t>paratuberculosis</w:t>
      </w:r>
      <w:r w:rsidRPr="002060A9">
        <w:rPr>
          <w:lang w:val="en-IE"/>
        </w:rPr>
        <w:t xml:space="preserve"> from bovine </w:t>
      </w:r>
      <w:proofErr w:type="spellStart"/>
      <w:r w:rsidRPr="002060A9">
        <w:rPr>
          <w:lang w:val="en-IE"/>
        </w:rPr>
        <w:t>fecal</w:t>
      </w:r>
      <w:proofErr w:type="spellEnd"/>
      <w:r w:rsidRPr="002060A9">
        <w:rPr>
          <w:lang w:val="en-IE"/>
        </w:rPr>
        <w:t xml:space="preserve"> samples. Proceedings of the Third International Colloquium on Paratuberculosis. International Association for Paratuberculosis, Providence, USA, 94</w:t>
      </w:r>
      <w:r w:rsidR="005F037D" w:rsidRPr="002060A9">
        <w:rPr>
          <w:lang w:val="en-IE"/>
        </w:rPr>
        <w:t>–</w:t>
      </w:r>
      <w:r w:rsidRPr="002060A9">
        <w:rPr>
          <w:lang w:val="en-IE"/>
        </w:rPr>
        <w:t>111.</w:t>
      </w:r>
    </w:p>
    <w:p w14:paraId="3B8FD418" w14:textId="77777777" w:rsidR="00B66F35" w:rsidRPr="002060A9" w:rsidRDefault="00B66F35" w:rsidP="00F85211">
      <w:pPr>
        <w:pStyle w:val="Ref"/>
        <w:rPr>
          <w:lang w:val="en-IE"/>
        </w:rPr>
      </w:pPr>
      <w:r w:rsidRPr="002060A9">
        <w:rPr>
          <w:smallCaps/>
          <w:lang w:val="en-IE"/>
        </w:rPr>
        <w:lastRenderedPageBreak/>
        <w:t xml:space="preserve">Whitlock R.H., Wells S.J., Sweeney R.W. &amp; </w:t>
      </w:r>
      <w:proofErr w:type="spellStart"/>
      <w:r w:rsidRPr="002060A9">
        <w:rPr>
          <w:smallCaps/>
          <w:lang w:val="en-IE"/>
        </w:rPr>
        <w:t>Tiem</w:t>
      </w:r>
      <w:proofErr w:type="spellEnd"/>
      <w:r w:rsidRPr="002060A9">
        <w:rPr>
          <w:smallCaps/>
          <w:lang w:val="en-IE"/>
        </w:rPr>
        <w:t xml:space="preserve"> J. Van</w:t>
      </w:r>
      <w:r w:rsidRPr="002060A9">
        <w:rPr>
          <w:lang w:val="en-IE"/>
        </w:rPr>
        <w:t xml:space="preserve"> (2000). ELISA and </w:t>
      </w:r>
      <w:proofErr w:type="spellStart"/>
      <w:r w:rsidRPr="002060A9">
        <w:rPr>
          <w:lang w:val="en-IE"/>
        </w:rPr>
        <w:t>fecal</w:t>
      </w:r>
      <w:proofErr w:type="spellEnd"/>
      <w:r w:rsidRPr="002060A9">
        <w:rPr>
          <w:lang w:val="en-IE"/>
        </w:rPr>
        <w:t xml:space="preserve"> culture for paratuberculosis (</w:t>
      </w:r>
      <w:proofErr w:type="spellStart"/>
      <w:r w:rsidRPr="002060A9">
        <w:rPr>
          <w:lang w:val="en-IE"/>
        </w:rPr>
        <w:t>Johne’s</w:t>
      </w:r>
      <w:proofErr w:type="spellEnd"/>
      <w:r w:rsidRPr="002060A9">
        <w:rPr>
          <w:lang w:val="en-IE"/>
        </w:rPr>
        <w:t xml:space="preserve"> disease): sensitivity and specificity of each method. </w:t>
      </w:r>
      <w:r w:rsidRPr="002060A9">
        <w:rPr>
          <w:i/>
          <w:iCs/>
          <w:lang w:val="en-IE"/>
        </w:rPr>
        <w:t xml:space="preserve">Vet. </w:t>
      </w:r>
      <w:proofErr w:type="spellStart"/>
      <w:r w:rsidRPr="002060A9">
        <w:rPr>
          <w:i/>
          <w:iCs/>
          <w:lang w:val="en-IE"/>
        </w:rPr>
        <w:t>Microbiol</w:t>
      </w:r>
      <w:proofErr w:type="spellEnd"/>
      <w:r w:rsidRPr="002060A9">
        <w:rPr>
          <w:lang w:val="en-IE"/>
        </w:rPr>
        <w:t xml:space="preserve">., </w:t>
      </w:r>
      <w:r w:rsidRPr="002060A9">
        <w:rPr>
          <w:b/>
          <w:lang w:val="en-IE"/>
        </w:rPr>
        <w:t>77</w:t>
      </w:r>
      <w:r w:rsidRPr="002060A9">
        <w:rPr>
          <w:bCs/>
          <w:lang w:val="en-IE"/>
        </w:rPr>
        <w:t xml:space="preserve">, </w:t>
      </w:r>
      <w:r w:rsidRPr="002060A9">
        <w:rPr>
          <w:lang w:val="en-IE"/>
        </w:rPr>
        <w:t>387–398.</w:t>
      </w:r>
    </w:p>
    <w:p w14:paraId="17C8798F" w14:textId="77777777" w:rsidR="00B66F35" w:rsidRPr="002060A9" w:rsidRDefault="00B66F35" w:rsidP="00F85211">
      <w:pPr>
        <w:pStyle w:val="Ref"/>
        <w:rPr>
          <w:lang w:val="en-IE"/>
        </w:rPr>
      </w:pPr>
      <w:r w:rsidRPr="002060A9">
        <w:rPr>
          <w:smallCaps/>
          <w:lang w:val="en-IE"/>
        </w:rPr>
        <w:t>Whittington R, Marsh I, Choy E, Cousins D</w:t>
      </w:r>
      <w:r w:rsidRPr="002060A9">
        <w:rPr>
          <w:lang w:val="en-IE"/>
        </w:rPr>
        <w:t xml:space="preserve">. (1998). Polymorphisms in IS1311, an insertion sequence common to </w:t>
      </w:r>
      <w:r w:rsidRPr="002060A9">
        <w:rPr>
          <w:i/>
          <w:lang w:val="en-IE"/>
        </w:rPr>
        <w:t>Mycobacterium avium</w:t>
      </w:r>
      <w:r w:rsidRPr="002060A9">
        <w:rPr>
          <w:lang w:val="en-IE"/>
        </w:rPr>
        <w:t xml:space="preserve"> and </w:t>
      </w:r>
      <w:r w:rsidRPr="002060A9">
        <w:rPr>
          <w:i/>
          <w:lang w:val="en-IE"/>
        </w:rPr>
        <w:t>M. avium</w:t>
      </w:r>
      <w:r w:rsidRPr="002060A9">
        <w:rPr>
          <w:lang w:val="en-IE"/>
        </w:rPr>
        <w:t xml:space="preserve"> subsp. </w:t>
      </w:r>
      <w:r w:rsidRPr="002060A9">
        <w:rPr>
          <w:i/>
          <w:lang w:val="en-IE"/>
        </w:rPr>
        <w:t>paratuberculosis</w:t>
      </w:r>
      <w:r w:rsidRPr="002060A9">
        <w:rPr>
          <w:lang w:val="en-IE"/>
        </w:rPr>
        <w:t xml:space="preserve">, can be used to distinguish between and within these species. </w:t>
      </w:r>
      <w:r w:rsidRPr="002060A9">
        <w:rPr>
          <w:i/>
          <w:iCs/>
          <w:lang w:val="en-IE"/>
        </w:rPr>
        <w:t>Mol. Cell Probes</w:t>
      </w:r>
      <w:r w:rsidRPr="002060A9">
        <w:rPr>
          <w:lang w:val="en-IE"/>
        </w:rPr>
        <w:t xml:space="preserve">., </w:t>
      </w:r>
      <w:r w:rsidRPr="002060A9">
        <w:rPr>
          <w:b/>
          <w:bCs/>
          <w:lang w:val="en-IE"/>
        </w:rPr>
        <w:t>12</w:t>
      </w:r>
      <w:r w:rsidRPr="002060A9">
        <w:rPr>
          <w:lang w:val="en-IE"/>
        </w:rPr>
        <w:t>, 349–358.</w:t>
      </w:r>
    </w:p>
    <w:p w14:paraId="00EC1874" w14:textId="77777777" w:rsidR="00DD10D4" w:rsidRPr="002060A9" w:rsidRDefault="00DD10D4" w:rsidP="00F85211">
      <w:pPr>
        <w:pStyle w:val="Ref"/>
        <w:rPr>
          <w:lang w:val="en-IE"/>
        </w:rPr>
      </w:pPr>
      <w:r w:rsidRPr="002060A9">
        <w:rPr>
          <w:smallCaps/>
          <w:lang w:val="en-IE"/>
        </w:rPr>
        <w:t>Whittington R.J., Marsh I., McAllister S., Turner M.J., Marshall D.J. &amp; Fraser C.A.</w:t>
      </w:r>
      <w:r w:rsidRPr="002060A9">
        <w:rPr>
          <w:lang w:val="en-IE"/>
        </w:rPr>
        <w:t xml:space="preserve"> </w:t>
      </w:r>
      <w:r w:rsidR="003805C0" w:rsidRPr="002060A9">
        <w:rPr>
          <w:lang w:val="en-IE"/>
        </w:rPr>
        <w:t>(</w:t>
      </w:r>
      <w:r w:rsidRPr="002060A9">
        <w:rPr>
          <w:lang w:val="en-IE"/>
        </w:rPr>
        <w:t>1999)</w:t>
      </w:r>
      <w:r w:rsidR="00123209" w:rsidRPr="002060A9">
        <w:rPr>
          <w:lang w:val="en-IE"/>
        </w:rPr>
        <w:t>.</w:t>
      </w:r>
      <w:r w:rsidRPr="002060A9">
        <w:rPr>
          <w:lang w:val="en-IE"/>
        </w:rPr>
        <w:t xml:space="preserve"> Evaluation of modified BACTEC 12B radiometric medium and solid media for culture of </w:t>
      </w:r>
      <w:r w:rsidRPr="002060A9">
        <w:rPr>
          <w:i/>
          <w:lang w:val="en-IE"/>
        </w:rPr>
        <w:t xml:space="preserve">Mycobacterium avium </w:t>
      </w:r>
      <w:r w:rsidRPr="002060A9">
        <w:rPr>
          <w:lang w:val="en-IE"/>
        </w:rPr>
        <w:t xml:space="preserve">subsp. </w:t>
      </w:r>
      <w:r w:rsidRPr="002060A9">
        <w:rPr>
          <w:i/>
          <w:lang w:val="en-IE"/>
        </w:rPr>
        <w:t xml:space="preserve">paratuberculosis </w:t>
      </w:r>
      <w:r w:rsidRPr="002060A9">
        <w:rPr>
          <w:lang w:val="en-IE"/>
        </w:rPr>
        <w:t xml:space="preserve">from sheep. </w:t>
      </w:r>
      <w:r w:rsidRPr="002060A9">
        <w:rPr>
          <w:i/>
          <w:iCs/>
          <w:lang w:val="en-IE"/>
        </w:rPr>
        <w:t>J</w:t>
      </w:r>
      <w:r w:rsidR="00123209" w:rsidRPr="002060A9">
        <w:rPr>
          <w:i/>
          <w:iCs/>
          <w:lang w:val="en-IE"/>
        </w:rPr>
        <w:t>.</w:t>
      </w:r>
      <w:r w:rsidRPr="002060A9">
        <w:rPr>
          <w:i/>
          <w:iCs/>
          <w:lang w:val="en-IE"/>
        </w:rPr>
        <w:t xml:space="preserve"> Clin</w:t>
      </w:r>
      <w:r w:rsidR="00123209" w:rsidRPr="002060A9">
        <w:rPr>
          <w:i/>
          <w:iCs/>
          <w:lang w:val="en-IE"/>
        </w:rPr>
        <w:t>.</w:t>
      </w:r>
      <w:r w:rsidRPr="002060A9">
        <w:rPr>
          <w:i/>
          <w:iCs/>
          <w:lang w:val="en-IE"/>
        </w:rPr>
        <w:t xml:space="preserve"> </w:t>
      </w:r>
      <w:proofErr w:type="spellStart"/>
      <w:r w:rsidRPr="002060A9">
        <w:rPr>
          <w:i/>
          <w:iCs/>
          <w:lang w:val="en-IE"/>
        </w:rPr>
        <w:t>Microbiol</w:t>
      </w:r>
      <w:proofErr w:type="spellEnd"/>
      <w:r w:rsidRPr="002060A9">
        <w:rPr>
          <w:lang w:val="en-IE"/>
        </w:rPr>
        <w:t xml:space="preserve">., </w:t>
      </w:r>
      <w:r w:rsidRPr="002060A9">
        <w:rPr>
          <w:b/>
          <w:bCs/>
          <w:lang w:val="en-IE"/>
        </w:rPr>
        <w:t>37</w:t>
      </w:r>
      <w:r w:rsidR="00123209" w:rsidRPr="002060A9">
        <w:rPr>
          <w:lang w:val="en-IE"/>
        </w:rPr>
        <w:t xml:space="preserve">, </w:t>
      </w:r>
      <w:r w:rsidRPr="002060A9">
        <w:rPr>
          <w:lang w:val="en-IE"/>
        </w:rPr>
        <w:t>1077</w:t>
      </w:r>
      <w:r w:rsidR="00123209" w:rsidRPr="002060A9">
        <w:rPr>
          <w:lang w:val="en-IE"/>
        </w:rPr>
        <w:t>–10</w:t>
      </w:r>
      <w:r w:rsidRPr="002060A9">
        <w:rPr>
          <w:lang w:val="en-IE"/>
        </w:rPr>
        <w:t>83.</w:t>
      </w:r>
    </w:p>
    <w:p w14:paraId="7C72C1C6" w14:textId="77777777" w:rsidR="00B66F35" w:rsidRPr="002060A9" w:rsidRDefault="00B66F35" w:rsidP="00F85211">
      <w:pPr>
        <w:pStyle w:val="Ref"/>
        <w:rPr>
          <w:lang w:val="en-IE"/>
        </w:rPr>
      </w:pPr>
      <w:proofErr w:type="spellStart"/>
      <w:r w:rsidRPr="002060A9">
        <w:rPr>
          <w:smallCaps/>
          <w:lang w:val="en-IE"/>
        </w:rPr>
        <w:t>Yokomizo</w:t>
      </w:r>
      <w:proofErr w:type="spellEnd"/>
      <w:r w:rsidRPr="002060A9">
        <w:rPr>
          <w:smallCaps/>
          <w:lang w:val="en-IE"/>
        </w:rPr>
        <w:t xml:space="preserve"> Y., </w:t>
      </w:r>
      <w:proofErr w:type="spellStart"/>
      <w:r w:rsidRPr="002060A9">
        <w:rPr>
          <w:smallCaps/>
          <w:lang w:val="en-IE"/>
        </w:rPr>
        <w:t>Merkal</w:t>
      </w:r>
      <w:proofErr w:type="spellEnd"/>
      <w:r w:rsidRPr="002060A9">
        <w:rPr>
          <w:smallCaps/>
          <w:lang w:val="en-IE"/>
        </w:rPr>
        <w:t xml:space="preserve"> R.S. &amp; Lyle P.A.S</w:t>
      </w:r>
      <w:r w:rsidRPr="002060A9">
        <w:rPr>
          <w:lang w:val="en-IE"/>
        </w:rPr>
        <w:t xml:space="preserve">. (1983). Enzyme-linked immunosorbent assay for detection of bovine immunoglobulin G antibody to a protoplasmic antigen of </w:t>
      </w:r>
      <w:r w:rsidRPr="002060A9">
        <w:rPr>
          <w:i/>
          <w:lang w:val="en-IE"/>
        </w:rPr>
        <w:t>Mycobacterium paratuberculosis</w:t>
      </w:r>
      <w:r w:rsidRPr="002060A9">
        <w:rPr>
          <w:lang w:val="en-IE"/>
        </w:rPr>
        <w:t xml:space="preserve">. </w:t>
      </w:r>
      <w:r w:rsidRPr="002060A9">
        <w:rPr>
          <w:i/>
          <w:lang w:val="en-IE"/>
        </w:rPr>
        <w:t>Am. J. Vet. Res.</w:t>
      </w:r>
      <w:r w:rsidRPr="002060A9">
        <w:rPr>
          <w:lang w:val="en-IE"/>
        </w:rPr>
        <w:t xml:space="preserve">, </w:t>
      </w:r>
      <w:r w:rsidRPr="002060A9">
        <w:rPr>
          <w:b/>
          <w:lang w:val="en-IE"/>
        </w:rPr>
        <w:t>44</w:t>
      </w:r>
      <w:r w:rsidRPr="002060A9">
        <w:rPr>
          <w:lang w:val="en-IE"/>
        </w:rPr>
        <w:t>, 2205–2207.</w:t>
      </w:r>
    </w:p>
    <w:p w14:paraId="5980CC81" w14:textId="77777777" w:rsidR="00B66F35" w:rsidRPr="002060A9" w:rsidRDefault="00461599" w:rsidP="00F85211">
      <w:pPr>
        <w:pStyle w:val="Ref"/>
        <w:rPr>
          <w:lang w:val="en-IE"/>
        </w:rPr>
      </w:pPr>
      <w:proofErr w:type="spellStart"/>
      <w:r w:rsidRPr="002060A9">
        <w:rPr>
          <w:smallCaps/>
          <w:lang w:val="en-IE"/>
        </w:rPr>
        <w:t>Yokomizo</w:t>
      </w:r>
      <w:proofErr w:type="spellEnd"/>
      <w:r w:rsidRPr="002060A9">
        <w:rPr>
          <w:smallCaps/>
          <w:lang w:val="en-IE"/>
        </w:rPr>
        <w:t xml:space="preserve"> Y., </w:t>
      </w:r>
      <w:proofErr w:type="spellStart"/>
      <w:r w:rsidRPr="002060A9">
        <w:rPr>
          <w:smallCaps/>
          <w:lang w:val="en-IE"/>
        </w:rPr>
        <w:t>Yugi</w:t>
      </w:r>
      <w:proofErr w:type="spellEnd"/>
      <w:r w:rsidRPr="002060A9">
        <w:rPr>
          <w:smallCaps/>
          <w:lang w:val="en-IE"/>
        </w:rPr>
        <w:t xml:space="preserve"> H. &amp; </w:t>
      </w:r>
      <w:proofErr w:type="spellStart"/>
      <w:r w:rsidRPr="002060A9">
        <w:rPr>
          <w:smallCaps/>
          <w:lang w:val="en-IE"/>
        </w:rPr>
        <w:t>Merkal</w:t>
      </w:r>
      <w:proofErr w:type="spellEnd"/>
      <w:r w:rsidRPr="002060A9">
        <w:rPr>
          <w:smallCaps/>
          <w:lang w:val="en-IE"/>
        </w:rPr>
        <w:t xml:space="preserve"> R.S.</w:t>
      </w:r>
      <w:r w:rsidRPr="002060A9">
        <w:rPr>
          <w:lang w:val="en-IE"/>
        </w:rPr>
        <w:t xml:space="preserve"> (1985). </w:t>
      </w:r>
      <w:r w:rsidR="00B66F35" w:rsidRPr="002060A9">
        <w:rPr>
          <w:lang w:val="en-IE"/>
        </w:rPr>
        <w:t xml:space="preserve">A method for avoiding false-positive reactions in an enzyme-linked immunosorbent assay (ELISA) for the diagnosis of bovine paratuberculosis. </w:t>
      </w:r>
      <w:proofErr w:type="spellStart"/>
      <w:r w:rsidR="00B66F35" w:rsidRPr="002060A9">
        <w:rPr>
          <w:i/>
          <w:iCs/>
          <w:lang w:val="en-IE"/>
        </w:rPr>
        <w:t>Jpn</w:t>
      </w:r>
      <w:proofErr w:type="spellEnd"/>
      <w:r w:rsidR="00B66F35" w:rsidRPr="002060A9">
        <w:rPr>
          <w:i/>
          <w:iCs/>
          <w:lang w:val="en-IE"/>
        </w:rPr>
        <w:t xml:space="preserve"> J. Vet. Sci</w:t>
      </w:r>
      <w:r w:rsidR="00B66F35" w:rsidRPr="002060A9">
        <w:rPr>
          <w:lang w:val="en-IE"/>
        </w:rPr>
        <w:t xml:space="preserve">., </w:t>
      </w:r>
      <w:r w:rsidR="00B66F35" w:rsidRPr="002060A9">
        <w:rPr>
          <w:b/>
          <w:lang w:val="en-IE"/>
        </w:rPr>
        <w:t>47</w:t>
      </w:r>
      <w:r w:rsidR="00B66F35" w:rsidRPr="002060A9">
        <w:rPr>
          <w:bCs/>
          <w:lang w:val="en-IE"/>
        </w:rPr>
        <w:t xml:space="preserve">, </w:t>
      </w:r>
      <w:r w:rsidR="00B66F35" w:rsidRPr="002060A9">
        <w:rPr>
          <w:lang w:val="en-IE"/>
        </w:rPr>
        <w:t>111–119.</w:t>
      </w:r>
    </w:p>
    <w:p w14:paraId="3D3254BE" w14:textId="77777777" w:rsidR="00B66F35" w:rsidRPr="002060A9" w:rsidRDefault="00B66F35" w:rsidP="00150544">
      <w:pPr>
        <w:pStyle w:val="rtoiles"/>
        <w:rPr>
          <w:lang w:val="en-IE"/>
        </w:rPr>
      </w:pPr>
      <w:r w:rsidRPr="002060A9">
        <w:rPr>
          <w:lang w:val="en-IE"/>
        </w:rPr>
        <w:t>*</w:t>
      </w:r>
      <w:r w:rsidRPr="002060A9">
        <w:rPr>
          <w:lang w:val="en-IE"/>
        </w:rPr>
        <w:br/>
        <w:t>*   *</w:t>
      </w:r>
    </w:p>
    <w:p w14:paraId="4EE9DBBB" w14:textId="77777777" w:rsidR="00B66F35" w:rsidRPr="002060A9" w:rsidRDefault="00B66F35" w:rsidP="00D7396C">
      <w:pPr>
        <w:pStyle w:val="Reflabnote"/>
        <w:spacing w:after="240"/>
        <w:rPr>
          <w:lang w:val="en-IE"/>
        </w:rPr>
      </w:pPr>
      <w:r w:rsidRPr="002060A9">
        <w:rPr>
          <w:b/>
          <w:bCs/>
          <w:lang w:val="en-IE"/>
        </w:rPr>
        <w:t>NB:</w:t>
      </w:r>
      <w:r w:rsidRPr="002060A9">
        <w:rPr>
          <w:lang w:val="en-IE"/>
        </w:rPr>
        <w:t xml:space="preserve"> There are OIE Reference Laboratories for Paratuberculosis </w:t>
      </w:r>
      <w:r w:rsidRPr="002060A9">
        <w:rPr>
          <w:lang w:val="en-IE"/>
        </w:rPr>
        <w:br/>
        <w:t xml:space="preserve">(see Table in Part </w:t>
      </w:r>
      <w:r w:rsidR="00BE2B0F" w:rsidRPr="002060A9">
        <w:rPr>
          <w:lang w:val="en-IE"/>
        </w:rPr>
        <w:t>4</w:t>
      </w:r>
      <w:r w:rsidRPr="002060A9">
        <w:rPr>
          <w:lang w:val="en-IE"/>
        </w:rPr>
        <w:t xml:space="preserve"> of this </w:t>
      </w:r>
      <w:r w:rsidRPr="002060A9">
        <w:rPr>
          <w:i/>
          <w:lang w:val="en-IE"/>
        </w:rPr>
        <w:t xml:space="preserve">Terrestrial Manual </w:t>
      </w:r>
      <w:r w:rsidRPr="002060A9">
        <w:rPr>
          <w:lang w:val="en-IE"/>
        </w:rPr>
        <w:t xml:space="preserve">or consult the OIE Web site for the most up-to-date list: </w:t>
      </w:r>
      <w:hyperlink r:id="rId14" w:history="1">
        <w:r w:rsidR="00E85A02" w:rsidRPr="00AC4D55">
          <w:rPr>
            <w:rStyle w:val="Lienhypertexte"/>
            <w:rFonts w:cs="Arial"/>
            <w:lang w:val="en-IE"/>
          </w:rPr>
          <w:t>http://www.oie.int/en/scientific-expertise/reference-laboratories/list-of-laboratories/</w:t>
        </w:r>
      </w:hyperlink>
      <w:r w:rsidRPr="002060A9">
        <w:rPr>
          <w:lang w:val="en-IE"/>
        </w:rPr>
        <w:t xml:space="preserve">). </w:t>
      </w:r>
      <w:r w:rsidRPr="002060A9">
        <w:rPr>
          <w:lang w:val="en-IE"/>
        </w:rPr>
        <w:br/>
        <w:t xml:space="preserve">Please contact the OIE Reference Laboratories for any further information on </w:t>
      </w:r>
      <w:r w:rsidRPr="002060A9">
        <w:rPr>
          <w:lang w:val="en-IE"/>
        </w:rPr>
        <w:br/>
        <w:t>diagnostic tests, reagents and vaccines for paratuberculosis</w:t>
      </w:r>
    </w:p>
    <w:p w14:paraId="7C9F858C" w14:textId="24146069" w:rsidR="00D7396C" w:rsidRPr="00146ED7" w:rsidRDefault="00D7396C" w:rsidP="00D7396C">
      <w:pPr>
        <w:tabs>
          <w:tab w:val="clear" w:pos="-720"/>
        </w:tabs>
        <w:spacing w:before="120" w:after="240" w:line="240" w:lineRule="auto"/>
        <w:jc w:val="center"/>
        <w:rPr>
          <w:rFonts w:ascii="Arial" w:hAnsi="Arial" w:cs="Arial"/>
          <w:smallCaps/>
          <w:sz w:val="18"/>
          <w:szCs w:val="18"/>
          <w:lang w:val="en-IE"/>
        </w:rPr>
      </w:pPr>
      <w:r w:rsidRPr="00146ED7">
        <w:rPr>
          <w:rFonts w:ascii="Arial" w:hAnsi="Arial" w:cs="Arial"/>
          <w:b/>
          <w:smallCaps/>
          <w:sz w:val="18"/>
          <w:szCs w:val="18"/>
          <w:lang w:val="en-IE"/>
        </w:rPr>
        <w:t>NB:</w:t>
      </w:r>
      <w:r w:rsidRPr="00146ED7">
        <w:rPr>
          <w:rFonts w:ascii="Arial" w:hAnsi="Arial" w:cs="Arial"/>
          <w:smallCaps/>
          <w:sz w:val="18"/>
          <w:szCs w:val="18"/>
          <w:lang w:val="en-IE"/>
        </w:rPr>
        <w:t xml:space="preserve"> First adopted in </w:t>
      </w:r>
      <w:r>
        <w:rPr>
          <w:rFonts w:ascii="Arial" w:hAnsi="Arial" w:cs="Arial"/>
          <w:smallCaps/>
          <w:sz w:val="18"/>
          <w:szCs w:val="18"/>
          <w:lang w:val="en-IE"/>
        </w:rPr>
        <w:t>1991</w:t>
      </w:r>
      <w:r w:rsidR="00A256BE">
        <w:rPr>
          <w:rFonts w:ascii="Arial" w:hAnsi="Arial" w:cs="Arial"/>
          <w:smallCaps/>
          <w:sz w:val="18"/>
          <w:szCs w:val="18"/>
          <w:lang w:val="en-IE"/>
        </w:rPr>
        <w:t>.</w:t>
      </w:r>
      <w:r w:rsidRPr="00146ED7">
        <w:rPr>
          <w:rFonts w:ascii="Arial" w:hAnsi="Arial" w:cs="Arial"/>
          <w:smallCaps/>
          <w:sz w:val="18"/>
          <w:szCs w:val="18"/>
          <w:lang w:val="en-IE"/>
        </w:rPr>
        <w:t xml:space="preserve"> Most recent updates adopted in 201</w:t>
      </w:r>
      <w:r>
        <w:rPr>
          <w:rFonts w:ascii="Arial" w:hAnsi="Arial" w:cs="Arial"/>
          <w:smallCaps/>
          <w:sz w:val="18"/>
          <w:szCs w:val="18"/>
          <w:lang w:val="en-IE"/>
        </w:rPr>
        <w:t>4</w:t>
      </w:r>
      <w:r w:rsidRPr="00146ED7">
        <w:rPr>
          <w:rFonts w:ascii="Arial" w:hAnsi="Arial" w:cs="Arial"/>
          <w:smallCaps/>
          <w:sz w:val="18"/>
          <w:szCs w:val="18"/>
          <w:lang w:val="en-IE"/>
        </w:rPr>
        <w:t>.</w:t>
      </w:r>
    </w:p>
    <w:p w14:paraId="0ED34C4A" w14:textId="77777777" w:rsidR="00B66F35" w:rsidRPr="002060A9" w:rsidRDefault="00B66F35" w:rsidP="000C7EF1">
      <w:pPr>
        <w:pStyle w:val="Reflabnote"/>
        <w:rPr>
          <w:lang w:val="en-IE"/>
        </w:rPr>
      </w:pPr>
    </w:p>
    <w:sectPr w:rsidR="00B66F35" w:rsidRPr="002060A9" w:rsidSect="009355BB">
      <w:headerReference w:type="even" r:id="rId15"/>
      <w:headerReference w:type="default" r:id="rId16"/>
      <w:footerReference w:type="even" r:id="rId17"/>
      <w:footerReference w:type="default" r:id="rId18"/>
      <w:footerReference w:type="first" r:id="rId19"/>
      <w:type w:val="oddPage"/>
      <w:pgSz w:w="11907" w:h="16840" w:code="9"/>
      <w:pgMar w:top="1418" w:right="1418" w:bottom="1418" w:left="1418" w:header="567" w:footer="567" w:gutter="0"/>
      <w:paperSrc w:first="7" w:other="7"/>
      <w:lnNumType w:countBy="1" w:restart="continuous"/>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09F8C6" w14:textId="77777777" w:rsidR="00465716" w:rsidRDefault="00465716">
      <w:r>
        <w:separator/>
      </w:r>
    </w:p>
  </w:endnote>
  <w:endnote w:type="continuationSeparator" w:id="0">
    <w:p w14:paraId="30D13395" w14:textId="77777777" w:rsidR="00465716" w:rsidRDefault="00465716">
      <w:r>
        <w:continuationSeparator/>
      </w:r>
    </w:p>
  </w:endnote>
  <w:endnote w:type="continuationNotice" w:id="1">
    <w:p w14:paraId="0381B85D" w14:textId="77777777" w:rsidR="00465716" w:rsidRDefault="0046571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Ottawa">
    <w:altName w:val="Calibri"/>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6C1AC" w14:textId="790F45FD" w:rsidR="00D7396C" w:rsidRPr="004D676E" w:rsidRDefault="009E2518" w:rsidP="004D676E">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fldChar w:fldCharType="begin"/>
    </w:r>
    <w:r>
      <w:rPr>
        <w:rFonts w:ascii="Ottawa" w:hAnsi="Ottawa"/>
        <w:sz w:val="22"/>
      </w:rPr>
      <w:instrText>PAGE</w:instrText>
    </w:r>
    <w:r>
      <w:rPr>
        <w:rFonts w:ascii="Ottawa" w:hAnsi="Ottawa"/>
        <w:sz w:val="22"/>
      </w:rPr>
      <w:fldChar w:fldCharType="separate"/>
    </w:r>
    <w:r w:rsidR="00E63BEE">
      <w:rPr>
        <w:rFonts w:ascii="Ottawa" w:hAnsi="Ottawa"/>
        <w:noProof/>
        <w:sz w:val="22"/>
      </w:rPr>
      <w:t>8</w:t>
    </w:r>
    <w:r>
      <w:rPr>
        <w:rFonts w:ascii="Ottawa" w:hAnsi="Ottawa"/>
        <w:sz w:val="22"/>
      </w:rPr>
      <w:fldChar w:fldCharType="end"/>
    </w:r>
    <w:r w:rsidR="00D7396C">
      <w:rPr>
        <w:rFonts w:ascii="Ottawa" w:hAnsi="Ottawa"/>
        <w:sz w:val="22"/>
      </w:rPr>
      <w:tab/>
    </w:r>
    <w:r>
      <w:rPr>
        <w:rFonts w:ascii="Ottawa" w:hAnsi="Ottawa"/>
        <w:sz w:val="22"/>
      </w:rPr>
      <w:t xml:space="preserve">OIE </w:t>
    </w:r>
    <w:r w:rsidRPr="005F037D">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w:t>
    </w:r>
    <w:r w:rsidR="00A256BE">
      <w:rPr>
        <w:rFonts w:ascii="Ottawa" w:hAnsi="Ottawa"/>
        <w:sz w:val="22"/>
      </w:rPr>
      <w:t>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3B3889" w14:textId="50C498F0" w:rsidR="00D7396C" w:rsidRPr="004D676E" w:rsidRDefault="00D7396C" w:rsidP="004D676E">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t xml:space="preserve">OIE </w:t>
    </w:r>
    <w:r w:rsidRPr="005F037D">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w:t>
    </w:r>
    <w:r w:rsidR="00A256BE">
      <w:rPr>
        <w:rFonts w:ascii="Ottawa" w:hAnsi="Ottawa"/>
        <w:sz w:val="22"/>
      </w:rPr>
      <w:t>20</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sidR="00E63BEE">
      <w:rPr>
        <w:rFonts w:ascii="Ottawa" w:hAnsi="Ottawa"/>
        <w:noProof/>
        <w:sz w:val="22"/>
      </w:rPr>
      <w:t>15</w:t>
    </w:r>
    <w:r>
      <w:rPr>
        <w:rFonts w:ascii="Ottawa" w:hAnsi="Ottawa"/>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990BB" w14:textId="5CBE7452" w:rsidR="00D7396C" w:rsidRPr="00C95580" w:rsidRDefault="00DD597A" w:rsidP="00C95580">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t xml:space="preserve">OIE </w:t>
    </w:r>
    <w:r w:rsidRPr="005F037D">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2020</w:t>
    </w:r>
    <w:r>
      <w:rPr>
        <w:rFonts w:ascii="Ottawa" w:hAnsi="Ottawa"/>
        <w:sz w:val="22"/>
      </w:rPr>
      <w:tab/>
    </w:r>
    <w:r w:rsidR="009E2518">
      <w:rPr>
        <w:rFonts w:ascii="Ottawa" w:hAnsi="Ottawa"/>
        <w:sz w:val="22"/>
      </w:rPr>
      <w:fldChar w:fldCharType="begin"/>
    </w:r>
    <w:r w:rsidR="009E2518">
      <w:rPr>
        <w:rFonts w:ascii="Ottawa" w:hAnsi="Ottawa"/>
        <w:sz w:val="22"/>
      </w:rPr>
      <w:instrText>PAGE</w:instrText>
    </w:r>
    <w:r w:rsidR="009E2518">
      <w:rPr>
        <w:rFonts w:ascii="Ottawa" w:hAnsi="Ottawa"/>
        <w:sz w:val="22"/>
      </w:rPr>
      <w:fldChar w:fldCharType="separate"/>
    </w:r>
    <w:r w:rsidR="00E63BEE">
      <w:rPr>
        <w:rFonts w:ascii="Ottawa" w:hAnsi="Ottawa"/>
        <w:noProof/>
        <w:sz w:val="22"/>
      </w:rPr>
      <w:t>1</w:t>
    </w:r>
    <w:r w:rsidR="009E2518">
      <w:rPr>
        <w:rFonts w:ascii="Ottawa" w:hAnsi="Ottawa"/>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D55461" w14:textId="77777777" w:rsidR="00465716" w:rsidRDefault="00465716">
      <w:r>
        <w:separator/>
      </w:r>
    </w:p>
  </w:footnote>
  <w:footnote w:type="continuationSeparator" w:id="0">
    <w:p w14:paraId="03633106" w14:textId="77777777" w:rsidR="00465716" w:rsidRDefault="00465716">
      <w:r>
        <w:continuationSeparator/>
      </w:r>
    </w:p>
  </w:footnote>
  <w:footnote w:type="continuationNotice" w:id="1">
    <w:p w14:paraId="63F84DF0" w14:textId="77777777" w:rsidR="00465716" w:rsidRDefault="00465716">
      <w:pPr>
        <w:spacing w:line="240" w:lineRule="auto"/>
      </w:pPr>
    </w:p>
  </w:footnote>
  <w:footnote w:id="2">
    <w:p w14:paraId="6ECD38E8" w14:textId="77777777" w:rsidR="00D7396C" w:rsidRPr="002060A9" w:rsidRDefault="00D7396C" w:rsidP="00091419">
      <w:pPr>
        <w:pStyle w:val="Notedebasdepage"/>
        <w:tabs>
          <w:tab w:val="left" w:pos="-1843"/>
        </w:tabs>
        <w:spacing w:line="240" w:lineRule="auto"/>
        <w:ind w:left="425" w:hanging="425"/>
      </w:pPr>
      <w:r w:rsidRPr="002060A9">
        <w:rPr>
          <w:rStyle w:val="Appelnotedebasdep"/>
          <w:rFonts w:ascii="Arial" w:hAnsi="Arial" w:cs="Arial"/>
          <w:sz w:val="16"/>
          <w:szCs w:val="16"/>
          <w:vertAlign w:val="baseline"/>
        </w:rPr>
        <w:footnoteRef/>
      </w:r>
      <w:r w:rsidRPr="002060A9">
        <w:rPr>
          <w:rFonts w:ascii="Arial" w:hAnsi="Arial" w:cs="Arial"/>
          <w:sz w:val="16"/>
          <w:szCs w:val="16"/>
        </w:rPr>
        <w:t xml:space="preserve"> </w:t>
      </w:r>
      <w:r w:rsidRPr="002060A9">
        <w:rPr>
          <w:rFonts w:ascii="Arial" w:hAnsi="Arial" w:cs="Arial"/>
          <w:sz w:val="16"/>
          <w:szCs w:val="16"/>
        </w:rPr>
        <w:tab/>
        <w:t>A combination of agent identification methods applied on the same clinical sample is recommended.</w:t>
      </w:r>
    </w:p>
  </w:footnote>
  <w:footnote w:id="3">
    <w:p w14:paraId="520D1883" w14:textId="77777777" w:rsidR="00D7396C" w:rsidRPr="002060A9" w:rsidRDefault="00D7396C" w:rsidP="00091419">
      <w:pPr>
        <w:pStyle w:val="Notedebasdepage"/>
        <w:spacing w:line="240" w:lineRule="auto"/>
        <w:ind w:left="425" w:hanging="425"/>
      </w:pPr>
      <w:r w:rsidRPr="002060A9">
        <w:rPr>
          <w:rStyle w:val="Appelnotedebasdep"/>
          <w:rFonts w:ascii="Arial" w:hAnsi="Arial" w:cs="Arial"/>
          <w:sz w:val="16"/>
          <w:szCs w:val="16"/>
          <w:vertAlign w:val="baseline"/>
        </w:rPr>
        <w:footnoteRef/>
      </w:r>
      <w:r w:rsidRPr="002060A9">
        <w:rPr>
          <w:rFonts w:ascii="Arial" w:hAnsi="Arial" w:cs="Arial"/>
          <w:sz w:val="16"/>
          <w:szCs w:val="16"/>
        </w:rPr>
        <w:t xml:space="preserve"> </w:t>
      </w:r>
      <w:r w:rsidRPr="002060A9">
        <w:rPr>
          <w:rFonts w:ascii="Arial" w:hAnsi="Arial" w:cs="Arial"/>
          <w:sz w:val="16"/>
          <w:szCs w:val="16"/>
        </w:rPr>
        <w:tab/>
        <w:t>A combination of the listed serological tests is recommended.</w:t>
      </w:r>
    </w:p>
  </w:footnote>
  <w:footnote w:id="4">
    <w:p w14:paraId="5B7239B9" w14:textId="77777777" w:rsidR="00D7396C" w:rsidRPr="00545153" w:rsidRDefault="00D7396C" w:rsidP="000449F0">
      <w:pPr>
        <w:pStyle w:val="Notedebasdepage"/>
        <w:spacing w:line="240" w:lineRule="auto"/>
        <w:ind w:left="425" w:hanging="425"/>
      </w:pPr>
      <w:r w:rsidRPr="000449F0">
        <w:rPr>
          <w:rStyle w:val="Appelnotedebasdep"/>
          <w:rFonts w:ascii="Arial" w:hAnsi="Arial"/>
          <w:sz w:val="16"/>
          <w:szCs w:val="16"/>
          <w:vertAlign w:val="baseline"/>
        </w:rPr>
        <w:footnoteRef/>
      </w:r>
      <w:r w:rsidRPr="000449F0">
        <w:rPr>
          <w:rFonts w:ascii="Arial" w:hAnsi="Arial"/>
          <w:sz w:val="16"/>
          <w:szCs w:val="16"/>
        </w:rPr>
        <w:tab/>
        <w:t>Use fresh eggs not more than 2 days old from a flock that is not receiving antibiotics. With a brush, scrub the eggs with water containing a detergent. Rinse with water and place the eggs in 70° alcohol for 30 minutes. Dry by inserting between two sterile towels. With sterile rat-tooth forceps, crack one end of the eggshell, making a hole of approximately 10 mm, and remove the egg white with the forceps and gravity. Make the hole larger and break the yolk. Mix the egg yolk by twirling the forceps</w:t>
      </w:r>
      <w:r>
        <w:rPr>
          <w:rFonts w:ascii="Arial" w:hAnsi="Arial"/>
          <w:sz w:val="16"/>
          <w:szCs w:val="16"/>
        </w:rPr>
        <w:t>,</w:t>
      </w:r>
      <w:r w:rsidRPr="000449F0">
        <w:rPr>
          <w:rFonts w:ascii="Arial" w:hAnsi="Arial"/>
          <w:sz w:val="16"/>
          <w:szCs w:val="16"/>
        </w:rPr>
        <w:t xml:space="preserve"> and remove the yolk sac. Pour the mixed egg yolk into media.</w:t>
      </w:r>
    </w:p>
  </w:footnote>
  <w:footnote w:id="5">
    <w:p w14:paraId="481D49C5" w14:textId="77777777" w:rsidR="00D7396C" w:rsidRPr="002E6B22" w:rsidRDefault="00D7396C" w:rsidP="00C924A0">
      <w:pPr>
        <w:tabs>
          <w:tab w:val="left" w:pos="425"/>
        </w:tabs>
        <w:spacing w:line="240" w:lineRule="auto"/>
        <w:ind w:left="426" w:hanging="426"/>
        <w:rPr>
          <w:rFonts w:ascii="Arial" w:hAnsi="Arial" w:cs="Arial"/>
          <w:sz w:val="16"/>
          <w:szCs w:val="16"/>
          <w:lang w:val="en-US"/>
        </w:rPr>
      </w:pPr>
      <w:r w:rsidRPr="002E6B22">
        <w:rPr>
          <w:rStyle w:val="Appelnotedebasdep"/>
          <w:rFonts w:ascii="Arial" w:hAnsi="Arial" w:cs="Arial"/>
          <w:sz w:val="16"/>
          <w:szCs w:val="16"/>
          <w:vertAlign w:val="baseline"/>
        </w:rPr>
        <w:footnoteRef/>
      </w:r>
      <w:r w:rsidRPr="002E6B22">
        <w:rPr>
          <w:rFonts w:ascii="Arial" w:hAnsi="Arial" w:cs="Arial"/>
          <w:sz w:val="16"/>
          <w:szCs w:val="16"/>
        </w:rPr>
        <w:t xml:space="preserve"> </w:t>
      </w:r>
      <w:r w:rsidRPr="002E6B22">
        <w:rPr>
          <w:rFonts w:ascii="Arial" w:hAnsi="Arial" w:cs="Arial"/>
          <w:sz w:val="16"/>
          <w:szCs w:val="16"/>
        </w:rPr>
        <w:tab/>
        <w:t>Johnin can be obtained from ID-</w:t>
      </w:r>
      <w:proofErr w:type="spellStart"/>
      <w:r w:rsidRPr="002E6B22">
        <w:rPr>
          <w:rFonts w:ascii="Arial" w:hAnsi="Arial" w:cs="Arial"/>
          <w:sz w:val="16"/>
          <w:szCs w:val="16"/>
        </w:rPr>
        <w:t>Lelystad</w:t>
      </w:r>
      <w:proofErr w:type="spellEnd"/>
      <w:r w:rsidRPr="002E6B22">
        <w:rPr>
          <w:rFonts w:ascii="Arial" w:hAnsi="Arial" w:cs="Arial"/>
          <w:sz w:val="16"/>
          <w:szCs w:val="16"/>
        </w:rPr>
        <w:t>, The Netherlands</w:t>
      </w:r>
    </w:p>
  </w:footnote>
  <w:footnote w:id="6">
    <w:p w14:paraId="26A3E30F" w14:textId="77777777" w:rsidR="00D7396C" w:rsidRPr="00AF2C3B" w:rsidRDefault="00D7396C" w:rsidP="00C924A0">
      <w:pPr>
        <w:spacing w:line="240" w:lineRule="auto"/>
        <w:ind w:left="426" w:hanging="426"/>
        <w:rPr>
          <w:rFonts w:ascii="Arial" w:hAnsi="Arial" w:cs="Arial"/>
          <w:strike/>
          <w:sz w:val="16"/>
          <w:szCs w:val="16"/>
        </w:rPr>
      </w:pPr>
      <w:r w:rsidRPr="00AF2C3B">
        <w:rPr>
          <w:rStyle w:val="Appelnotedebasdep"/>
          <w:rFonts w:ascii="Arial" w:hAnsi="Arial" w:cs="Arial"/>
          <w:strike/>
          <w:sz w:val="16"/>
          <w:szCs w:val="16"/>
          <w:vertAlign w:val="baseline"/>
        </w:rPr>
        <w:footnoteRef/>
      </w:r>
      <w:r w:rsidRPr="00AF2C3B">
        <w:rPr>
          <w:rFonts w:ascii="Arial" w:hAnsi="Arial" w:cs="Arial"/>
          <w:strike/>
          <w:sz w:val="16"/>
          <w:szCs w:val="16"/>
        </w:rPr>
        <w:t xml:space="preserve"> </w:t>
      </w:r>
      <w:r w:rsidRPr="00AF2C3B">
        <w:rPr>
          <w:rFonts w:ascii="Arial" w:hAnsi="Arial" w:cs="Arial"/>
          <w:strike/>
          <w:sz w:val="16"/>
          <w:szCs w:val="16"/>
        </w:rPr>
        <w:tab/>
        <w:t xml:space="preserve">for example: </w:t>
      </w:r>
      <w:proofErr w:type="spellStart"/>
      <w:r w:rsidRPr="00AF2C3B">
        <w:rPr>
          <w:rFonts w:ascii="Arial" w:hAnsi="Arial" w:cs="Arial"/>
          <w:strike/>
          <w:sz w:val="16"/>
          <w:szCs w:val="16"/>
        </w:rPr>
        <w:t>BioSource,Nivelles</w:t>
      </w:r>
      <w:proofErr w:type="spellEnd"/>
      <w:r w:rsidRPr="00AF2C3B">
        <w:rPr>
          <w:rFonts w:ascii="Arial" w:hAnsi="Arial" w:cs="Arial"/>
          <w:strike/>
          <w:sz w:val="16"/>
          <w:szCs w:val="16"/>
        </w:rPr>
        <w:t>, Belgium; ID vet Montpellier, France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DBCDB0" w14:textId="77777777" w:rsidR="00D7396C" w:rsidRPr="004D676E" w:rsidRDefault="00D7396C" w:rsidP="004D676E">
    <w:pPr>
      <w:pBdr>
        <w:bottom w:val="single" w:sz="6" w:space="1" w:color="auto"/>
      </w:pBdr>
      <w:spacing w:line="240" w:lineRule="auto"/>
      <w:ind w:right="-1"/>
      <w:jc w:val="center"/>
      <w:rPr>
        <w:rFonts w:ascii="Ottawa" w:hAnsi="Ottawa"/>
        <w:i/>
      </w:rPr>
    </w:pPr>
    <w:r>
      <w:rPr>
        <w:rFonts w:ascii="Ottawa" w:hAnsi="Ottawa"/>
        <w:i/>
      </w:rPr>
      <w:t xml:space="preserve">Chapter 3.1.15. – Paratuberculosis </w:t>
    </w:r>
    <w:r w:rsidRPr="006F2BCB">
      <w:rPr>
        <w:rFonts w:ascii="Ottawa" w:hAnsi="Ottawa"/>
        <w:iCs/>
      </w:rPr>
      <w:t>(</w:t>
    </w:r>
    <w:proofErr w:type="spellStart"/>
    <w:r>
      <w:rPr>
        <w:rFonts w:ascii="Ottawa" w:hAnsi="Ottawa"/>
        <w:i/>
      </w:rPr>
      <w:t>Johne’s</w:t>
    </w:r>
    <w:proofErr w:type="spellEnd"/>
    <w:r>
      <w:rPr>
        <w:rFonts w:ascii="Ottawa" w:hAnsi="Ottawa"/>
        <w:i/>
      </w:rPr>
      <w:t xml:space="preserve"> disease</w:t>
    </w:r>
    <w:r w:rsidRPr="006F2BCB">
      <w:rPr>
        <w:rFonts w:ascii="Ottawa" w:hAnsi="Ottawa"/>
        <w:iCs/>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ED180D" w14:textId="77777777" w:rsidR="00D7396C" w:rsidRPr="004D676E" w:rsidRDefault="00D7396C" w:rsidP="004D676E">
    <w:pPr>
      <w:pBdr>
        <w:bottom w:val="single" w:sz="6" w:space="1" w:color="auto"/>
      </w:pBdr>
      <w:spacing w:line="240" w:lineRule="auto"/>
      <w:ind w:right="-1"/>
      <w:jc w:val="center"/>
      <w:rPr>
        <w:rFonts w:ascii="Ottawa" w:hAnsi="Ottawa"/>
        <w:i/>
      </w:rPr>
    </w:pPr>
    <w:r>
      <w:rPr>
        <w:rFonts w:ascii="Ottawa" w:hAnsi="Ottawa"/>
        <w:i/>
      </w:rPr>
      <w:t xml:space="preserve">Chapter 3.1.15. – Paratuberculosis </w:t>
    </w:r>
    <w:r w:rsidRPr="006F2BCB">
      <w:rPr>
        <w:rFonts w:ascii="Ottawa" w:hAnsi="Ottawa"/>
        <w:iCs/>
      </w:rPr>
      <w:t>(</w:t>
    </w:r>
    <w:proofErr w:type="spellStart"/>
    <w:r>
      <w:rPr>
        <w:rFonts w:ascii="Ottawa" w:hAnsi="Ottawa"/>
        <w:i/>
      </w:rPr>
      <w:t>Johne’s</w:t>
    </w:r>
    <w:proofErr w:type="spellEnd"/>
    <w:r>
      <w:rPr>
        <w:rFonts w:ascii="Ottawa" w:hAnsi="Ottawa"/>
        <w:i/>
      </w:rPr>
      <w:t xml:space="preserve"> disease</w:t>
    </w:r>
    <w:r w:rsidRPr="006F2BCB">
      <w:rPr>
        <w:rFonts w:ascii="Ottawa" w:hAnsi="Ottawa"/>
        <w:iC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A174F4"/>
    <w:multiLevelType w:val="hybridMultilevel"/>
    <w:tmpl w:val="85AE070C"/>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330452B5"/>
    <w:multiLevelType w:val="hybridMultilevel"/>
    <w:tmpl w:val="502E83D4"/>
    <w:lvl w:ilvl="0" w:tplc="E918004C">
      <w:start w:val="3"/>
      <w:numFmt w:val="lowerRoman"/>
      <w:lvlText w:val="%1)"/>
      <w:lvlJc w:val="left"/>
      <w:pPr>
        <w:tabs>
          <w:tab w:val="num" w:pos="1145"/>
        </w:tabs>
        <w:ind w:left="1145" w:hanging="720"/>
      </w:pPr>
      <w:rPr>
        <w:rFonts w:cs="Times New Roman" w:hint="default"/>
      </w:rPr>
    </w:lvl>
    <w:lvl w:ilvl="1" w:tplc="0C090019" w:tentative="1">
      <w:start w:val="1"/>
      <w:numFmt w:val="lowerLetter"/>
      <w:lvlText w:val="%2."/>
      <w:lvlJc w:val="left"/>
      <w:pPr>
        <w:tabs>
          <w:tab w:val="num" w:pos="1505"/>
        </w:tabs>
        <w:ind w:left="1505" w:hanging="360"/>
      </w:pPr>
      <w:rPr>
        <w:rFonts w:cs="Times New Roman"/>
      </w:rPr>
    </w:lvl>
    <w:lvl w:ilvl="2" w:tplc="0C09001B" w:tentative="1">
      <w:start w:val="1"/>
      <w:numFmt w:val="lowerRoman"/>
      <w:lvlText w:val="%3."/>
      <w:lvlJc w:val="right"/>
      <w:pPr>
        <w:tabs>
          <w:tab w:val="num" w:pos="2225"/>
        </w:tabs>
        <w:ind w:left="2225" w:hanging="180"/>
      </w:pPr>
      <w:rPr>
        <w:rFonts w:cs="Times New Roman"/>
      </w:rPr>
    </w:lvl>
    <w:lvl w:ilvl="3" w:tplc="0C09000F" w:tentative="1">
      <w:start w:val="1"/>
      <w:numFmt w:val="decimal"/>
      <w:lvlText w:val="%4."/>
      <w:lvlJc w:val="left"/>
      <w:pPr>
        <w:tabs>
          <w:tab w:val="num" w:pos="2945"/>
        </w:tabs>
        <w:ind w:left="2945" w:hanging="360"/>
      </w:pPr>
      <w:rPr>
        <w:rFonts w:cs="Times New Roman"/>
      </w:rPr>
    </w:lvl>
    <w:lvl w:ilvl="4" w:tplc="0C090019" w:tentative="1">
      <w:start w:val="1"/>
      <w:numFmt w:val="lowerLetter"/>
      <w:lvlText w:val="%5."/>
      <w:lvlJc w:val="left"/>
      <w:pPr>
        <w:tabs>
          <w:tab w:val="num" w:pos="3665"/>
        </w:tabs>
        <w:ind w:left="3665" w:hanging="360"/>
      </w:pPr>
      <w:rPr>
        <w:rFonts w:cs="Times New Roman"/>
      </w:rPr>
    </w:lvl>
    <w:lvl w:ilvl="5" w:tplc="0C09001B" w:tentative="1">
      <w:start w:val="1"/>
      <w:numFmt w:val="lowerRoman"/>
      <w:lvlText w:val="%6."/>
      <w:lvlJc w:val="right"/>
      <w:pPr>
        <w:tabs>
          <w:tab w:val="num" w:pos="4385"/>
        </w:tabs>
        <w:ind w:left="4385" w:hanging="180"/>
      </w:pPr>
      <w:rPr>
        <w:rFonts w:cs="Times New Roman"/>
      </w:rPr>
    </w:lvl>
    <w:lvl w:ilvl="6" w:tplc="0C09000F" w:tentative="1">
      <w:start w:val="1"/>
      <w:numFmt w:val="decimal"/>
      <w:lvlText w:val="%7."/>
      <w:lvlJc w:val="left"/>
      <w:pPr>
        <w:tabs>
          <w:tab w:val="num" w:pos="5105"/>
        </w:tabs>
        <w:ind w:left="5105" w:hanging="360"/>
      </w:pPr>
      <w:rPr>
        <w:rFonts w:cs="Times New Roman"/>
      </w:rPr>
    </w:lvl>
    <w:lvl w:ilvl="7" w:tplc="0C090019" w:tentative="1">
      <w:start w:val="1"/>
      <w:numFmt w:val="lowerLetter"/>
      <w:lvlText w:val="%8."/>
      <w:lvlJc w:val="left"/>
      <w:pPr>
        <w:tabs>
          <w:tab w:val="num" w:pos="5825"/>
        </w:tabs>
        <w:ind w:left="5825" w:hanging="360"/>
      </w:pPr>
      <w:rPr>
        <w:rFonts w:cs="Times New Roman"/>
      </w:rPr>
    </w:lvl>
    <w:lvl w:ilvl="8" w:tplc="0C09001B" w:tentative="1">
      <w:start w:val="1"/>
      <w:numFmt w:val="lowerRoman"/>
      <w:lvlText w:val="%9."/>
      <w:lvlJc w:val="right"/>
      <w:pPr>
        <w:tabs>
          <w:tab w:val="num" w:pos="6545"/>
        </w:tabs>
        <w:ind w:left="6545" w:hanging="180"/>
      </w:pPr>
      <w:rPr>
        <w:rFonts w:cs="Times New Roman"/>
      </w:rPr>
    </w:lvl>
  </w:abstractNum>
  <w:abstractNum w:abstractNumId="2" w15:restartNumberingAfterBreak="0">
    <w:nsid w:val="62467071"/>
    <w:multiLevelType w:val="hybridMultilevel"/>
    <w:tmpl w:val="C684741A"/>
    <w:lvl w:ilvl="0" w:tplc="0C09000F">
      <w:start w:val="1"/>
      <w:numFmt w:val="decimal"/>
      <w:lvlText w:val="%1."/>
      <w:lvlJc w:val="left"/>
      <w:pPr>
        <w:tabs>
          <w:tab w:val="num" w:pos="1145"/>
        </w:tabs>
        <w:ind w:left="1145" w:hanging="360"/>
      </w:pPr>
      <w:rPr>
        <w:rFonts w:cs="Times New Roman"/>
      </w:rPr>
    </w:lvl>
    <w:lvl w:ilvl="1" w:tplc="0C090019" w:tentative="1">
      <w:start w:val="1"/>
      <w:numFmt w:val="lowerLetter"/>
      <w:lvlText w:val="%2."/>
      <w:lvlJc w:val="left"/>
      <w:pPr>
        <w:tabs>
          <w:tab w:val="num" w:pos="1865"/>
        </w:tabs>
        <w:ind w:left="1865" w:hanging="360"/>
      </w:pPr>
      <w:rPr>
        <w:rFonts w:cs="Times New Roman"/>
      </w:rPr>
    </w:lvl>
    <w:lvl w:ilvl="2" w:tplc="0C09001B" w:tentative="1">
      <w:start w:val="1"/>
      <w:numFmt w:val="lowerRoman"/>
      <w:lvlText w:val="%3."/>
      <w:lvlJc w:val="right"/>
      <w:pPr>
        <w:tabs>
          <w:tab w:val="num" w:pos="2585"/>
        </w:tabs>
        <w:ind w:left="2585" w:hanging="180"/>
      </w:pPr>
      <w:rPr>
        <w:rFonts w:cs="Times New Roman"/>
      </w:rPr>
    </w:lvl>
    <w:lvl w:ilvl="3" w:tplc="0C09000F" w:tentative="1">
      <w:start w:val="1"/>
      <w:numFmt w:val="decimal"/>
      <w:lvlText w:val="%4."/>
      <w:lvlJc w:val="left"/>
      <w:pPr>
        <w:tabs>
          <w:tab w:val="num" w:pos="3305"/>
        </w:tabs>
        <w:ind w:left="3305" w:hanging="360"/>
      </w:pPr>
      <w:rPr>
        <w:rFonts w:cs="Times New Roman"/>
      </w:rPr>
    </w:lvl>
    <w:lvl w:ilvl="4" w:tplc="0C090019" w:tentative="1">
      <w:start w:val="1"/>
      <w:numFmt w:val="lowerLetter"/>
      <w:lvlText w:val="%5."/>
      <w:lvlJc w:val="left"/>
      <w:pPr>
        <w:tabs>
          <w:tab w:val="num" w:pos="4025"/>
        </w:tabs>
        <w:ind w:left="4025" w:hanging="360"/>
      </w:pPr>
      <w:rPr>
        <w:rFonts w:cs="Times New Roman"/>
      </w:rPr>
    </w:lvl>
    <w:lvl w:ilvl="5" w:tplc="0C09001B" w:tentative="1">
      <w:start w:val="1"/>
      <w:numFmt w:val="lowerRoman"/>
      <w:lvlText w:val="%6."/>
      <w:lvlJc w:val="right"/>
      <w:pPr>
        <w:tabs>
          <w:tab w:val="num" w:pos="4745"/>
        </w:tabs>
        <w:ind w:left="4745" w:hanging="180"/>
      </w:pPr>
      <w:rPr>
        <w:rFonts w:cs="Times New Roman"/>
      </w:rPr>
    </w:lvl>
    <w:lvl w:ilvl="6" w:tplc="0C09000F" w:tentative="1">
      <w:start w:val="1"/>
      <w:numFmt w:val="decimal"/>
      <w:lvlText w:val="%7."/>
      <w:lvlJc w:val="left"/>
      <w:pPr>
        <w:tabs>
          <w:tab w:val="num" w:pos="5465"/>
        </w:tabs>
        <w:ind w:left="5465" w:hanging="360"/>
      </w:pPr>
      <w:rPr>
        <w:rFonts w:cs="Times New Roman"/>
      </w:rPr>
    </w:lvl>
    <w:lvl w:ilvl="7" w:tplc="0C090019" w:tentative="1">
      <w:start w:val="1"/>
      <w:numFmt w:val="lowerLetter"/>
      <w:lvlText w:val="%8."/>
      <w:lvlJc w:val="left"/>
      <w:pPr>
        <w:tabs>
          <w:tab w:val="num" w:pos="6185"/>
        </w:tabs>
        <w:ind w:left="6185" w:hanging="360"/>
      </w:pPr>
      <w:rPr>
        <w:rFonts w:cs="Times New Roman"/>
      </w:rPr>
    </w:lvl>
    <w:lvl w:ilvl="8" w:tplc="0C09001B" w:tentative="1">
      <w:start w:val="1"/>
      <w:numFmt w:val="lowerRoman"/>
      <w:lvlText w:val="%9."/>
      <w:lvlJc w:val="right"/>
      <w:pPr>
        <w:tabs>
          <w:tab w:val="num" w:pos="6905"/>
        </w:tabs>
        <w:ind w:left="6905" w:hanging="180"/>
      </w:pPr>
      <w:rPr>
        <w:rFonts w:cs="Times New Roman"/>
      </w:rPr>
    </w:lvl>
  </w:abstractNum>
  <w:abstractNum w:abstractNumId="3" w15:restartNumberingAfterBreak="0">
    <w:nsid w:val="794110D4"/>
    <w:multiLevelType w:val="singleLevel"/>
    <w:tmpl w:val="8774F6E2"/>
    <w:lvl w:ilvl="0">
      <w:start w:val="1"/>
      <w:numFmt w:val="lowerRoman"/>
      <w:lvlText w:val="%1) "/>
      <w:legacy w:legacy="1" w:legacySpace="0" w:legacyIndent="283"/>
      <w:lvlJc w:val="left"/>
      <w:pPr>
        <w:ind w:left="708" w:hanging="283"/>
      </w:pPr>
      <w:rPr>
        <w:rFonts w:ascii="Arial" w:hAnsi="Arial" w:cs="Times New Roman" w:hint="default"/>
        <w:b w:val="0"/>
        <w:i w:val="0"/>
        <w:sz w:val="18"/>
        <w:u w:val="none"/>
      </w:rPr>
    </w:lvl>
  </w:abstractNum>
  <w:abstractNum w:abstractNumId="4" w15:restartNumberingAfterBreak="0">
    <w:nsid w:val="7E055F70"/>
    <w:multiLevelType w:val="singleLevel"/>
    <w:tmpl w:val="0BD2D144"/>
    <w:lvl w:ilvl="0">
      <w:start w:val="2"/>
      <w:numFmt w:val="lowerRoman"/>
      <w:lvlText w:val="%1) "/>
      <w:legacy w:legacy="1" w:legacySpace="0" w:legacyIndent="283"/>
      <w:lvlJc w:val="left"/>
      <w:pPr>
        <w:ind w:left="708" w:hanging="283"/>
      </w:pPr>
      <w:rPr>
        <w:rFonts w:ascii="Arial" w:hAnsi="Arial" w:cs="Times New Roman" w:hint="default"/>
        <w:b w:val="0"/>
        <w:i w:val="0"/>
        <w:sz w:val="18"/>
        <w:u w:val="none"/>
      </w:rPr>
    </w:lvl>
  </w:abstractNum>
  <w:num w:numId="1">
    <w:abstractNumId w:val="3"/>
  </w:num>
  <w:num w:numId="2">
    <w:abstractNumId w:val="4"/>
  </w:num>
  <w:num w:numId="3">
    <w:abstractNumId w:val="4"/>
    <w:lvlOverride w:ilvl="0">
      <w:lvl w:ilvl="0">
        <w:start w:val="1"/>
        <w:numFmt w:val="lowerRoman"/>
        <w:lvlText w:val="%1) "/>
        <w:legacy w:legacy="1" w:legacySpace="0" w:legacyIndent="283"/>
        <w:lvlJc w:val="left"/>
        <w:pPr>
          <w:ind w:left="708" w:hanging="283"/>
        </w:pPr>
        <w:rPr>
          <w:rFonts w:ascii="Arial" w:hAnsi="Arial" w:cs="Times New Roman" w:hint="default"/>
          <w:b w:val="0"/>
          <w:i w:val="0"/>
          <w:sz w:val="18"/>
          <w:u w:val="none"/>
        </w:rPr>
      </w:lvl>
    </w:lvlOverride>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5BB5"/>
    <w:rsid w:val="00000C65"/>
    <w:rsid w:val="00001C75"/>
    <w:rsid w:val="00003035"/>
    <w:rsid w:val="00006177"/>
    <w:rsid w:val="0001377A"/>
    <w:rsid w:val="00013AD8"/>
    <w:rsid w:val="00014371"/>
    <w:rsid w:val="000273EA"/>
    <w:rsid w:val="00031EFF"/>
    <w:rsid w:val="000345CF"/>
    <w:rsid w:val="00036B0F"/>
    <w:rsid w:val="000434D5"/>
    <w:rsid w:val="000449F0"/>
    <w:rsid w:val="00053F8B"/>
    <w:rsid w:val="0005508A"/>
    <w:rsid w:val="00057EC5"/>
    <w:rsid w:val="000604EB"/>
    <w:rsid w:val="00060C58"/>
    <w:rsid w:val="00063B8A"/>
    <w:rsid w:val="00067F77"/>
    <w:rsid w:val="0007569F"/>
    <w:rsid w:val="00077804"/>
    <w:rsid w:val="000817DE"/>
    <w:rsid w:val="0008354A"/>
    <w:rsid w:val="0008516E"/>
    <w:rsid w:val="00086FED"/>
    <w:rsid w:val="00087872"/>
    <w:rsid w:val="00091419"/>
    <w:rsid w:val="0009339E"/>
    <w:rsid w:val="0009376B"/>
    <w:rsid w:val="000A2B71"/>
    <w:rsid w:val="000A2BBF"/>
    <w:rsid w:val="000A31B1"/>
    <w:rsid w:val="000A5CBF"/>
    <w:rsid w:val="000B3026"/>
    <w:rsid w:val="000C5AF3"/>
    <w:rsid w:val="000C5FD1"/>
    <w:rsid w:val="000C7EF1"/>
    <w:rsid w:val="000D42A7"/>
    <w:rsid w:val="000D6F9B"/>
    <w:rsid w:val="000D7072"/>
    <w:rsid w:val="000E197D"/>
    <w:rsid w:val="000E30E6"/>
    <w:rsid w:val="000E4E3C"/>
    <w:rsid w:val="000F1410"/>
    <w:rsid w:val="000F1D95"/>
    <w:rsid w:val="000F3967"/>
    <w:rsid w:val="000F6AB0"/>
    <w:rsid w:val="00100C48"/>
    <w:rsid w:val="001012C9"/>
    <w:rsid w:val="0010248F"/>
    <w:rsid w:val="00102682"/>
    <w:rsid w:val="001126DC"/>
    <w:rsid w:val="00112B23"/>
    <w:rsid w:val="0011590F"/>
    <w:rsid w:val="00122125"/>
    <w:rsid w:val="0012243E"/>
    <w:rsid w:val="00123209"/>
    <w:rsid w:val="00123A7F"/>
    <w:rsid w:val="00132F23"/>
    <w:rsid w:val="00133CBD"/>
    <w:rsid w:val="00135636"/>
    <w:rsid w:val="001369D7"/>
    <w:rsid w:val="00137C52"/>
    <w:rsid w:val="00141A95"/>
    <w:rsid w:val="001443FF"/>
    <w:rsid w:val="00144C3D"/>
    <w:rsid w:val="00146317"/>
    <w:rsid w:val="00146DFC"/>
    <w:rsid w:val="00150544"/>
    <w:rsid w:val="001535F4"/>
    <w:rsid w:val="00153AE0"/>
    <w:rsid w:val="00156603"/>
    <w:rsid w:val="001570DF"/>
    <w:rsid w:val="00157CA5"/>
    <w:rsid w:val="00161E95"/>
    <w:rsid w:val="001629E4"/>
    <w:rsid w:val="00164D6A"/>
    <w:rsid w:val="00164FC1"/>
    <w:rsid w:val="001653D9"/>
    <w:rsid w:val="00167A02"/>
    <w:rsid w:val="00170DE5"/>
    <w:rsid w:val="001741E6"/>
    <w:rsid w:val="00177FF5"/>
    <w:rsid w:val="001826F8"/>
    <w:rsid w:val="00184087"/>
    <w:rsid w:val="001844BD"/>
    <w:rsid w:val="00184755"/>
    <w:rsid w:val="0018582C"/>
    <w:rsid w:val="00192106"/>
    <w:rsid w:val="001947FD"/>
    <w:rsid w:val="001A317E"/>
    <w:rsid w:val="001A461E"/>
    <w:rsid w:val="001A4951"/>
    <w:rsid w:val="001B068E"/>
    <w:rsid w:val="001B298E"/>
    <w:rsid w:val="001C0F11"/>
    <w:rsid w:val="001C6597"/>
    <w:rsid w:val="001D0FD8"/>
    <w:rsid w:val="001D1663"/>
    <w:rsid w:val="001D1694"/>
    <w:rsid w:val="001D1A93"/>
    <w:rsid w:val="001D322B"/>
    <w:rsid w:val="001E0DDD"/>
    <w:rsid w:val="001E4CA4"/>
    <w:rsid w:val="001E54EC"/>
    <w:rsid w:val="001F1AA6"/>
    <w:rsid w:val="001F3540"/>
    <w:rsid w:val="001F3A82"/>
    <w:rsid w:val="00200566"/>
    <w:rsid w:val="002017FE"/>
    <w:rsid w:val="0020514E"/>
    <w:rsid w:val="002060A9"/>
    <w:rsid w:val="00210CA9"/>
    <w:rsid w:val="00217406"/>
    <w:rsid w:val="00217962"/>
    <w:rsid w:val="002211B0"/>
    <w:rsid w:val="00221276"/>
    <w:rsid w:val="00225BB5"/>
    <w:rsid w:val="00230BE2"/>
    <w:rsid w:val="0023626E"/>
    <w:rsid w:val="002400EF"/>
    <w:rsid w:val="00242A97"/>
    <w:rsid w:val="00245077"/>
    <w:rsid w:val="00247B40"/>
    <w:rsid w:val="00251A9A"/>
    <w:rsid w:val="002533A5"/>
    <w:rsid w:val="00253D0D"/>
    <w:rsid w:val="0025456A"/>
    <w:rsid w:val="00267144"/>
    <w:rsid w:val="002710D7"/>
    <w:rsid w:val="00281459"/>
    <w:rsid w:val="00282ABB"/>
    <w:rsid w:val="00286492"/>
    <w:rsid w:val="0029209A"/>
    <w:rsid w:val="00293D76"/>
    <w:rsid w:val="002A314F"/>
    <w:rsid w:val="002A493C"/>
    <w:rsid w:val="002A597E"/>
    <w:rsid w:val="002B321A"/>
    <w:rsid w:val="002B39AD"/>
    <w:rsid w:val="002B68B7"/>
    <w:rsid w:val="002B725D"/>
    <w:rsid w:val="002C559F"/>
    <w:rsid w:val="002D4D96"/>
    <w:rsid w:val="002D6D9D"/>
    <w:rsid w:val="002D6F4F"/>
    <w:rsid w:val="002D7460"/>
    <w:rsid w:val="002E5552"/>
    <w:rsid w:val="002E69F9"/>
    <w:rsid w:val="002E6B22"/>
    <w:rsid w:val="002F0E4C"/>
    <w:rsid w:val="002F224E"/>
    <w:rsid w:val="002F7860"/>
    <w:rsid w:val="0030227B"/>
    <w:rsid w:val="0030711A"/>
    <w:rsid w:val="00310161"/>
    <w:rsid w:val="00311F27"/>
    <w:rsid w:val="00312D10"/>
    <w:rsid w:val="00312E9F"/>
    <w:rsid w:val="00315C11"/>
    <w:rsid w:val="00323B96"/>
    <w:rsid w:val="0032782B"/>
    <w:rsid w:val="00330D86"/>
    <w:rsid w:val="00332DCC"/>
    <w:rsid w:val="00336F92"/>
    <w:rsid w:val="00340978"/>
    <w:rsid w:val="003441E7"/>
    <w:rsid w:val="00344FAF"/>
    <w:rsid w:val="0035139E"/>
    <w:rsid w:val="00351902"/>
    <w:rsid w:val="0035418A"/>
    <w:rsid w:val="00355996"/>
    <w:rsid w:val="00355DEC"/>
    <w:rsid w:val="00357268"/>
    <w:rsid w:val="00362A38"/>
    <w:rsid w:val="00364D45"/>
    <w:rsid w:val="00367F27"/>
    <w:rsid w:val="0037052D"/>
    <w:rsid w:val="00370681"/>
    <w:rsid w:val="00373DD5"/>
    <w:rsid w:val="003740FD"/>
    <w:rsid w:val="0037591F"/>
    <w:rsid w:val="0037717C"/>
    <w:rsid w:val="003805C0"/>
    <w:rsid w:val="003805C4"/>
    <w:rsid w:val="0038288C"/>
    <w:rsid w:val="00385298"/>
    <w:rsid w:val="00387C07"/>
    <w:rsid w:val="00391B34"/>
    <w:rsid w:val="00393B41"/>
    <w:rsid w:val="003A1467"/>
    <w:rsid w:val="003A39D2"/>
    <w:rsid w:val="003B1987"/>
    <w:rsid w:val="003B22BC"/>
    <w:rsid w:val="003B28BA"/>
    <w:rsid w:val="003C1848"/>
    <w:rsid w:val="003C1D31"/>
    <w:rsid w:val="003C4065"/>
    <w:rsid w:val="003C7005"/>
    <w:rsid w:val="003D09F7"/>
    <w:rsid w:val="003D149D"/>
    <w:rsid w:val="003D3A1F"/>
    <w:rsid w:val="003D56B5"/>
    <w:rsid w:val="003E0777"/>
    <w:rsid w:val="003E2432"/>
    <w:rsid w:val="003E7C97"/>
    <w:rsid w:val="003F0244"/>
    <w:rsid w:val="003F3A2B"/>
    <w:rsid w:val="003F7372"/>
    <w:rsid w:val="00401607"/>
    <w:rsid w:val="00403CCA"/>
    <w:rsid w:val="00406442"/>
    <w:rsid w:val="004110AA"/>
    <w:rsid w:val="00412922"/>
    <w:rsid w:val="00412B12"/>
    <w:rsid w:val="00412F26"/>
    <w:rsid w:val="004152E1"/>
    <w:rsid w:val="00415864"/>
    <w:rsid w:val="0042050C"/>
    <w:rsid w:val="00420DE3"/>
    <w:rsid w:val="0044794F"/>
    <w:rsid w:val="004516A1"/>
    <w:rsid w:val="00454A75"/>
    <w:rsid w:val="00461599"/>
    <w:rsid w:val="004622FC"/>
    <w:rsid w:val="004627DE"/>
    <w:rsid w:val="00463D9C"/>
    <w:rsid w:val="00463EEA"/>
    <w:rsid w:val="00464621"/>
    <w:rsid w:val="00465170"/>
    <w:rsid w:val="00465716"/>
    <w:rsid w:val="0047414D"/>
    <w:rsid w:val="004743EE"/>
    <w:rsid w:val="004759AF"/>
    <w:rsid w:val="00480AFD"/>
    <w:rsid w:val="0048229B"/>
    <w:rsid w:val="00492910"/>
    <w:rsid w:val="0049331A"/>
    <w:rsid w:val="004A3AC9"/>
    <w:rsid w:val="004A45B1"/>
    <w:rsid w:val="004B1AD1"/>
    <w:rsid w:val="004B2056"/>
    <w:rsid w:val="004B66D0"/>
    <w:rsid w:val="004B703B"/>
    <w:rsid w:val="004C220B"/>
    <w:rsid w:val="004C3D02"/>
    <w:rsid w:val="004C409D"/>
    <w:rsid w:val="004C458A"/>
    <w:rsid w:val="004D044F"/>
    <w:rsid w:val="004D2ACF"/>
    <w:rsid w:val="004D676E"/>
    <w:rsid w:val="004D720F"/>
    <w:rsid w:val="004D736F"/>
    <w:rsid w:val="004E186C"/>
    <w:rsid w:val="004E37DE"/>
    <w:rsid w:val="004E46E1"/>
    <w:rsid w:val="004F3366"/>
    <w:rsid w:val="004F5AD3"/>
    <w:rsid w:val="005010C3"/>
    <w:rsid w:val="00510F80"/>
    <w:rsid w:val="005246D5"/>
    <w:rsid w:val="00526697"/>
    <w:rsid w:val="00534055"/>
    <w:rsid w:val="005355DC"/>
    <w:rsid w:val="00537006"/>
    <w:rsid w:val="00537EC5"/>
    <w:rsid w:val="00545153"/>
    <w:rsid w:val="00545CD7"/>
    <w:rsid w:val="005510A7"/>
    <w:rsid w:val="0055171C"/>
    <w:rsid w:val="00551D99"/>
    <w:rsid w:val="00555996"/>
    <w:rsid w:val="00560935"/>
    <w:rsid w:val="00561DC8"/>
    <w:rsid w:val="0056713B"/>
    <w:rsid w:val="0057067F"/>
    <w:rsid w:val="0057280D"/>
    <w:rsid w:val="00572845"/>
    <w:rsid w:val="00573EBE"/>
    <w:rsid w:val="005746FF"/>
    <w:rsid w:val="00575688"/>
    <w:rsid w:val="005772C1"/>
    <w:rsid w:val="00586118"/>
    <w:rsid w:val="00594802"/>
    <w:rsid w:val="005A4506"/>
    <w:rsid w:val="005A7BCA"/>
    <w:rsid w:val="005B2A82"/>
    <w:rsid w:val="005B398A"/>
    <w:rsid w:val="005B4317"/>
    <w:rsid w:val="005B709F"/>
    <w:rsid w:val="005C321B"/>
    <w:rsid w:val="005C4683"/>
    <w:rsid w:val="005C5A9D"/>
    <w:rsid w:val="005C60A2"/>
    <w:rsid w:val="005D5AA8"/>
    <w:rsid w:val="005E03B3"/>
    <w:rsid w:val="005E5658"/>
    <w:rsid w:val="005F0185"/>
    <w:rsid w:val="005F037D"/>
    <w:rsid w:val="005F04E9"/>
    <w:rsid w:val="005F0A04"/>
    <w:rsid w:val="005F2D45"/>
    <w:rsid w:val="005F40E9"/>
    <w:rsid w:val="005F5B4C"/>
    <w:rsid w:val="005F690C"/>
    <w:rsid w:val="0060092E"/>
    <w:rsid w:val="006042FC"/>
    <w:rsid w:val="00606B6E"/>
    <w:rsid w:val="00612E67"/>
    <w:rsid w:val="00614D0F"/>
    <w:rsid w:val="0061581E"/>
    <w:rsid w:val="00616C88"/>
    <w:rsid w:val="00623628"/>
    <w:rsid w:val="00624027"/>
    <w:rsid w:val="00631926"/>
    <w:rsid w:val="00634EA0"/>
    <w:rsid w:val="00641C03"/>
    <w:rsid w:val="00647615"/>
    <w:rsid w:val="006476B2"/>
    <w:rsid w:val="00652CD1"/>
    <w:rsid w:val="00653764"/>
    <w:rsid w:val="00655F90"/>
    <w:rsid w:val="00663BB6"/>
    <w:rsid w:val="00663F07"/>
    <w:rsid w:val="00665677"/>
    <w:rsid w:val="006668E3"/>
    <w:rsid w:val="006731D7"/>
    <w:rsid w:val="00673663"/>
    <w:rsid w:val="0067389B"/>
    <w:rsid w:val="0067419C"/>
    <w:rsid w:val="00674CF1"/>
    <w:rsid w:val="00676325"/>
    <w:rsid w:val="006849A2"/>
    <w:rsid w:val="00685B45"/>
    <w:rsid w:val="00685B7E"/>
    <w:rsid w:val="00695DFD"/>
    <w:rsid w:val="00696E0C"/>
    <w:rsid w:val="00697AFB"/>
    <w:rsid w:val="006A0630"/>
    <w:rsid w:val="006A1FC7"/>
    <w:rsid w:val="006A27B0"/>
    <w:rsid w:val="006A663F"/>
    <w:rsid w:val="006A7670"/>
    <w:rsid w:val="006B297C"/>
    <w:rsid w:val="006C1E24"/>
    <w:rsid w:val="006C394D"/>
    <w:rsid w:val="006C3BA1"/>
    <w:rsid w:val="006C5647"/>
    <w:rsid w:val="006C5EE2"/>
    <w:rsid w:val="006C73F2"/>
    <w:rsid w:val="006D01C6"/>
    <w:rsid w:val="006D060A"/>
    <w:rsid w:val="006D189A"/>
    <w:rsid w:val="006D2E64"/>
    <w:rsid w:val="006D3BCE"/>
    <w:rsid w:val="006D6A26"/>
    <w:rsid w:val="006E2F19"/>
    <w:rsid w:val="006E4093"/>
    <w:rsid w:val="006E5893"/>
    <w:rsid w:val="006F08CD"/>
    <w:rsid w:val="006F129D"/>
    <w:rsid w:val="006F2BCB"/>
    <w:rsid w:val="006F4474"/>
    <w:rsid w:val="00701F61"/>
    <w:rsid w:val="007053F2"/>
    <w:rsid w:val="00710B9F"/>
    <w:rsid w:val="00710E28"/>
    <w:rsid w:val="00712ED9"/>
    <w:rsid w:val="00717BE4"/>
    <w:rsid w:val="00720498"/>
    <w:rsid w:val="00724C8C"/>
    <w:rsid w:val="00725807"/>
    <w:rsid w:val="0072754E"/>
    <w:rsid w:val="00732B30"/>
    <w:rsid w:val="00732BED"/>
    <w:rsid w:val="00734D5B"/>
    <w:rsid w:val="00734E8B"/>
    <w:rsid w:val="007407B7"/>
    <w:rsid w:val="00750460"/>
    <w:rsid w:val="00751D71"/>
    <w:rsid w:val="0075529F"/>
    <w:rsid w:val="007559AA"/>
    <w:rsid w:val="007665B4"/>
    <w:rsid w:val="00766CAB"/>
    <w:rsid w:val="007677D7"/>
    <w:rsid w:val="00767CFE"/>
    <w:rsid w:val="00772317"/>
    <w:rsid w:val="00774395"/>
    <w:rsid w:val="007768AB"/>
    <w:rsid w:val="00777DC5"/>
    <w:rsid w:val="007837F2"/>
    <w:rsid w:val="0078429D"/>
    <w:rsid w:val="00792CDA"/>
    <w:rsid w:val="007A03F1"/>
    <w:rsid w:val="007A29E9"/>
    <w:rsid w:val="007A3BAD"/>
    <w:rsid w:val="007B5D34"/>
    <w:rsid w:val="007B64ED"/>
    <w:rsid w:val="007B71E7"/>
    <w:rsid w:val="007D68A0"/>
    <w:rsid w:val="007E0BA4"/>
    <w:rsid w:val="007E1A19"/>
    <w:rsid w:val="007E344B"/>
    <w:rsid w:val="007E52A3"/>
    <w:rsid w:val="007E5FCA"/>
    <w:rsid w:val="007F15CB"/>
    <w:rsid w:val="007F3845"/>
    <w:rsid w:val="007F5D7F"/>
    <w:rsid w:val="0080227D"/>
    <w:rsid w:val="008073BF"/>
    <w:rsid w:val="008126A9"/>
    <w:rsid w:val="008127AB"/>
    <w:rsid w:val="008146EC"/>
    <w:rsid w:val="008168F5"/>
    <w:rsid w:val="00821EBF"/>
    <w:rsid w:val="008249A7"/>
    <w:rsid w:val="00824A57"/>
    <w:rsid w:val="00825801"/>
    <w:rsid w:val="00826E5B"/>
    <w:rsid w:val="008313D1"/>
    <w:rsid w:val="00835BEF"/>
    <w:rsid w:val="00840F98"/>
    <w:rsid w:val="00846008"/>
    <w:rsid w:val="00847FA9"/>
    <w:rsid w:val="00851295"/>
    <w:rsid w:val="00852881"/>
    <w:rsid w:val="00855B87"/>
    <w:rsid w:val="00861B89"/>
    <w:rsid w:val="00863CAE"/>
    <w:rsid w:val="00865887"/>
    <w:rsid w:val="008667BB"/>
    <w:rsid w:val="00874A32"/>
    <w:rsid w:val="008778F1"/>
    <w:rsid w:val="008842EE"/>
    <w:rsid w:val="00886B43"/>
    <w:rsid w:val="00887C2D"/>
    <w:rsid w:val="00887CD1"/>
    <w:rsid w:val="00887E71"/>
    <w:rsid w:val="00890BFE"/>
    <w:rsid w:val="0089446B"/>
    <w:rsid w:val="008A6077"/>
    <w:rsid w:val="008A67B0"/>
    <w:rsid w:val="008B0069"/>
    <w:rsid w:val="008B1704"/>
    <w:rsid w:val="008B27B2"/>
    <w:rsid w:val="008B353F"/>
    <w:rsid w:val="008C2F52"/>
    <w:rsid w:val="008D1151"/>
    <w:rsid w:val="008D176E"/>
    <w:rsid w:val="008D3686"/>
    <w:rsid w:val="008D5350"/>
    <w:rsid w:val="008E0D58"/>
    <w:rsid w:val="008E5D23"/>
    <w:rsid w:val="008E6A78"/>
    <w:rsid w:val="008F27C6"/>
    <w:rsid w:val="008F3478"/>
    <w:rsid w:val="008F4C86"/>
    <w:rsid w:val="008F5FB0"/>
    <w:rsid w:val="008F7161"/>
    <w:rsid w:val="009016C1"/>
    <w:rsid w:val="00901DEC"/>
    <w:rsid w:val="0091544D"/>
    <w:rsid w:val="009169EF"/>
    <w:rsid w:val="00917200"/>
    <w:rsid w:val="00921766"/>
    <w:rsid w:val="0092360E"/>
    <w:rsid w:val="00925068"/>
    <w:rsid w:val="009258DF"/>
    <w:rsid w:val="009260BE"/>
    <w:rsid w:val="0093034E"/>
    <w:rsid w:val="00934C23"/>
    <w:rsid w:val="009355BB"/>
    <w:rsid w:val="00942296"/>
    <w:rsid w:val="00944169"/>
    <w:rsid w:val="009504B9"/>
    <w:rsid w:val="00955566"/>
    <w:rsid w:val="009579DB"/>
    <w:rsid w:val="00960D1E"/>
    <w:rsid w:val="00963F4C"/>
    <w:rsid w:val="00967047"/>
    <w:rsid w:val="009731C8"/>
    <w:rsid w:val="00975007"/>
    <w:rsid w:val="009832F6"/>
    <w:rsid w:val="009834C0"/>
    <w:rsid w:val="009844AA"/>
    <w:rsid w:val="00985BB9"/>
    <w:rsid w:val="00990E58"/>
    <w:rsid w:val="009910CF"/>
    <w:rsid w:val="00993329"/>
    <w:rsid w:val="009A357A"/>
    <w:rsid w:val="009A507C"/>
    <w:rsid w:val="009A5815"/>
    <w:rsid w:val="009B59E9"/>
    <w:rsid w:val="009B6A46"/>
    <w:rsid w:val="009D0BB5"/>
    <w:rsid w:val="009D1986"/>
    <w:rsid w:val="009D53B4"/>
    <w:rsid w:val="009D76C1"/>
    <w:rsid w:val="009E11AD"/>
    <w:rsid w:val="009E2518"/>
    <w:rsid w:val="009E3D5A"/>
    <w:rsid w:val="009E4644"/>
    <w:rsid w:val="009E4DDC"/>
    <w:rsid w:val="009E51E0"/>
    <w:rsid w:val="009E6531"/>
    <w:rsid w:val="009F0111"/>
    <w:rsid w:val="009F146F"/>
    <w:rsid w:val="009F4A91"/>
    <w:rsid w:val="009F5400"/>
    <w:rsid w:val="009F76B0"/>
    <w:rsid w:val="00A011FF"/>
    <w:rsid w:val="00A023F6"/>
    <w:rsid w:val="00A05C51"/>
    <w:rsid w:val="00A07A31"/>
    <w:rsid w:val="00A15932"/>
    <w:rsid w:val="00A15E3B"/>
    <w:rsid w:val="00A256BE"/>
    <w:rsid w:val="00A25F6A"/>
    <w:rsid w:val="00A26F48"/>
    <w:rsid w:val="00A302F1"/>
    <w:rsid w:val="00A37DEE"/>
    <w:rsid w:val="00A44743"/>
    <w:rsid w:val="00A44BC9"/>
    <w:rsid w:val="00A51852"/>
    <w:rsid w:val="00A62B9F"/>
    <w:rsid w:val="00A637D9"/>
    <w:rsid w:val="00A6440F"/>
    <w:rsid w:val="00A65C4E"/>
    <w:rsid w:val="00A6739B"/>
    <w:rsid w:val="00A74290"/>
    <w:rsid w:val="00A749D5"/>
    <w:rsid w:val="00A74DE0"/>
    <w:rsid w:val="00A85F05"/>
    <w:rsid w:val="00A87564"/>
    <w:rsid w:val="00A90C4D"/>
    <w:rsid w:val="00A9630C"/>
    <w:rsid w:val="00A96AC0"/>
    <w:rsid w:val="00A96DAF"/>
    <w:rsid w:val="00AA46FC"/>
    <w:rsid w:val="00AA6A59"/>
    <w:rsid w:val="00AB1097"/>
    <w:rsid w:val="00AB6BC7"/>
    <w:rsid w:val="00AD0606"/>
    <w:rsid w:val="00AD5A2B"/>
    <w:rsid w:val="00AD61EC"/>
    <w:rsid w:val="00AE113E"/>
    <w:rsid w:val="00AE57E0"/>
    <w:rsid w:val="00AE6CF9"/>
    <w:rsid w:val="00AF2C3B"/>
    <w:rsid w:val="00AF331B"/>
    <w:rsid w:val="00AF3C7C"/>
    <w:rsid w:val="00B05CDE"/>
    <w:rsid w:val="00B07046"/>
    <w:rsid w:val="00B10B63"/>
    <w:rsid w:val="00B112FA"/>
    <w:rsid w:val="00B11D3B"/>
    <w:rsid w:val="00B1457D"/>
    <w:rsid w:val="00B1521C"/>
    <w:rsid w:val="00B15A97"/>
    <w:rsid w:val="00B17CE3"/>
    <w:rsid w:val="00B20F0B"/>
    <w:rsid w:val="00B21D90"/>
    <w:rsid w:val="00B23D66"/>
    <w:rsid w:val="00B243CC"/>
    <w:rsid w:val="00B2496E"/>
    <w:rsid w:val="00B268B9"/>
    <w:rsid w:val="00B27459"/>
    <w:rsid w:val="00B326C7"/>
    <w:rsid w:val="00B36130"/>
    <w:rsid w:val="00B36B18"/>
    <w:rsid w:val="00B43557"/>
    <w:rsid w:val="00B45B61"/>
    <w:rsid w:val="00B4657E"/>
    <w:rsid w:val="00B50D2C"/>
    <w:rsid w:val="00B5201C"/>
    <w:rsid w:val="00B5233E"/>
    <w:rsid w:val="00B576C5"/>
    <w:rsid w:val="00B60464"/>
    <w:rsid w:val="00B615BD"/>
    <w:rsid w:val="00B62CAB"/>
    <w:rsid w:val="00B6500D"/>
    <w:rsid w:val="00B667D3"/>
    <w:rsid w:val="00B66F35"/>
    <w:rsid w:val="00B67CC9"/>
    <w:rsid w:val="00B72AC3"/>
    <w:rsid w:val="00B736E2"/>
    <w:rsid w:val="00B73ADD"/>
    <w:rsid w:val="00B77E0E"/>
    <w:rsid w:val="00B80162"/>
    <w:rsid w:val="00B87EF5"/>
    <w:rsid w:val="00B96295"/>
    <w:rsid w:val="00BA58DA"/>
    <w:rsid w:val="00BA658F"/>
    <w:rsid w:val="00BA733F"/>
    <w:rsid w:val="00BB262A"/>
    <w:rsid w:val="00BB2CEA"/>
    <w:rsid w:val="00BB64FC"/>
    <w:rsid w:val="00BB6B67"/>
    <w:rsid w:val="00BB7634"/>
    <w:rsid w:val="00BC155B"/>
    <w:rsid w:val="00BC6531"/>
    <w:rsid w:val="00BD030A"/>
    <w:rsid w:val="00BD1AF0"/>
    <w:rsid w:val="00BD4F21"/>
    <w:rsid w:val="00BE105C"/>
    <w:rsid w:val="00BE2B0F"/>
    <w:rsid w:val="00BE5104"/>
    <w:rsid w:val="00BE5D90"/>
    <w:rsid w:val="00BF3EB1"/>
    <w:rsid w:val="00BF6DDD"/>
    <w:rsid w:val="00C00880"/>
    <w:rsid w:val="00C00B66"/>
    <w:rsid w:val="00C02E7A"/>
    <w:rsid w:val="00C06721"/>
    <w:rsid w:val="00C10683"/>
    <w:rsid w:val="00C117B7"/>
    <w:rsid w:val="00C13626"/>
    <w:rsid w:val="00C2598F"/>
    <w:rsid w:val="00C2669D"/>
    <w:rsid w:val="00C3076C"/>
    <w:rsid w:val="00C30A75"/>
    <w:rsid w:val="00C33206"/>
    <w:rsid w:val="00C33DA3"/>
    <w:rsid w:val="00C34025"/>
    <w:rsid w:val="00C40F03"/>
    <w:rsid w:val="00C45D2A"/>
    <w:rsid w:val="00C47875"/>
    <w:rsid w:val="00C5113A"/>
    <w:rsid w:val="00C522D4"/>
    <w:rsid w:val="00C52D14"/>
    <w:rsid w:val="00C538AE"/>
    <w:rsid w:val="00C55901"/>
    <w:rsid w:val="00C64A42"/>
    <w:rsid w:val="00C65B4E"/>
    <w:rsid w:val="00C67476"/>
    <w:rsid w:val="00C708B9"/>
    <w:rsid w:val="00C70A35"/>
    <w:rsid w:val="00C710B9"/>
    <w:rsid w:val="00C77F46"/>
    <w:rsid w:val="00C8048D"/>
    <w:rsid w:val="00C80B68"/>
    <w:rsid w:val="00C81B1B"/>
    <w:rsid w:val="00C82FDA"/>
    <w:rsid w:val="00C878CE"/>
    <w:rsid w:val="00C913D8"/>
    <w:rsid w:val="00C924A0"/>
    <w:rsid w:val="00C92B04"/>
    <w:rsid w:val="00C934C8"/>
    <w:rsid w:val="00C95580"/>
    <w:rsid w:val="00C97BB4"/>
    <w:rsid w:val="00CA5FBB"/>
    <w:rsid w:val="00CA7CEF"/>
    <w:rsid w:val="00CB249D"/>
    <w:rsid w:val="00CB7BDC"/>
    <w:rsid w:val="00CC03BA"/>
    <w:rsid w:val="00CC2EAB"/>
    <w:rsid w:val="00CC4FA1"/>
    <w:rsid w:val="00CC5403"/>
    <w:rsid w:val="00CD2D93"/>
    <w:rsid w:val="00CD4CE5"/>
    <w:rsid w:val="00CD6C48"/>
    <w:rsid w:val="00CE3E60"/>
    <w:rsid w:val="00CE4C68"/>
    <w:rsid w:val="00CE581E"/>
    <w:rsid w:val="00CF0C6F"/>
    <w:rsid w:val="00CF4C46"/>
    <w:rsid w:val="00D012FC"/>
    <w:rsid w:val="00D05C31"/>
    <w:rsid w:val="00D12EA7"/>
    <w:rsid w:val="00D1759E"/>
    <w:rsid w:val="00D20450"/>
    <w:rsid w:val="00D208AD"/>
    <w:rsid w:val="00D2340A"/>
    <w:rsid w:val="00D26917"/>
    <w:rsid w:val="00D27487"/>
    <w:rsid w:val="00D31BFC"/>
    <w:rsid w:val="00D3316A"/>
    <w:rsid w:val="00D35787"/>
    <w:rsid w:val="00D36A07"/>
    <w:rsid w:val="00D40259"/>
    <w:rsid w:val="00D40F86"/>
    <w:rsid w:val="00D417E1"/>
    <w:rsid w:val="00D41874"/>
    <w:rsid w:val="00D4412B"/>
    <w:rsid w:val="00D4573F"/>
    <w:rsid w:val="00D5576F"/>
    <w:rsid w:val="00D5658D"/>
    <w:rsid w:val="00D5763B"/>
    <w:rsid w:val="00D60330"/>
    <w:rsid w:val="00D603F3"/>
    <w:rsid w:val="00D65E68"/>
    <w:rsid w:val="00D70BE6"/>
    <w:rsid w:val="00D72BBE"/>
    <w:rsid w:val="00D7396C"/>
    <w:rsid w:val="00D754B3"/>
    <w:rsid w:val="00D75D95"/>
    <w:rsid w:val="00D7653E"/>
    <w:rsid w:val="00D76D06"/>
    <w:rsid w:val="00D90D77"/>
    <w:rsid w:val="00D92B99"/>
    <w:rsid w:val="00D9455F"/>
    <w:rsid w:val="00D94570"/>
    <w:rsid w:val="00D95233"/>
    <w:rsid w:val="00D96E39"/>
    <w:rsid w:val="00D97C08"/>
    <w:rsid w:val="00DA0333"/>
    <w:rsid w:val="00DA074E"/>
    <w:rsid w:val="00DA37ED"/>
    <w:rsid w:val="00DA4C1A"/>
    <w:rsid w:val="00DA653C"/>
    <w:rsid w:val="00DB4A7B"/>
    <w:rsid w:val="00DC0911"/>
    <w:rsid w:val="00DC1130"/>
    <w:rsid w:val="00DC5902"/>
    <w:rsid w:val="00DC5D6B"/>
    <w:rsid w:val="00DD10D4"/>
    <w:rsid w:val="00DD1F7A"/>
    <w:rsid w:val="00DD346A"/>
    <w:rsid w:val="00DD597A"/>
    <w:rsid w:val="00DD5F99"/>
    <w:rsid w:val="00DE06FD"/>
    <w:rsid w:val="00DE311E"/>
    <w:rsid w:val="00DE391F"/>
    <w:rsid w:val="00DE75F9"/>
    <w:rsid w:val="00DF04EC"/>
    <w:rsid w:val="00E02212"/>
    <w:rsid w:val="00E04A3D"/>
    <w:rsid w:val="00E04E0D"/>
    <w:rsid w:val="00E06A4D"/>
    <w:rsid w:val="00E07E58"/>
    <w:rsid w:val="00E20DF6"/>
    <w:rsid w:val="00E26967"/>
    <w:rsid w:val="00E27D30"/>
    <w:rsid w:val="00E300BE"/>
    <w:rsid w:val="00E3023D"/>
    <w:rsid w:val="00E33372"/>
    <w:rsid w:val="00E362E2"/>
    <w:rsid w:val="00E40E72"/>
    <w:rsid w:val="00E43CC4"/>
    <w:rsid w:val="00E43E82"/>
    <w:rsid w:val="00E45159"/>
    <w:rsid w:val="00E518EC"/>
    <w:rsid w:val="00E51974"/>
    <w:rsid w:val="00E54AB2"/>
    <w:rsid w:val="00E608A7"/>
    <w:rsid w:val="00E6239E"/>
    <w:rsid w:val="00E63BEE"/>
    <w:rsid w:val="00E70E58"/>
    <w:rsid w:val="00E719D2"/>
    <w:rsid w:val="00E73E2B"/>
    <w:rsid w:val="00E76A4C"/>
    <w:rsid w:val="00E80974"/>
    <w:rsid w:val="00E82187"/>
    <w:rsid w:val="00E858B3"/>
    <w:rsid w:val="00E85A02"/>
    <w:rsid w:val="00E8626C"/>
    <w:rsid w:val="00E869BE"/>
    <w:rsid w:val="00E90194"/>
    <w:rsid w:val="00E9634B"/>
    <w:rsid w:val="00EA01F7"/>
    <w:rsid w:val="00EA1AD9"/>
    <w:rsid w:val="00EA230A"/>
    <w:rsid w:val="00EA4ABB"/>
    <w:rsid w:val="00EA5FAF"/>
    <w:rsid w:val="00EB00B9"/>
    <w:rsid w:val="00EB3A9E"/>
    <w:rsid w:val="00EC0E9E"/>
    <w:rsid w:val="00EC27CE"/>
    <w:rsid w:val="00EC437E"/>
    <w:rsid w:val="00ED37E3"/>
    <w:rsid w:val="00ED707F"/>
    <w:rsid w:val="00EE6120"/>
    <w:rsid w:val="00EF6AA1"/>
    <w:rsid w:val="00F10369"/>
    <w:rsid w:val="00F12E1F"/>
    <w:rsid w:val="00F1395B"/>
    <w:rsid w:val="00F2304C"/>
    <w:rsid w:val="00F254B0"/>
    <w:rsid w:val="00F25700"/>
    <w:rsid w:val="00F30ACB"/>
    <w:rsid w:val="00F30B60"/>
    <w:rsid w:val="00F360DE"/>
    <w:rsid w:val="00F41AE4"/>
    <w:rsid w:val="00F44C8E"/>
    <w:rsid w:val="00F52B59"/>
    <w:rsid w:val="00F56629"/>
    <w:rsid w:val="00F6140D"/>
    <w:rsid w:val="00F62D83"/>
    <w:rsid w:val="00F64450"/>
    <w:rsid w:val="00F66CDC"/>
    <w:rsid w:val="00F6753C"/>
    <w:rsid w:val="00F71AE7"/>
    <w:rsid w:val="00F72437"/>
    <w:rsid w:val="00F73B03"/>
    <w:rsid w:val="00F75AC1"/>
    <w:rsid w:val="00F80211"/>
    <w:rsid w:val="00F83967"/>
    <w:rsid w:val="00F848C7"/>
    <w:rsid w:val="00F85211"/>
    <w:rsid w:val="00F86C54"/>
    <w:rsid w:val="00F91804"/>
    <w:rsid w:val="00F91A8B"/>
    <w:rsid w:val="00F929D9"/>
    <w:rsid w:val="00F973F9"/>
    <w:rsid w:val="00FA024F"/>
    <w:rsid w:val="00FA156B"/>
    <w:rsid w:val="00FA3126"/>
    <w:rsid w:val="00FA31E8"/>
    <w:rsid w:val="00FA371C"/>
    <w:rsid w:val="00FA37C3"/>
    <w:rsid w:val="00FA4C44"/>
    <w:rsid w:val="00FA4D43"/>
    <w:rsid w:val="00FB2891"/>
    <w:rsid w:val="00FB3320"/>
    <w:rsid w:val="00FB486F"/>
    <w:rsid w:val="00FC3E0B"/>
    <w:rsid w:val="00FC632B"/>
    <w:rsid w:val="00FD71A1"/>
    <w:rsid w:val="00FE239C"/>
    <w:rsid w:val="00FE4495"/>
    <w:rsid w:val="00FE5560"/>
    <w:rsid w:val="00FF1E87"/>
    <w:rsid w:val="00FF4FCD"/>
    <w:rsid w:val="00FF5218"/>
  </w:rsids>
  <m:mathPr>
    <m:mathFont m:val="Cambria Math"/>
    <m:brkBin m:val="before"/>
    <m:brkBinSub m:val="--"/>
    <m:smallFrac m:val="0"/>
    <m:dispDef/>
    <m:lMargin m:val="0"/>
    <m:rMargin m:val="0"/>
    <m:defJc m:val="centerGroup"/>
    <m:wrapIndent m:val="1440"/>
    <m:intLim m:val="subSup"/>
    <m:naryLim m:val="undOvr"/>
  </m:mathPr>
  <w:attachedSchema w:val="urn:schemas:contacts"/>
  <w:attachedSchema w:val="www.geomatic.com.au/Geocode2006"/>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6145"/>
    <o:shapelayout v:ext="edit">
      <o:idmap v:ext="edit" data="1"/>
    </o:shapelayout>
  </w:shapeDefaults>
  <w:decimalSymbol w:val=","/>
  <w:listSeparator w:val=";"/>
  <w14:docId w14:val="29651831"/>
  <w15:docId w15:val="{B973CDF3-D738-40B2-A47B-0D9B4E7C3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AU" w:eastAsia="en-A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locked="1"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5AA8"/>
    <w:pPr>
      <w:tabs>
        <w:tab w:val="left" w:pos="-720"/>
      </w:tabs>
      <w:spacing w:line="360" w:lineRule="atLeast"/>
      <w:jc w:val="both"/>
    </w:pPr>
    <w:rPr>
      <w:sz w:val="20"/>
      <w:szCs w:val="20"/>
      <w:lang w:val="en-GB" w:eastAsia="fr-FR"/>
    </w:rPr>
  </w:style>
  <w:style w:type="paragraph" w:styleId="Titre1">
    <w:name w:val="heading 1"/>
    <w:basedOn w:val="Normal"/>
    <w:next w:val="Normal"/>
    <w:link w:val="Titre1Car"/>
    <w:uiPriority w:val="99"/>
    <w:qFormat/>
    <w:rsid w:val="005D5AA8"/>
    <w:pPr>
      <w:spacing w:before="240"/>
      <w:outlineLvl w:val="0"/>
    </w:pPr>
    <w:rPr>
      <w:rFonts w:ascii="Arial" w:hAnsi="Arial" w:cs="Arial"/>
      <w:b/>
      <w:bCs/>
      <w:sz w:val="24"/>
      <w:szCs w:val="24"/>
      <w:u w:val="single"/>
    </w:rPr>
  </w:style>
  <w:style w:type="paragraph" w:styleId="Titre2">
    <w:name w:val="heading 2"/>
    <w:basedOn w:val="Normal"/>
    <w:next w:val="Normal"/>
    <w:link w:val="Titre2Car"/>
    <w:qFormat/>
    <w:rsid w:val="005D5AA8"/>
    <w:pPr>
      <w:spacing w:before="120"/>
      <w:outlineLvl w:val="1"/>
    </w:pPr>
    <w:rPr>
      <w:rFonts w:ascii="Arial" w:hAnsi="Arial" w:cs="Arial"/>
      <w:b/>
      <w:bCs/>
      <w:sz w:val="24"/>
      <w:szCs w:val="24"/>
    </w:rPr>
  </w:style>
  <w:style w:type="paragraph" w:styleId="Titre3">
    <w:name w:val="heading 3"/>
    <w:basedOn w:val="Normal"/>
    <w:next w:val="Normal"/>
    <w:link w:val="Titre3Car"/>
    <w:qFormat/>
    <w:rsid w:val="005D5AA8"/>
    <w:pPr>
      <w:ind w:left="360"/>
      <w:outlineLvl w:val="2"/>
    </w:pPr>
    <w:rPr>
      <w:b/>
      <w:bCs/>
      <w:sz w:val="24"/>
      <w:szCs w:val="24"/>
    </w:rPr>
  </w:style>
  <w:style w:type="paragraph" w:styleId="Titre4">
    <w:name w:val="heading 4"/>
    <w:basedOn w:val="Normal"/>
    <w:next w:val="Normal"/>
    <w:link w:val="Titre4Car"/>
    <w:qFormat/>
    <w:rsid w:val="005D5AA8"/>
    <w:pPr>
      <w:ind w:left="360"/>
      <w:outlineLvl w:val="3"/>
    </w:pPr>
    <w:rPr>
      <w:sz w:val="24"/>
      <w:szCs w:val="24"/>
      <w:u w:val="single"/>
    </w:rPr>
  </w:style>
  <w:style w:type="paragraph" w:styleId="Titre5">
    <w:name w:val="heading 5"/>
    <w:basedOn w:val="Normal"/>
    <w:next w:val="Normal"/>
    <w:link w:val="Titre5Car"/>
    <w:qFormat/>
    <w:rsid w:val="005D5AA8"/>
    <w:pPr>
      <w:ind w:left="720"/>
      <w:outlineLvl w:val="4"/>
    </w:pPr>
    <w:rPr>
      <w:b/>
      <w:bCs/>
    </w:rPr>
  </w:style>
  <w:style w:type="paragraph" w:styleId="Titre6">
    <w:name w:val="heading 6"/>
    <w:basedOn w:val="Normal"/>
    <w:next w:val="Normal"/>
    <w:link w:val="Titre6Car"/>
    <w:qFormat/>
    <w:rsid w:val="005D5AA8"/>
    <w:pPr>
      <w:ind w:left="720"/>
      <w:outlineLvl w:val="5"/>
    </w:pPr>
    <w:rPr>
      <w:u w:val="single"/>
    </w:rPr>
  </w:style>
  <w:style w:type="paragraph" w:styleId="Titre7">
    <w:name w:val="heading 7"/>
    <w:basedOn w:val="Normal"/>
    <w:next w:val="Normal"/>
    <w:link w:val="Titre7Car"/>
    <w:qFormat/>
    <w:rsid w:val="005D5AA8"/>
    <w:pPr>
      <w:ind w:left="720"/>
      <w:outlineLvl w:val="6"/>
    </w:pPr>
    <w:rPr>
      <w:i/>
      <w:iCs/>
    </w:rPr>
  </w:style>
  <w:style w:type="paragraph" w:styleId="Titre8">
    <w:name w:val="heading 8"/>
    <w:basedOn w:val="Normal"/>
    <w:next w:val="Normal"/>
    <w:link w:val="Titre8Car"/>
    <w:qFormat/>
    <w:rsid w:val="005D5AA8"/>
    <w:pPr>
      <w:ind w:left="720"/>
      <w:outlineLvl w:val="7"/>
    </w:pPr>
    <w:rPr>
      <w:i/>
      <w:iCs/>
    </w:rPr>
  </w:style>
  <w:style w:type="paragraph" w:styleId="Titre9">
    <w:name w:val="heading 9"/>
    <w:basedOn w:val="Normal"/>
    <w:next w:val="Normal"/>
    <w:link w:val="Titre9Car"/>
    <w:qFormat/>
    <w:rsid w:val="005D5AA8"/>
    <w:pPr>
      <w:ind w:left="720"/>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A03861"/>
    <w:rPr>
      <w:rFonts w:asciiTheme="majorHAnsi" w:eastAsiaTheme="majorEastAsia" w:hAnsiTheme="majorHAnsi" w:cstheme="majorBidi"/>
      <w:b/>
      <w:bCs/>
      <w:kern w:val="32"/>
      <w:sz w:val="32"/>
      <w:szCs w:val="32"/>
      <w:lang w:val="en-GB" w:eastAsia="fr-FR"/>
    </w:rPr>
  </w:style>
  <w:style w:type="character" w:customStyle="1" w:styleId="Titre2Car">
    <w:name w:val="Titre 2 Car"/>
    <w:basedOn w:val="Policepardfaut"/>
    <w:link w:val="Titre2"/>
    <w:uiPriority w:val="9"/>
    <w:semiHidden/>
    <w:rsid w:val="00A03861"/>
    <w:rPr>
      <w:rFonts w:asciiTheme="majorHAnsi" w:eastAsiaTheme="majorEastAsia" w:hAnsiTheme="majorHAnsi" w:cstheme="majorBidi"/>
      <w:b/>
      <w:bCs/>
      <w:i/>
      <w:iCs/>
      <w:sz w:val="28"/>
      <w:szCs w:val="28"/>
      <w:lang w:val="en-GB" w:eastAsia="fr-FR"/>
    </w:rPr>
  </w:style>
  <w:style w:type="character" w:customStyle="1" w:styleId="Titre3Car">
    <w:name w:val="Titre 3 Car"/>
    <w:basedOn w:val="Policepardfaut"/>
    <w:link w:val="Titre3"/>
    <w:uiPriority w:val="9"/>
    <w:semiHidden/>
    <w:rsid w:val="00A03861"/>
    <w:rPr>
      <w:rFonts w:asciiTheme="majorHAnsi" w:eastAsiaTheme="majorEastAsia" w:hAnsiTheme="majorHAnsi" w:cstheme="majorBidi"/>
      <w:b/>
      <w:bCs/>
      <w:sz w:val="26"/>
      <w:szCs w:val="26"/>
      <w:lang w:val="en-GB" w:eastAsia="fr-FR"/>
    </w:rPr>
  </w:style>
  <w:style w:type="character" w:customStyle="1" w:styleId="Titre4Car">
    <w:name w:val="Titre 4 Car"/>
    <w:basedOn w:val="Policepardfaut"/>
    <w:link w:val="Titre4"/>
    <w:uiPriority w:val="9"/>
    <w:semiHidden/>
    <w:rsid w:val="00A03861"/>
    <w:rPr>
      <w:rFonts w:asciiTheme="minorHAnsi" w:eastAsiaTheme="minorEastAsia" w:hAnsiTheme="minorHAnsi" w:cstheme="minorBidi"/>
      <w:b/>
      <w:bCs/>
      <w:sz w:val="28"/>
      <w:szCs w:val="28"/>
      <w:lang w:val="en-GB" w:eastAsia="fr-FR"/>
    </w:rPr>
  </w:style>
  <w:style w:type="character" w:customStyle="1" w:styleId="Titre5Car">
    <w:name w:val="Titre 5 Car"/>
    <w:basedOn w:val="Policepardfaut"/>
    <w:link w:val="Titre5"/>
    <w:uiPriority w:val="9"/>
    <w:semiHidden/>
    <w:rsid w:val="00A03861"/>
    <w:rPr>
      <w:rFonts w:asciiTheme="minorHAnsi" w:eastAsiaTheme="minorEastAsia" w:hAnsiTheme="minorHAnsi" w:cstheme="minorBidi"/>
      <w:b/>
      <w:bCs/>
      <w:i/>
      <w:iCs/>
      <w:sz w:val="26"/>
      <w:szCs w:val="26"/>
      <w:lang w:val="en-GB" w:eastAsia="fr-FR"/>
    </w:rPr>
  </w:style>
  <w:style w:type="character" w:customStyle="1" w:styleId="Titre6Car">
    <w:name w:val="Titre 6 Car"/>
    <w:basedOn w:val="Policepardfaut"/>
    <w:link w:val="Titre6"/>
    <w:uiPriority w:val="9"/>
    <w:semiHidden/>
    <w:rsid w:val="00A03861"/>
    <w:rPr>
      <w:rFonts w:asciiTheme="minorHAnsi" w:eastAsiaTheme="minorEastAsia" w:hAnsiTheme="minorHAnsi" w:cstheme="minorBidi"/>
      <w:b/>
      <w:bCs/>
      <w:lang w:val="en-GB" w:eastAsia="fr-FR"/>
    </w:rPr>
  </w:style>
  <w:style w:type="character" w:customStyle="1" w:styleId="Titre7Car">
    <w:name w:val="Titre 7 Car"/>
    <w:basedOn w:val="Policepardfaut"/>
    <w:link w:val="Titre7"/>
    <w:uiPriority w:val="9"/>
    <w:semiHidden/>
    <w:rsid w:val="00A03861"/>
    <w:rPr>
      <w:rFonts w:asciiTheme="minorHAnsi" w:eastAsiaTheme="minorEastAsia" w:hAnsiTheme="minorHAnsi" w:cstheme="minorBidi"/>
      <w:sz w:val="24"/>
      <w:szCs w:val="24"/>
      <w:lang w:val="en-GB" w:eastAsia="fr-FR"/>
    </w:rPr>
  </w:style>
  <w:style w:type="character" w:customStyle="1" w:styleId="Titre8Car">
    <w:name w:val="Titre 8 Car"/>
    <w:basedOn w:val="Policepardfaut"/>
    <w:link w:val="Titre8"/>
    <w:uiPriority w:val="9"/>
    <w:semiHidden/>
    <w:rsid w:val="00A03861"/>
    <w:rPr>
      <w:rFonts w:asciiTheme="minorHAnsi" w:eastAsiaTheme="minorEastAsia" w:hAnsiTheme="minorHAnsi" w:cstheme="minorBidi"/>
      <w:i/>
      <w:iCs/>
      <w:sz w:val="24"/>
      <w:szCs w:val="24"/>
      <w:lang w:val="en-GB" w:eastAsia="fr-FR"/>
    </w:rPr>
  </w:style>
  <w:style w:type="character" w:customStyle="1" w:styleId="Titre9Car">
    <w:name w:val="Titre 9 Car"/>
    <w:basedOn w:val="Policepardfaut"/>
    <w:link w:val="Titre9"/>
    <w:uiPriority w:val="9"/>
    <w:semiHidden/>
    <w:rsid w:val="00A03861"/>
    <w:rPr>
      <w:rFonts w:asciiTheme="majorHAnsi" w:eastAsiaTheme="majorEastAsia" w:hAnsiTheme="majorHAnsi" w:cstheme="majorBidi"/>
      <w:lang w:val="en-GB" w:eastAsia="fr-FR"/>
    </w:rPr>
  </w:style>
  <w:style w:type="character" w:styleId="Numrodeligne">
    <w:name w:val="line number"/>
    <w:basedOn w:val="Policepardfaut"/>
    <w:rsid w:val="00710E28"/>
    <w:rPr>
      <w:rFonts w:ascii="Arial" w:hAnsi="Arial" w:cs="Times New Roman"/>
      <w:sz w:val="16"/>
    </w:rPr>
  </w:style>
  <w:style w:type="paragraph" w:styleId="En-tte">
    <w:name w:val="header"/>
    <w:basedOn w:val="Normal"/>
    <w:link w:val="En-tteCar"/>
    <w:rsid w:val="005D5AA8"/>
    <w:pPr>
      <w:tabs>
        <w:tab w:val="clear" w:pos="-720"/>
        <w:tab w:val="center" w:pos="4536"/>
        <w:tab w:val="right" w:pos="9072"/>
      </w:tabs>
    </w:pPr>
  </w:style>
  <w:style w:type="character" w:customStyle="1" w:styleId="En-tteCar">
    <w:name w:val="En-tête Car"/>
    <w:basedOn w:val="Policepardfaut"/>
    <w:link w:val="En-tte"/>
    <w:locked/>
    <w:rsid w:val="00E06A4D"/>
    <w:rPr>
      <w:rFonts w:cs="Times New Roman"/>
      <w:lang w:eastAsia="fr-FR"/>
    </w:rPr>
  </w:style>
  <w:style w:type="paragraph" w:customStyle="1" w:styleId="notedebas">
    <w:name w:val="note de bas"/>
    <w:basedOn w:val="Normal"/>
    <w:rsid w:val="00242A97"/>
    <w:pPr>
      <w:widowControl w:val="0"/>
      <w:spacing w:line="240" w:lineRule="auto"/>
      <w:ind w:left="425" w:hanging="425"/>
    </w:pPr>
    <w:rPr>
      <w:rFonts w:ascii="Arial" w:hAnsi="Arial" w:cs="Arial"/>
      <w:sz w:val="16"/>
      <w:szCs w:val="16"/>
      <w:lang w:val="en-US"/>
    </w:rPr>
  </w:style>
  <w:style w:type="paragraph" w:customStyle="1" w:styleId="a">
    <w:name w:val="a)"/>
    <w:basedOn w:val="Normal"/>
    <w:rsid w:val="005D5AA8"/>
    <w:pPr>
      <w:tabs>
        <w:tab w:val="clear" w:pos="-720"/>
      </w:tabs>
      <w:spacing w:after="120" w:line="240" w:lineRule="auto"/>
      <w:ind w:left="425" w:hanging="425"/>
    </w:pPr>
    <w:rPr>
      <w:rFonts w:ascii="Ottawa" w:hAnsi="Ottawa"/>
      <w:b/>
      <w:bCs/>
    </w:rPr>
  </w:style>
  <w:style w:type="paragraph" w:customStyle="1" w:styleId="paraa">
    <w:name w:val="paraa)"/>
    <w:basedOn w:val="Normal"/>
    <w:rsid w:val="005D5AA8"/>
    <w:pPr>
      <w:spacing w:after="240" w:line="240" w:lineRule="auto"/>
      <w:ind w:left="425"/>
    </w:pPr>
    <w:rPr>
      <w:rFonts w:ascii="Arial" w:hAnsi="Arial" w:cs="Arial"/>
      <w:sz w:val="18"/>
      <w:szCs w:val="18"/>
    </w:rPr>
  </w:style>
  <w:style w:type="paragraph" w:customStyle="1" w:styleId="1">
    <w:name w:val="1"/>
    <w:basedOn w:val="para1"/>
    <w:rsid w:val="005D5AA8"/>
    <w:pPr>
      <w:tabs>
        <w:tab w:val="clear" w:pos="-720"/>
      </w:tabs>
      <w:ind w:left="426" w:hanging="426"/>
    </w:pPr>
    <w:rPr>
      <w:rFonts w:ascii="Ottawa" w:hAnsi="Ottawa"/>
      <w:b/>
      <w:bCs/>
      <w:sz w:val="22"/>
      <w:szCs w:val="22"/>
    </w:rPr>
  </w:style>
  <w:style w:type="paragraph" w:customStyle="1" w:styleId="para1">
    <w:name w:val="para1"/>
    <w:basedOn w:val="Normal"/>
    <w:rsid w:val="005D5AA8"/>
    <w:pPr>
      <w:spacing w:after="240" w:line="240" w:lineRule="auto"/>
    </w:pPr>
    <w:rPr>
      <w:rFonts w:ascii="Arial" w:hAnsi="Arial" w:cs="Arial"/>
      <w:sz w:val="18"/>
      <w:szCs w:val="18"/>
    </w:rPr>
  </w:style>
  <w:style w:type="paragraph" w:customStyle="1" w:styleId="i">
    <w:name w:val="i)"/>
    <w:basedOn w:val="Normal"/>
    <w:qFormat/>
    <w:rsid w:val="00060C58"/>
    <w:pPr>
      <w:spacing w:after="120" w:line="240" w:lineRule="auto"/>
      <w:ind w:left="1843" w:hanging="425"/>
    </w:pPr>
    <w:rPr>
      <w:rFonts w:ascii="Arial" w:hAnsi="Arial" w:cs="Arial"/>
      <w:sz w:val="18"/>
      <w:szCs w:val="18"/>
    </w:rPr>
  </w:style>
  <w:style w:type="paragraph" w:customStyle="1" w:styleId="A0">
    <w:name w:val="A"/>
    <w:basedOn w:val="Normal"/>
    <w:rsid w:val="00230BE2"/>
    <w:pPr>
      <w:spacing w:after="240" w:line="240" w:lineRule="auto"/>
      <w:jc w:val="center"/>
    </w:pPr>
    <w:rPr>
      <w:rFonts w:ascii="Ottawa" w:hAnsi="Ottawa"/>
      <w:b/>
      <w:bCs/>
      <w:caps/>
      <w:sz w:val="24"/>
      <w:szCs w:val="24"/>
    </w:rPr>
  </w:style>
  <w:style w:type="paragraph" w:customStyle="1" w:styleId="Ref">
    <w:name w:val="Ref."/>
    <w:basedOn w:val="Normal"/>
    <w:rsid w:val="006849A2"/>
    <w:pPr>
      <w:spacing w:after="240" w:line="240" w:lineRule="auto"/>
    </w:pPr>
    <w:rPr>
      <w:rFonts w:ascii="Arial" w:hAnsi="Arial" w:cs="Arial"/>
      <w:sz w:val="18"/>
      <w:szCs w:val="18"/>
    </w:rPr>
  </w:style>
  <w:style w:type="paragraph" w:customStyle="1" w:styleId="sumtexte">
    <w:name w:val="sumtexte"/>
    <w:basedOn w:val="Normal"/>
    <w:rsid w:val="005D5AA8"/>
    <w:pPr>
      <w:spacing w:after="120" w:line="240" w:lineRule="exact"/>
      <w:ind w:left="567" w:right="567"/>
    </w:pPr>
    <w:rPr>
      <w:rFonts w:ascii="Arial" w:hAnsi="Arial" w:cs="Arial"/>
      <w:i/>
      <w:iCs/>
      <w:sz w:val="18"/>
      <w:szCs w:val="18"/>
    </w:rPr>
  </w:style>
  <w:style w:type="paragraph" w:customStyle="1" w:styleId="paraA0">
    <w:name w:val="paraA"/>
    <w:basedOn w:val="Normal"/>
    <w:rsid w:val="005D5AA8"/>
    <w:pPr>
      <w:spacing w:after="240" w:line="240" w:lineRule="auto"/>
    </w:pPr>
    <w:rPr>
      <w:rFonts w:ascii="Arial" w:hAnsi="Arial" w:cs="Arial"/>
      <w:sz w:val="18"/>
      <w:szCs w:val="18"/>
    </w:rPr>
  </w:style>
  <w:style w:type="paragraph" w:customStyle="1" w:styleId="TITRE">
    <w:name w:val="TITRE"/>
    <w:basedOn w:val="Normal"/>
    <w:rsid w:val="005D5AA8"/>
    <w:pPr>
      <w:spacing w:after="240"/>
      <w:jc w:val="center"/>
    </w:pPr>
    <w:rPr>
      <w:b/>
      <w:bCs/>
      <w:caps/>
    </w:rPr>
  </w:style>
  <w:style w:type="paragraph" w:styleId="Pieddepage">
    <w:name w:val="footer"/>
    <w:basedOn w:val="Normal"/>
    <w:link w:val="PieddepageCar"/>
    <w:rsid w:val="005D5AA8"/>
    <w:pPr>
      <w:tabs>
        <w:tab w:val="clear" w:pos="-720"/>
        <w:tab w:val="center" w:pos="4536"/>
        <w:tab w:val="right" w:pos="9072"/>
      </w:tabs>
    </w:pPr>
  </w:style>
  <w:style w:type="character" w:customStyle="1" w:styleId="PieddepageCar">
    <w:name w:val="Pied de page Car"/>
    <w:basedOn w:val="Policepardfaut"/>
    <w:link w:val="Pieddepage"/>
    <w:uiPriority w:val="99"/>
    <w:semiHidden/>
    <w:rsid w:val="00A03861"/>
    <w:rPr>
      <w:sz w:val="20"/>
      <w:szCs w:val="20"/>
      <w:lang w:val="en-GB" w:eastAsia="fr-FR"/>
    </w:rPr>
  </w:style>
  <w:style w:type="paragraph" w:styleId="Notedebasdepage">
    <w:name w:val="footnote text"/>
    <w:basedOn w:val="Normal"/>
    <w:link w:val="NotedebasdepageCar"/>
    <w:semiHidden/>
    <w:rsid w:val="005D5AA8"/>
  </w:style>
  <w:style w:type="character" w:customStyle="1" w:styleId="NotedebasdepageCar">
    <w:name w:val="Note de bas de page Car"/>
    <w:basedOn w:val="Policepardfaut"/>
    <w:link w:val="Notedebasdepage"/>
    <w:semiHidden/>
    <w:rsid w:val="00A03861"/>
    <w:rPr>
      <w:sz w:val="20"/>
      <w:szCs w:val="20"/>
      <w:lang w:val="en-GB" w:eastAsia="fr-FR"/>
    </w:rPr>
  </w:style>
  <w:style w:type="character" w:styleId="Appelnotedebasdep">
    <w:name w:val="footnote reference"/>
    <w:basedOn w:val="Policepardfaut"/>
    <w:semiHidden/>
    <w:rsid w:val="005D5AA8"/>
    <w:rPr>
      <w:rFonts w:cs="Times New Roman"/>
      <w:vertAlign w:val="superscript"/>
    </w:rPr>
  </w:style>
  <w:style w:type="paragraph" w:customStyle="1" w:styleId="sumtextelastpara">
    <w:name w:val="sumtexte last para"/>
    <w:basedOn w:val="sumtexte"/>
    <w:rsid w:val="00242A97"/>
    <w:pPr>
      <w:spacing w:after="480"/>
    </w:pPr>
  </w:style>
  <w:style w:type="paragraph" w:customStyle="1" w:styleId="b">
    <w:name w:val="b)"/>
    <w:basedOn w:val="Normal"/>
    <w:rsid w:val="00242A97"/>
    <w:pPr>
      <w:spacing w:after="120" w:line="240" w:lineRule="auto"/>
      <w:ind w:left="850" w:hanging="425"/>
    </w:pPr>
    <w:rPr>
      <w:rFonts w:ascii="Ottawa" w:hAnsi="Ottawa"/>
      <w:b/>
      <w:sz w:val="18"/>
    </w:rPr>
  </w:style>
  <w:style w:type="paragraph" w:customStyle="1" w:styleId="ipara">
    <w:name w:val="i_para"/>
    <w:basedOn w:val="i"/>
    <w:rsid w:val="00242A97"/>
    <w:pPr>
      <w:spacing w:line="200" w:lineRule="exact"/>
      <w:ind w:left="851" w:firstLine="0"/>
    </w:pPr>
  </w:style>
  <w:style w:type="paragraph" w:customStyle="1" w:styleId="iparalast">
    <w:name w:val="i_para_last"/>
    <w:basedOn w:val="i"/>
    <w:rsid w:val="00242A97"/>
    <w:pPr>
      <w:spacing w:after="240" w:line="200" w:lineRule="exact"/>
    </w:pPr>
  </w:style>
  <w:style w:type="paragraph" w:customStyle="1" w:styleId="Referencetitle">
    <w:name w:val="Reference_title"/>
    <w:basedOn w:val="Normal"/>
    <w:rsid w:val="005F0A04"/>
    <w:pPr>
      <w:widowControl w:val="0"/>
      <w:tabs>
        <w:tab w:val="left" w:pos="2410"/>
      </w:tabs>
      <w:spacing w:after="240" w:line="240" w:lineRule="auto"/>
      <w:jc w:val="center"/>
    </w:pPr>
    <w:rPr>
      <w:rFonts w:ascii="Ottawa" w:hAnsi="Ottawa"/>
      <w:b/>
      <w:sz w:val="22"/>
    </w:rPr>
  </w:style>
  <w:style w:type="paragraph" w:customStyle="1" w:styleId="Chatperno">
    <w:name w:val="Chatper_no"/>
    <w:basedOn w:val="Normal"/>
    <w:rsid w:val="00B15A97"/>
    <w:pPr>
      <w:spacing w:after="240" w:line="240" w:lineRule="auto"/>
      <w:jc w:val="center"/>
    </w:pPr>
    <w:rPr>
      <w:rFonts w:ascii="Ottawa" w:hAnsi="Ottawa"/>
      <w:caps/>
      <w:spacing w:val="60"/>
      <w:sz w:val="24"/>
    </w:rPr>
  </w:style>
  <w:style w:type="paragraph" w:customStyle="1" w:styleId="Chaptertitle">
    <w:name w:val="Chapter_title"/>
    <w:basedOn w:val="Normal"/>
    <w:rsid w:val="00EA1AD9"/>
    <w:pPr>
      <w:pBdr>
        <w:bottom w:val="single" w:sz="6" w:space="10" w:color="auto"/>
      </w:pBdr>
      <w:spacing w:line="240" w:lineRule="auto"/>
      <w:jc w:val="center"/>
    </w:pPr>
    <w:rPr>
      <w:rFonts w:ascii="Ottawa" w:hAnsi="Ottawa"/>
      <w:b/>
      <w:caps/>
      <w:spacing w:val="40"/>
      <w:sz w:val="32"/>
    </w:rPr>
  </w:style>
  <w:style w:type="paragraph" w:customStyle="1" w:styleId="Summarytitle">
    <w:name w:val="Summary_title"/>
    <w:basedOn w:val="A0"/>
    <w:rsid w:val="00B15A97"/>
    <w:pPr>
      <w:spacing w:before="1200"/>
    </w:pPr>
  </w:style>
  <w:style w:type="paragraph" w:customStyle="1" w:styleId="rtoiles">
    <w:name w:val="r_étoiles"/>
    <w:basedOn w:val="Normal"/>
    <w:next w:val="Normal"/>
    <w:rsid w:val="008B353F"/>
    <w:pPr>
      <w:keepLines/>
      <w:tabs>
        <w:tab w:val="clear" w:pos="-720"/>
      </w:tabs>
      <w:spacing w:before="240" w:after="240" w:line="240" w:lineRule="atLeast"/>
      <w:jc w:val="center"/>
    </w:pPr>
    <w:rPr>
      <w:lang w:val="fr-FR"/>
    </w:rPr>
  </w:style>
  <w:style w:type="paragraph" w:customStyle="1" w:styleId="Base">
    <w:name w:val="Base"/>
    <w:rsid w:val="00E73E2B"/>
    <w:pPr>
      <w:spacing w:after="120" w:line="240" w:lineRule="exact"/>
      <w:ind w:left="567" w:right="567"/>
      <w:jc w:val="both"/>
    </w:pPr>
    <w:rPr>
      <w:rFonts w:ascii="Arial" w:hAnsi="Arial" w:cs="Arial"/>
      <w:i/>
      <w:iCs/>
      <w:noProof/>
      <w:sz w:val="18"/>
      <w:szCs w:val="18"/>
      <w:lang w:val="fr-FR" w:eastAsia="fr-FR"/>
    </w:rPr>
  </w:style>
  <w:style w:type="paragraph" w:customStyle="1" w:styleId="Chapitre">
    <w:name w:val="Chapitre"/>
    <w:next w:val="Normal"/>
    <w:rsid w:val="00E73E2B"/>
    <w:pPr>
      <w:pBdr>
        <w:bottom w:val="single" w:sz="6" w:space="10" w:color="auto"/>
      </w:pBdr>
      <w:spacing w:before="360" w:after="240" w:line="240" w:lineRule="atLeast"/>
      <w:jc w:val="center"/>
    </w:pPr>
    <w:rPr>
      <w:rFonts w:ascii="Ottawa" w:hAnsi="Ottawa"/>
      <w:b/>
      <w:bCs/>
      <w:caps/>
      <w:noProof/>
      <w:spacing w:val="40"/>
      <w:sz w:val="32"/>
      <w:szCs w:val="32"/>
      <w:lang w:val="fr-FR" w:eastAsia="fr-FR"/>
    </w:rPr>
  </w:style>
  <w:style w:type="paragraph" w:customStyle="1" w:styleId="Centre">
    <w:name w:val="Centre"/>
    <w:next w:val="Base"/>
    <w:rsid w:val="00E73E2B"/>
    <w:pPr>
      <w:spacing w:after="240" w:line="240" w:lineRule="atLeast"/>
      <w:jc w:val="center"/>
    </w:pPr>
    <w:rPr>
      <w:noProof/>
      <w:sz w:val="20"/>
      <w:szCs w:val="20"/>
      <w:lang w:val="fr-FR" w:eastAsia="fr-FR"/>
    </w:rPr>
  </w:style>
  <w:style w:type="paragraph" w:styleId="Textedebulles">
    <w:name w:val="Balloon Text"/>
    <w:basedOn w:val="Normal"/>
    <w:link w:val="TextedebullesCar"/>
    <w:semiHidden/>
    <w:rsid w:val="00717BE4"/>
    <w:rPr>
      <w:rFonts w:ascii="Tahoma" w:hAnsi="Tahoma" w:cs="Tahoma"/>
      <w:sz w:val="16"/>
      <w:szCs w:val="16"/>
    </w:rPr>
  </w:style>
  <w:style w:type="character" w:customStyle="1" w:styleId="TextedebullesCar">
    <w:name w:val="Texte de bulles Car"/>
    <w:basedOn w:val="Policepardfaut"/>
    <w:link w:val="Textedebulles"/>
    <w:uiPriority w:val="99"/>
    <w:semiHidden/>
    <w:rsid w:val="00A03861"/>
    <w:rPr>
      <w:sz w:val="0"/>
      <w:szCs w:val="0"/>
      <w:lang w:val="en-GB" w:eastAsia="fr-FR"/>
    </w:rPr>
  </w:style>
  <w:style w:type="character" w:styleId="Lienhypertexte">
    <w:name w:val="Hyperlink"/>
    <w:basedOn w:val="Policepardfaut"/>
    <w:rsid w:val="00C70A35"/>
    <w:rPr>
      <w:rFonts w:cs="Times New Roman"/>
      <w:color w:val="0000FF"/>
      <w:u w:val="single"/>
    </w:rPr>
  </w:style>
  <w:style w:type="paragraph" w:styleId="Explorateurdedocuments">
    <w:name w:val="Document Map"/>
    <w:basedOn w:val="Normal"/>
    <w:link w:val="ExplorateurdedocumentsCar"/>
    <w:semiHidden/>
    <w:rsid w:val="00B27459"/>
    <w:pPr>
      <w:shd w:val="clear" w:color="auto" w:fill="000080"/>
    </w:pPr>
    <w:rPr>
      <w:rFonts w:ascii="Tahoma" w:hAnsi="Tahoma" w:cs="Tahoma"/>
    </w:rPr>
  </w:style>
  <w:style w:type="character" w:customStyle="1" w:styleId="ExplorateurdedocumentsCar">
    <w:name w:val="Explorateur de documents Car"/>
    <w:basedOn w:val="Policepardfaut"/>
    <w:link w:val="Explorateurdedocuments"/>
    <w:uiPriority w:val="99"/>
    <w:semiHidden/>
    <w:rsid w:val="00A03861"/>
    <w:rPr>
      <w:sz w:val="0"/>
      <w:szCs w:val="0"/>
      <w:lang w:val="en-GB" w:eastAsia="fr-FR"/>
    </w:rPr>
  </w:style>
  <w:style w:type="character" w:styleId="Marquedecommentaire">
    <w:name w:val="annotation reference"/>
    <w:basedOn w:val="Policepardfaut"/>
    <w:semiHidden/>
    <w:rsid w:val="00146317"/>
    <w:rPr>
      <w:rFonts w:cs="Times New Roman"/>
      <w:sz w:val="16"/>
      <w:szCs w:val="16"/>
    </w:rPr>
  </w:style>
  <w:style w:type="paragraph" w:styleId="Commentaire">
    <w:name w:val="annotation text"/>
    <w:basedOn w:val="Normal"/>
    <w:link w:val="CommentaireCar"/>
    <w:semiHidden/>
    <w:rsid w:val="00146317"/>
  </w:style>
  <w:style w:type="character" w:customStyle="1" w:styleId="CommentaireCar">
    <w:name w:val="Commentaire Car"/>
    <w:basedOn w:val="Policepardfaut"/>
    <w:link w:val="Commentaire"/>
    <w:semiHidden/>
    <w:rsid w:val="00A03861"/>
    <w:rPr>
      <w:sz w:val="20"/>
      <w:szCs w:val="20"/>
      <w:lang w:val="en-GB" w:eastAsia="fr-FR"/>
    </w:rPr>
  </w:style>
  <w:style w:type="paragraph" w:styleId="Objetducommentaire">
    <w:name w:val="annotation subject"/>
    <w:basedOn w:val="Commentaire"/>
    <w:next w:val="Commentaire"/>
    <w:link w:val="ObjetducommentaireCar"/>
    <w:semiHidden/>
    <w:rsid w:val="00146317"/>
    <w:rPr>
      <w:b/>
      <w:bCs/>
    </w:rPr>
  </w:style>
  <w:style w:type="character" w:customStyle="1" w:styleId="ObjetducommentaireCar">
    <w:name w:val="Objet du commentaire Car"/>
    <w:basedOn w:val="CommentaireCar"/>
    <w:link w:val="Objetducommentaire"/>
    <w:uiPriority w:val="99"/>
    <w:semiHidden/>
    <w:rsid w:val="00A03861"/>
    <w:rPr>
      <w:b/>
      <w:bCs/>
      <w:sz w:val="20"/>
      <w:szCs w:val="20"/>
      <w:lang w:val="en-GB" w:eastAsia="fr-FR"/>
    </w:rPr>
  </w:style>
  <w:style w:type="paragraph" w:styleId="Corpsdetexte">
    <w:name w:val="Body Text"/>
    <w:basedOn w:val="Normal"/>
    <w:link w:val="CorpsdetexteCar"/>
    <w:rsid w:val="003E7C97"/>
    <w:pPr>
      <w:widowControl w:val="0"/>
      <w:tabs>
        <w:tab w:val="clear" w:pos="-720"/>
      </w:tabs>
      <w:spacing w:line="240" w:lineRule="auto"/>
      <w:jc w:val="left"/>
    </w:pPr>
    <w:rPr>
      <w:sz w:val="24"/>
      <w:szCs w:val="24"/>
    </w:rPr>
  </w:style>
  <w:style w:type="character" w:customStyle="1" w:styleId="CorpsdetexteCar">
    <w:name w:val="Corps de texte Car"/>
    <w:basedOn w:val="Policepardfaut"/>
    <w:link w:val="Corpsdetexte"/>
    <w:uiPriority w:val="99"/>
    <w:semiHidden/>
    <w:rsid w:val="00A03861"/>
    <w:rPr>
      <w:sz w:val="20"/>
      <w:szCs w:val="20"/>
      <w:lang w:val="en-GB" w:eastAsia="fr-FR"/>
    </w:rPr>
  </w:style>
  <w:style w:type="paragraph" w:customStyle="1" w:styleId="Default">
    <w:name w:val="Default"/>
    <w:rsid w:val="004A45B1"/>
    <w:pPr>
      <w:autoSpaceDE w:val="0"/>
      <w:autoSpaceDN w:val="0"/>
      <w:adjustRightInd w:val="0"/>
    </w:pPr>
    <w:rPr>
      <w:color w:val="000000"/>
      <w:sz w:val="24"/>
      <w:szCs w:val="24"/>
      <w:lang w:val="en-GB" w:eastAsia="en-GB"/>
    </w:rPr>
  </w:style>
  <w:style w:type="paragraph" w:customStyle="1" w:styleId="Reflabnote">
    <w:name w:val="Ref_lab_note"/>
    <w:basedOn w:val="Normal"/>
    <w:link w:val="ReflabnoteCar"/>
    <w:rsid w:val="000C7EF1"/>
    <w:pPr>
      <w:tabs>
        <w:tab w:val="clear" w:pos="-720"/>
      </w:tabs>
      <w:spacing w:before="120" w:after="120" w:line="240" w:lineRule="auto"/>
      <w:jc w:val="center"/>
    </w:pPr>
    <w:rPr>
      <w:rFonts w:ascii="Arial" w:hAnsi="Arial" w:cs="Arial"/>
      <w:sz w:val="18"/>
      <w:szCs w:val="18"/>
    </w:rPr>
  </w:style>
  <w:style w:type="character" w:customStyle="1" w:styleId="ReflabnoteCar">
    <w:name w:val="Ref_lab_note Car"/>
    <w:basedOn w:val="Policepardfaut"/>
    <w:link w:val="Reflabnote"/>
    <w:locked/>
    <w:rsid w:val="000C7EF1"/>
    <w:rPr>
      <w:rFonts w:ascii="Arial" w:hAnsi="Arial" w:cs="Arial"/>
      <w:sz w:val="18"/>
      <w:szCs w:val="18"/>
      <w:lang w:eastAsia="fr-FR"/>
    </w:rPr>
  </w:style>
  <w:style w:type="character" w:customStyle="1" w:styleId="st1">
    <w:name w:val="st1"/>
    <w:basedOn w:val="Policepardfaut"/>
    <w:uiPriority w:val="99"/>
    <w:rsid w:val="00D9455F"/>
    <w:rPr>
      <w:rFonts w:cs="Times New Roman"/>
    </w:rPr>
  </w:style>
  <w:style w:type="paragraph" w:customStyle="1" w:styleId="11Para">
    <w:name w:val="1.1_Para"/>
    <w:basedOn w:val="Normal"/>
    <w:qFormat/>
    <w:rsid w:val="0042050C"/>
    <w:pPr>
      <w:tabs>
        <w:tab w:val="clear" w:pos="-720"/>
      </w:tabs>
      <w:spacing w:after="240" w:line="240" w:lineRule="auto"/>
      <w:ind w:left="851"/>
    </w:pPr>
    <w:rPr>
      <w:rFonts w:ascii="Arial" w:eastAsia="Calibri" w:hAnsi="Arial" w:cs="Arial"/>
      <w:sz w:val="18"/>
      <w:szCs w:val="18"/>
      <w:lang w:eastAsia="en-US"/>
    </w:rPr>
  </w:style>
  <w:style w:type="paragraph" w:customStyle="1" w:styleId="TableHead">
    <w:name w:val="Table Head"/>
    <w:basedOn w:val="Normal"/>
    <w:rsid w:val="00B1521C"/>
    <w:pPr>
      <w:tabs>
        <w:tab w:val="clear" w:pos="-720"/>
      </w:tabs>
      <w:spacing w:before="120" w:after="120" w:line="240" w:lineRule="auto"/>
      <w:jc w:val="center"/>
    </w:pPr>
    <w:rPr>
      <w:rFonts w:ascii="Ottawa" w:hAnsi="Ottawa"/>
      <w:b/>
      <w:bCs/>
      <w:sz w:val="18"/>
      <w:szCs w:val="22"/>
      <w:lang w:val="en-IE" w:eastAsia="en-US" w:bidi="en-US"/>
    </w:rPr>
  </w:style>
  <w:style w:type="paragraph" w:customStyle="1" w:styleId="Tabletext">
    <w:name w:val="Table text"/>
    <w:basedOn w:val="Normal"/>
    <w:rsid w:val="00B1521C"/>
    <w:pPr>
      <w:tabs>
        <w:tab w:val="clear" w:pos="-720"/>
      </w:tabs>
      <w:spacing w:before="120" w:after="120" w:line="240" w:lineRule="auto"/>
      <w:jc w:val="center"/>
    </w:pPr>
    <w:rPr>
      <w:rFonts w:ascii="Arial" w:hAnsi="Arial" w:cs="Arial"/>
      <w:bCs/>
      <w:sz w:val="18"/>
      <w:szCs w:val="22"/>
      <w:lang w:val="en-IE" w:eastAsia="en-US" w:bidi="en-US"/>
    </w:rPr>
  </w:style>
  <w:style w:type="paragraph" w:customStyle="1" w:styleId="Tabletitle">
    <w:name w:val="Table title"/>
    <w:basedOn w:val="Normal"/>
    <w:autoRedefine/>
    <w:rsid w:val="00710E28"/>
    <w:pPr>
      <w:tabs>
        <w:tab w:val="clear" w:pos="-720"/>
      </w:tabs>
      <w:spacing w:after="120" w:line="240" w:lineRule="auto"/>
      <w:jc w:val="center"/>
    </w:pPr>
    <w:rPr>
      <w:rFonts w:ascii="Ottawa" w:hAnsi="Ottawa" w:cs="Calibri"/>
      <w:b/>
      <w:bCs/>
      <w:i/>
      <w:sz w:val="18"/>
      <w:szCs w:val="22"/>
      <w:u w:val="double"/>
      <w:lang w:eastAsia="en-US" w:bidi="en-US"/>
    </w:rPr>
  </w:style>
  <w:style w:type="paragraph" w:customStyle="1" w:styleId="11">
    <w:name w:val="1.1"/>
    <w:basedOn w:val="Normal"/>
    <w:qFormat/>
    <w:rsid w:val="0012243E"/>
    <w:pPr>
      <w:tabs>
        <w:tab w:val="clear" w:pos="-720"/>
      </w:tabs>
      <w:spacing w:after="240" w:line="240" w:lineRule="auto"/>
      <w:ind w:left="850" w:hanging="425"/>
      <w:jc w:val="left"/>
    </w:pPr>
    <w:rPr>
      <w:rFonts w:ascii="Ottawa" w:eastAsiaTheme="minorHAnsi" w:hAnsi="Ottawa" w:cs="Arial"/>
      <w:b/>
      <w:szCs w:val="22"/>
      <w:lang w:eastAsia="en-US"/>
    </w:rPr>
  </w:style>
  <w:style w:type="paragraph" w:customStyle="1" w:styleId="111">
    <w:name w:val="1.1.1"/>
    <w:basedOn w:val="Normal"/>
    <w:qFormat/>
    <w:rsid w:val="0012243E"/>
    <w:pPr>
      <w:tabs>
        <w:tab w:val="clear" w:pos="-720"/>
      </w:tabs>
      <w:spacing w:after="120" w:line="240" w:lineRule="auto"/>
      <w:ind w:left="1418" w:hanging="567"/>
      <w:jc w:val="left"/>
    </w:pPr>
    <w:rPr>
      <w:rFonts w:ascii="Ottawa" w:eastAsiaTheme="minorHAnsi" w:hAnsi="Ottawa" w:cs="Arial"/>
      <w:b/>
      <w:sz w:val="19"/>
      <w:lang w:eastAsia="en-US"/>
    </w:rPr>
  </w:style>
  <w:style w:type="paragraph" w:customStyle="1" w:styleId="111Para">
    <w:name w:val="1.1.1_Para"/>
    <w:basedOn w:val="Normal"/>
    <w:qFormat/>
    <w:rsid w:val="0012243E"/>
    <w:pPr>
      <w:tabs>
        <w:tab w:val="clear" w:pos="-720"/>
      </w:tabs>
      <w:spacing w:after="240" w:line="240" w:lineRule="auto"/>
      <w:ind w:left="1418"/>
    </w:pPr>
    <w:rPr>
      <w:rFonts w:ascii="Arial" w:eastAsiaTheme="minorHAnsi" w:hAnsi="Arial" w:cs="Arial"/>
      <w:sz w:val="18"/>
      <w:szCs w:val="18"/>
      <w:lang w:eastAsia="en-US"/>
    </w:rPr>
  </w:style>
  <w:style w:type="paragraph" w:customStyle="1" w:styleId="ilast">
    <w:name w:val="i)_last"/>
    <w:basedOn w:val="Normal"/>
    <w:qFormat/>
    <w:rsid w:val="0012243E"/>
    <w:pPr>
      <w:tabs>
        <w:tab w:val="clear" w:pos="-720"/>
      </w:tabs>
      <w:spacing w:after="240" w:line="240" w:lineRule="auto"/>
      <w:ind w:left="1843" w:hanging="425"/>
      <w:jc w:val="left"/>
    </w:pPr>
    <w:rPr>
      <w:rFonts w:ascii="Arial" w:eastAsiaTheme="minorHAnsi" w:hAnsi="Arial" w:cs="Arial"/>
      <w:sz w:val="18"/>
      <w:szCs w:val="18"/>
      <w:lang w:eastAsia="en-US"/>
    </w:rPr>
  </w:style>
  <w:style w:type="paragraph" w:customStyle="1" w:styleId="afourthlevel">
    <w:name w:val="a)_fourth_level"/>
    <w:basedOn w:val="Normal"/>
    <w:qFormat/>
    <w:rsid w:val="0012243E"/>
    <w:pPr>
      <w:tabs>
        <w:tab w:val="clear" w:pos="-720"/>
      </w:tabs>
      <w:spacing w:after="120" w:line="240" w:lineRule="auto"/>
      <w:ind w:left="1843" w:hanging="425"/>
      <w:jc w:val="left"/>
    </w:pPr>
    <w:rPr>
      <w:rFonts w:ascii="Ottawa" w:eastAsiaTheme="minorHAnsi" w:hAnsi="Ottawa" w:cs="Arial"/>
      <w:b/>
      <w:sz w:val="18"/>
      <w:lang w:eastAsia="en-US"/>
    </w:rPr>
  </w:style>
  <w:style w:type="paragraph" w:customStyle="1" w:styleId="afourthpara">
    <w:name w:val="a)_fourth_para"/>
    <w:basedOn w:val="Normal"/>
    <w:qFormat/>
    <w:rsid w:val="0012243E"/>
    <w:pPr>
      <w:tabs>
        <w:tab w:val="clear" w:pos="-720"/>
      </w:tabs>
      <w:spacing w:after="240" w:line="240" w:lineRule="auto"/>
      <w:ind w:left="1843"/>
    </w:pPr>
    <w:rPr>
      <w:rFonts w:ascii="Arial" w:eastAsiaTheme="minorHAnsi" w:hAnsi="Arial" w:cs="Arial"/>
      <w:sz w:val="18"/>
      <w:szCs w:val="18"/>
      <w:lang w:eastAsia="en-US"/>
    </w:rPr>
  </w:style>
  <w:style w:type="paragraph" w:customStyle="1" w:styleId="ififthlevel">
    <w:name w:val="i)_fifth_level"/>
    <w:basedOn w:val="Normal"/>
    <w:qFormat/>
    <w:rsid w:val="0012243E"/>
    <w:pPr>
      <w:tabs>
        <w:tab w:val="clear" w:pos="-720"/>
      </w:tabs>
      <w:spacing w:after="120" w:line="240" w:lineRule="auto"/>
      <w:ind w:left="2268" w:hanging="425"/>
      <w:jc w:val="left"/>
    </w:pPr>
    <w:rPr>
      <w:rFonts w:ascii="Ottawa" w:eastAsiaTheme="minorHAnsi" w:hAnsi="Ottawa" w:cs="Arial"/>
      <w:b/>
      <w:sz w:val="17"/>
      <w:szCs w:val="18"/>
      <w:lang w:eastAsia="en-US"/>
    </w:rPr>
  </w:style>
  <w:style w:type="paragraph" w:customStyle="1" w:styleId="ififthpara">
    <w:name w:val="i)_fifth_para"/>
    <w:basedOn w:val="Normal"/>
    <w:qFormat/>
    <w:rsid w:val="0012243E"/>
    <w:pPr>
      <w:tabs>
        <w:tab w:val="clear" w:pos="-720"/>
      </w:tabs>
      <w:spacing w:after="240" w:line="240" w:lineRule="auto"/>
      <w:ind w:left="2268"/>
    </w:pPr>
    <w:rPr>
      <w:rFonts w:ascii="Arial" w:eastAsiaTheme="minorHAnsi" w:hAnsi="Arial" w:cs="Arial"/>
      <w:sz w:val="18"/>
      <w:szCs w:val="18"/>
      <w:lang w:eastAsia="en-US"/>
    </w:rPr>
  </w:style>
  <w:style w:type="paragraph" w:customStyle="1" w:styleId="dotsixthlevel">
    <w:name w:val="dot_sixth_level"/>
    <w:basedOn w:val="Normal"/>
    <w:qFormat/>
    <w:rsid w:val="0012243E"/>
    <w:pPr>
      <w:tabs>
        <w:tab w:val="clear" w:pos="-720"/>
      </w:tabs>
      <w:spacing w:after="120" w:line="240" w:lineRule="auto"/>
      <w:ind w:left="2268" w:hanging="425"/>
      <w:jc w:val="left"/>
    </w:pPr>
    <w:rPr>
      <w:rFonts w:ascii="Arial" w:eastAsiaTheme="minorHAnsi" w:hAnsi="Arial" w:cs="Arial"/>
      <w:sz w:val="18"/>
      <w:szCs w:val="18"/>
      <w:lang w:eastAsia="en-US"/>
    </w:rPr>
  </w:style>
  <w:style w:type="paragraph" w:customStyle="1" w:styleId="dotsixthpara">
    <w:name w:val="dot_sixth_para"/>
    <w:basedOn w:val="Normal"/>
    <w:qFormat/>
    <w:rsid w:val="0012243E"/>
    <w:pPr>
      <w:tabs>
        <w:tab w:val="clear" w:pos="-720"/>
      </w:tabs>
      <w:spacing w:after="240" w:line="240" w:lineRule="auto"/>
      <w:ind w:left="2268"/>
    </w:pPr>
    <w:rPr>
      <w:rFonts w:ascii="Arial" w:eastAsiaTheme="minorHAnsi" w:hAnsi="Arial" w:cs="Arial"/>
      <w:sz w:val="18"/>
      <w:szCs w:val="18"/>
      <w:lang w:eastAsia="en-US"/>
    </w:rPr>
  </w:style>
  <w:style w:type="paragraph" w:customStyle="1" w:styleId="ififthlevellist">
    <w:name w:val="i_fifth_level_list"/>
    <w:basedOn w:val="ififthpara"/>
    <w:qFormat/>
    <w:rsid w:val="0012243E"/>
    <w:pPr>
      <w:spacing w:after="120"/>
      <w:ind w:hanging="425"/>
    </w:pPr>
  </w:style>
  <w:style w:type="character" w:customStyle="1" w:styleId="highlight">
    <w:name w:val="highlight"/>
    <w:basedOn w:val="Policepardfaut"/>
    <w:rsid w:val="001D322B"/>
  </w:style>
  <w:style w:type="paragraph" w:customStyle="1" w:styleId="Titre10">
    <w:name w:val="Titre1"/>
    <w:basedOn w:val="Normal"/>
    <w:rsid w:val="001D322B"/>
    <w:pPr>
      <w:tabs>
        <w:tab w:val="clear" w:pos="-720"/>
      </w:tabs>
      <w:spacing w:before="100" w:beforeAutospacing="1" w:after="100" w:afterAutospacing="1" w:line="240" w:lineRule="auto"/>
      <w:jc w:val="left"/>
    </w:pPr>
    <w:rPr>
      <w:sz w:val="24"/>
      <w:szCs w:val="24"/>
      <w:lang w:eastAsia="en-GB"/>
    </w:rPr>
  </w:style>
  <w:style w:type="paragraph" w:customStyle="1" w:styleId="desc">
    <w:name w:val="desc"/>
    <w:basedOn w:val="Normal"/>
    <w:rsid w:val="001D322B"/>
    <w:pPr>
      <w:tabs>
        <w:tab w:val="clear" w:pos="-720"/>
      </w:tabs>
      <w:spacing w:before="100" w:beforeAutospacing="1" w:after="100" w:afterAutospacing="1" w:line="240" w:lineRule="auto"/>
      <w:jc w:val="left"/>
    </w:pPr>
    <w:rPr>
      <w:sz w:val="24"/>
      <w:szCs w:val="24"/>
      <w:lang w:eastAsia="en-GB"/>
    </w:rPr>
  </w:style>
  <w:style w:type="paragraph" w:customStyle="1" w:styleId="details">
    <w:name w:val="details"/>
    <w:basedOn w:val="Normal"/>
    <w:rsid w:val="001D322B"/>
    <w:pPr>
      <w:tabs>
        <w:tab w:val="clear" w:pos="-720"/>
      </w:tabs>
      <w:spacing w:before="100" w:beforeAutospacing="1" w:after="100" w:afterAutospacing="1" w:line="240" w:lineRule="auto"/>
      <w:jc w:val="left"/>
    </w:pPr>
    <w:rPr>
      <w:sz w:val="24"/>
      <w:szCs w:val="24"/>
      <w:lang w:eastAsia="en-GB"/>
    </w:rPr>
  </w:style>
  <w:style w:type="character" w:customStyle="1" w:styleId="jrnl">
    <w:name w:val="jrnl"/>
    <w:basedOn w:val="Policepardfaut"/>
    <w:rsid w:val="001D322B"/>
  </w:style>
  <w:style w:type="paragraph" w:styleId="Rvision">
    <w:name w:val="Revision"/>
    <w:hidden/>
    <w:uiPriority w:val="99"/>
    <w:semiHidden/>
    <w:rsid w:val="00B736E2"/>
    <w:rPr>
      <w:sz w:val="20"/>
      <w:szCs w:val="20"/>
      <w:lang w:val="en-GB" w:eastAsia="fr-FR"/>
    </w:rPr>
  </w:style>
  <w:style w:type="paragraph" w:customStyle="1" w:styleId="details1">
    <w:name w:val="details1"/>
    <w:basedOn w:val="Normal"/>
    <w:rsid w:val="00087872"/>
    <w:pPr>
      <w:tabs>
        <w:tab w:val="clear" w:pos="-720"/>
      </w:tabs>
      <w:spacing w:line="240" w:lineRule="auto"/>
      <w:jc w:val="left"/>
    </w:pPr>
    <w:rPr>
      <w:sz w:val="22"/>
      <w:szCs w:val="22"/>
      <w:lang w:val="en-AU" w:eastAsia="en-AU"/>
    </w:rPr>
  </w:style>
  <w:style w:type="paragraph" w:styleId="Textebrut">
    <w:name w:val="Plain Text"/>
    <w:basedOn w:val="Normal"/>
    <w:link w:val="TextebrutCar"/>
    <w:uiPriority w:val="99"/>
    <w:rsid w:val="00A256BE"/>
    <w:pPr>
      <w:tabs>
        <w:tab w:val="clear" w:pos="-720"/>
      </w:tabs>
      <w:spacing w:line="240" w:lineRule="auto"/>
      <w:jc w:val="left"/>
    </w:pPr>
    <w:rPr>
      <w:rFonts w:ascii="Calibri" w:hAnsi="Calibri"/>
      <w:sz w:val="22"/>
      <w:szCs w:val="21"/>
      <w:lang w:eastAsia="en-US"/>
    </w:rPr>
  </w:style>
  <w:style w:type="character" w:customStyle="1" w:styleId="TextebrutCar">
    <w:name w:val="Texte brut Car"/>
    <w:basedOn w:val="Policepardfaut"/>
    <w:link w:val="Textebrut"/>
    <w:uiPriority w:val="99"/>
    <w:rsid w:val="00A256BE"/>
    <w:rPr>
      <w:rFonts w:ascii="Calibri" w:hAnsi="Calibri"/>
      <w:szCs w:val="21"/>
      <w:lang w:val="en-GB" w:eastAsia="en-US"/>
    </w:rPr>
  </w:style>
  <w:style w:type="paragraph" w:styleId="NormalWeb">
    <w:name w:val="Normal (Web)"/>
    <w:aliases w:val=" webb,webb"/>
    <w:basedOn w:val="Normal"/>
    <w:link w:val="NormalWebCar"/>
    <w:rsid w:val="00724C8C"/>
    <w:pPr>
      <w:tabs>
        <w:tab w:val="clear" w:pos="-720"/>
      </w:tabs>
      <w:spacing w:before="100" w:beforeAutospacing="1" w:after="100" w:afterAutospacing="1" w:line="240" w:lineRule="auto"/>
      <w:jc w:val="left"/>
    </w:pPr>
    <w:rPr>
      <w:sz w:val="24"/>
      <w:szCs w:val="24"/>
      <w:lang w:val="fr-FR"/>
    </w:rPr>
  </w:style>
  <w:style w:type="character" w:customStyle="1" w:styleId="NormalWebCar">
    <w:name w:val="Normal (Web) Car"/>
    <w:aliases w:val=" webb Car,webb Car"/>
    <w:link w:val="NormalWeb"/>
    <w:rsid w:val="00724C8C"/>
    <w:rPr>
      <w:sz w:val="24"/>
      <w:szCs w:val="24"/>
      <w:lang w:val="fr-FR" w:eastAsia="fr-FR"/>
    </w:rPr>
  </w:style>
  <w:style w:type="paragraph" w:styleId="Sansinterligne">
    <w:name w:val="No Spacing"/>
    <w:uiPriority w:val="1"/>
    <w:qFormat/>
    <w:rsid w:val="003D149D"/>
    <w:rPr>
      <w:rFonts w:asciiTheme="minorHAnsi" w:eastAsiaTheme="minorHAnsi" w:hAnsiTheme="minorHAnsi" w:cstheme="minorBidi"/>
      <w:lang w:val="en-N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785136">
      <w:bodyDiv w:val="1"/>
      <w:marLeft w:val="0"/>
      <w:marRight w:val="0"/>
      <w:marTop w:val="0"/>
      <w:marBottom w:val="0"/>
      <w:divBdr>
        <w:top w:val="none" w:sz="0" w:space="0" w:color="auto"/>
        <w:left w:val="none" w:sz="0" w:space="0" w:color="auto"/>
        <w:bottom w:val="none" w:sz="0" w:space="0" w:color="auto"/>
        <w:right w:val="none" w:sz="0" w:space="0" w:color="auto"/>
      </w:divBdr>
      <w:divsChild>
        <w:div w:id="208764468">
          <w:marLeft w:val="0"/>
          <w:marRight w:val="0"/>
          <w:marTop w:val="0"/>
          <w:marBottom w:val="0"/>
          <w:divBdr>
            <w:top w:val="none" w:sz="0" w:space="0" w:color="auto"/>
            <w:left w:val="none" w:sz="0" w:space="0" w:color="auto"/>
            <w:bottom w:val="none" w:sz="0" w:space="0" w:color="auto"/>
            <w:right w:val="none" w:sz="0" w:space="0" w:color="auto"/>
          </w:divBdr>
        </w:div>
        <w:div w:id="1183741934">
          <w:marLeft w:val="0"/>
          <w:marRight w:val="0"/>
          <w:marTop w:val="0"/>
          <w:marBottom w:val="0"/>
          <w:divBdr>
            <w:top w:val="none" w:sz="0" w:space="0" w:color="auto"/>
            <w:left w:val="none" w:sz="0" w:space="0" w:color="auto"/>
            <w:bottom w:val="none" w:sz="0" w:space="0" w:color="auto"/>
            <w:right w:val="none" w:sz="0" w:space="0" w:color="auto"/>
          </w:divBdr>
        </w:div>
      </w:divsChild>
    </w:div>
    <w:div w:id="679963706">
      <w:marLeft w:val="0"/>
      <w:marRight w:val="0"/>
      <w:marTop w:val="0"/>
      <w:marBottom w:val="0"/>
      <w:divBdr>
        <w:top w:val="none" w:sz="0" w:space="0" w:color="auto"/>
        <w:left w:val="none" w:sz="0" w:space="0" w:color="auto"/>
        <w:bottom w:val="none" w:sz="0" w:space="0" w:color="auto"/>
        <w:right w:val="none" w:sz="0" w:space="0" w:color="auto"/>
      </w:divBdr>
      <w:divsChild>
        <w:div w:id="679963704">
          <w:marLeft w:val="96"/>
          <w:marRight w:val="60"/>
          <w:marTop w:val="0"/>
          <w:marBottom w:val="0"/>
          <w:divBdr>
            <w:top w:val="none" w:sz="0" w:space="0" w:color="auto"/>
            <w:left w:val="none" w:sz="0" w:space="0" w:color="auto"/>
            <w:bottom w:val="none" w:sz="0" w:space="0" w:color="auto"/>
            <w:right w:val="none" w:sz="0" w:space="0" w:color="auto"/>
          </w:divBdr>
          <w:divsChild>
            <w:div w:id="679963707">
              <w:marLeft w:val="0"/>
              <w:marRight w:val="0"/>
              <w:marTop w:val="0"/>
              <w:marBottom w:val="0"/>
              <w:divBdr>
                <w:top w:val="none" w:sz="0" w:space="0" w:color="auto"/>
                <w:left w:val="none" w:sz="0" w:space="0" w:color="auto"/>
                <w:bottom w:val="none" w:sz="0" w:space="0" w:color="auto"/>
                <w:right w:val="none" w:sz="0" w:space="0" w:color="auto"/>
              </w:divBdr>
              <w:divsChild>
                <w:div w:id="67996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8698656">
      <w:bodyDiv w:val="1"/>
      <w:marLeft w:val="0"/>
      <w:marRight w:val="0"/>
      <w:marTop w:val="0"/>
      <w:marBottom w:val="0"/>
      <w:divBdr>
        <w:top w:val="none" w:sz="0" w:space="0" w:color="auto"/>
        <w:left w:val="none" w:sz="0" w:space="0" w:color="auto"/>
        <w:bottom w:val="none" w:sz="0" w:space="0" w:color="auto"/>
        <w:right w:val="none" w:sz="0" w:space="0" w:color="auto"/>
      </w:divBdr>
      <w:divsChild>
        <w:div w:id="216361696">
          <w:marLeft w:val="96"/>
          <w:marRight w:val="60"/>
          <w:marTop w:val="0"/>
          <w:marBottom w:val="0"/>
          <w:divBdr>
            <w:top w:val="none" w:sz="0" w:space="0" w:color="auto"/>
            <w:left w:val="none" w:sz="0" w:space="0" w:color="auto"/>
            <w:bottom w:val="none" w:sz="0" w:space="0" w:color="auto"/>
            <w:right w:val="none" w:sz="0" w:space="0" w:color="auto"/>
          </w:divBdr>
          <w:divsChild>
            <w:div w:id="804931779">
              <w:marLeft w:val="0"/>
              <w:marRight w:val="0"/>
              <w:marTop w:val="0"/>
              <w:marBottom w:val="0"/>
              <w:divBdr>
                <w:top w:val="none" w:sz="0" w:space="0" w:color="auto"/>
                <w:left w:val="none" w:sz="0" w:space="0" w:color="auto"/>
                <w:bottom w:val="none" w:sz="0" w:space="0" w:color="auto"/>
                <w:right w:val="none" w:sz="0" w:space="0" w:color="auto"/>
              </w:divBdr>
              <w:divsChild>
                <w:div w:id="31700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3115497">
      <w:bodyDiv w:val="1"/>
      <w:marLeft w:val="0"/>
      <w:marRight w:val="0"/>
      <w:marTop w:val="0"/>
      <w:marBottom w:val="0"/>
      <w:divBdr>
        <w:top w:val="none" w:sz="0" w:space="0" w:color="auto"/>
        <w:left w:val="none" w:sz="0" w:space="0" w:color="auto"/>
        <w:bottom w:val="none" w:sz="0" w:space="0" w:color="auto"/>
        <w:right w:val="none" w:sz="0" w:space="0" w:color="auto"/>
      </w:divBdr>
      <w:divsChild>
        <w:div w:id="1588003175">
          <w:marLeft w:val="0"/>
          <w:marRight w:val="1"/>
          <w:marTop w:val="0"/>
          <w:marBottom w:val="0"/>
          <w:divBdr>
            <w:top w:val="none" w:sz="0" w:space="0" w:color="auto"/>
            <w:left w:val="none" w:sz="0" w:space="0" w:color="auto"/>
            <w:bottom w:val="none" w:sz="0" w:space="0" w:color="auto"/>
            <w:right w:val="none" w:sz="0" w:space="0" w:color="auto"/>
          </w:divBdr>
          <w:divsChild>
            <w:div w:id="699282431">
              <w:marLeft w:val="0"/>
              <w:marRight w:val="0"/>
              <w:marTop w:val="0"/>
              <w:marBottom w:val="0"/>
              <w:divBdr>
                <w:top w:val="none" w:sz="0" w:space="0" w:color="auto"/>
                <w:left w:val="none" w:sz="0" w:space="0" w:color="auto"/>
                <w:bottom w:val="none" w:sz="0" w:space="0" w:color="auto"/>
                <w:right w:val="none" w:sz="0" w:space="0" w:color="auto"/>
              </w:divBdr>
              <w:divsChild>
                <w:div w:id="1728263186">
                  <w:marLeft w:val="0"/>
                  <w:marRight w:val="1"/>
                  <w:marTop w:val="0"/>
                  <w:marBottom w:val="0"/>
                  <w:divBdr>
                    <w:top w:val="none" w:sz="0" w:space="0" w:color="auto"/>
                    <w:left w:val="none" w:sz="0" w:space="0" w:color="auto"/>
                    <w:bottom w:val="none" w:sz="0" w:space="0" w:color="auto"/>
                    <w:right w:val="none" w:sz="0" w:space="0" w:color="auto"/>
                  </w:divBdr>
                  <w:divsChild>
                    <w:div w:id="131290621">
                      <w:marLeft w:val="0"/>
                      <w:marRight w:val="0"/>
                      <w:marTop w:val="0"/>
                      <w:marBottom w:val="0"/>
                      <w:divBdr>
                        <w:top w:val="none" w:sz="0" w:space="0" w:color="auto"/>
                        <w:left w:val="none" w:sz="0" w:space="0" w:color="auto"/>
                        <w:bottom w:val="none" w:sz="0" w:space="0" w:color="auto"/>
                        <w:right w:val="none" w:sz="0" w:space="0" w:color="auto"/>
                      </w:divBdr>
                      <w:divsChild>
                        <w:div w:id="200553839">
                          <w:marLeft w:val="0"/>
                          <w:marRight w:val="0"/>
                          <w:marTop w:val="0"/>
                          <w:marBottom w:val="0"/>
                          <w:divBdr>
                            <w:top w:val="none" w:sz="0" w:space="0" w:color="auto"/>
                            <w:left w:val="none" w:sz="0" w:space="0" w:color="auto"/>
                            <w:bottom w:val="none" w:sz="0" w:space="0" w:color="auto"/>
                            <w:right w:val="none" w:sz="0" w:space="0" w:color="auto"/>
                          </w:divBdr>
                          <w:divsChild>
                            <w:div w:id="1630016604">
                              <w:marLeft w:val="0"/>
                              <w:marRight w:val="0"/>
                              <w:marTop w:val="120"/>
                              <w:marBottom w:val="360"/>
                              <w:divBdr>
                                <w:top w:val="none" w:sz="0" w:space="0" w:color="auto"/>
                                <w:left w:val="none" w:sz="0" w:space="0" w:color="auto"/>
                                <w:bottom w:val="none" w:sz="0" w:space="0" w:color="auto"/>
                                <w:right w:val="none" w:sz="0" w:space="0" w:color="auto"/>
                              </w:divBdr>
                              <w:divsChild>
                                <w:div w:id="1187258316">
                                  <w:marLeft w:val="420"/>
                                  <w:marRight w:val="0"/>
                                  <w:marTop w:val="0"/>
                                  <w:marBottom w:val="0"/>
                                  <w:divBdr>
                                    <w:top w:val="none" w:sz="0" w:space="0" w:color="auto"/>
                                    <w:left w:val="none" w:sz="0" w:space="0" w:color="auto"/>
                                    <w:bottom w:val="none" w:sz="0" w:space="0" w:color="auto"/>
                                    <w:right w:val="none" w:sz="0" w:space="0" w:color="auto"/>
                                  </w:divBdr>
                                  <w:divsChild>
                                    <w:div w:id="1192648582">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8337789">
      <w:bodyDiv w:val="1"/>
      <w:marLeft w:val="105"/>
      <w:marRight w:val="105"/>
      <w:marTop w:val="15"/>
      <w:marBottom w:val="15"/>
      <w:divBdr>
        <w:top w:val="none" w:sz="0" w:space="0" w:color="auto"/>
        <w:left w:val="none" w:sz="0" w:space="0" w:color="auto"/>
        <w:bottom w:val="none" w:sz="0" w:space="0" w:color="auto"/>
        <w:right w:val="none" w:sz="0" w:space="0" w:color="auto"/>
      </w:divBdr>
      <w:divsChild>
        <w:div w:id="1473718898">
          <w:marLeft w:val="0"/>
          <w:marRight w:val="0"/>
          <w:marTop w:val="120"/>
          <w:marBottom w:val="0"/>
          <w:divBdr>
            <w:top w:val="none" w:sz="0" w:space="0" w:color="auto"/>
            <w:left w:val="none" w:sz="0" w:space="0" w:color="auto"/>
            <w:bottom w:val="none" w:sz="0" w:space="0" w:color="auto"/>
            <w:right w:val="none" w:sz="0" w:space="0" w:color="auto"/>
          </w:divBdr>
          <w:divsChild>
            <w:div w:id="1796024605">
              <w:marLeft w:val="0"/>
              <w:marRight w:val="0"/>
              <w:marTop w:val="0"/>
              <w:marBottom w:val="0"/>
              <w:divBdr>
                <w:top w:val="none" w:sz="0" w:space="0" w:color="auto"/>
                <w:left w:val="none" w:sz="0" w:space="0" w:color="auto"/>
                <w:bottom w:val="none" w:sz="0" w:space="0" w:color="auto"/>
                <w:right w:val="none" w:sz="0" w:space="0" w:color="auto"/>
              </w:divBdr>
              <w:divsChild>
                <w:div w:id="2080588050">
                  <w:marLeft w:val="56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337287">
      <w:bodyDiv w:val="1"/>
      <w:marLeft w:val="0"/>
      <w:marRight w:val="0"/>
      <w:marTop w:val="0"/>
      <w:marBottom w:val="0"/>
      <w:divBdr>
        <w:top w:val="none" w:sz="0" w:space="0" w:color="auto"/>
        <w:left w:val="none" w:sz="0" w:space="0" w:color="auto"/>
        <w:bottom w:val="none" w:sz="0" w:space="0" w:color="auto"/>
        <w:right w:val="none" w:sz="0" w:space="0" w:color="auto"/>
      </w:divBdr>
      <w:divsChild>
        <w:div w:id="432548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pubmed?term=%28Fodstad%5BAuthor%20-%20First%5D%29%20AND%20Gunnarsson%5BAuthor%20-%20Last%5D" TargetMode="External"/><Relationship Id="rId13" Type="http://schemas.openxmlformats.org/officeDocument/2006/relationships/hyperlink" Target="http://www.ncbi.nlm.nih.gov/pubmed/?term=%22Comparison+of+fecal+DNA+extraction+kits+for+the+detection+of+Mycobacteriu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ncbi.nlm.nih.gov/pubmed?term=Stabel%20JR%5BAuthor%5D&amp;cauthor=true&amp;cauthor_uid=23166181"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cbi.nlm.nih.gov/pubmed?term=Robbe-Austerman%20S%5BAuthor%5D&amp;cauthor=true&amp;cauthor_uid=23166181"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ncbi.nlm.nih.gov/pubmed?term=Stokes%20KD%5BAuthor%5D&amp;cauthor=true&amp;cauthor_uid=23166181"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ncbi.nlm.nih.gov/pubmed?term=Leite%20FL%5BAuthor%5D&amp;cauthor=true&amp;cauthor_uid=23166181" TargetMode="External"/><Relationship Id="rId14" Type="http://schemas.openxmlformats.org/officeDocument/2006/relationships/hyperlink" Target="http://www.oie.int/en/scientific-expertise/reference-laboratories/list-of-laborator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ANUAL9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C317DD-B6C7-41F3-A622-8DD43A55C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MANUAL96</Template>
  <TotalTime>6</TotalTime>
  <Pages>16</Pages>
  <Words>9489</Words>
  <Characters>52609</Characters>
  <Application>Microsoft Office Word</Application>
  <DocSecurity>0</DocSecurity>
  <Lines>438</Lines>
  <Paragraphs>123</Paragraphs>
  <ScaleCrop>false</ScaleCrop>
  <HeadingPairs>
    <vt:vector size="6" baseType="variant">
      <vt:variant>
        <vt:lpstr>Titre</vt:lpstr>
      </vt:variant>
      <vt:variant>
        <vt:i4>1</vt:i4>
      </vt:variant>
      <vt:variant>
        <vt:lpstr>Title</vt:lpstr>
      </vt:variant>
      <vt:variant>
        <vt:i4>1</vt:i4>
      </vt:variant>
      <vt:variant>
        <vt:lpstr>Název</vt:lpstr>
      </vt:variant>
      <vt:variant>
        <vt:i4>1</vt:i4>
      </vt:variant>
    </vt:vector>
  </HeadingPairs>
  <TitlesOfParts>
    <vt:vector size="3" baseType="lpstr">
      <vt:lpstr>Paratuberculosis</vt:lpstr>
      <vt:lpstr>fmd with viaa test incl.</vt:lpstr>
      <vt:lpstr>fmd with viaa test incl.</vt:lpstr>
    </vt:vector>
  </TitlesOfParts>
  <Company>AFSSA</Company>
  <LinksUpToDate>false</LinksUpToDate>
  <CharactersWithSpaces>61975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Paratuberculosis</dc:title>
  <dc:subject>arial/trait</dc:subject>
  <dc:creator>sara</dc:creator>
  <cp:lastModifiedBy>Sara Linnane</cp:lastModifiedBy>
  <cp:revision>4</cp:revision>
  <cp:lastPrinted>2019-06-28T07:44:00Z</cp:lastPrinted>
  <dcterms:created xsi:type="dcterms:W3CDTF">2020-03-16T13:53:00Z</dcterms:created>
  <dcterms:modified xsi:type="dcterms:W3CDTF">2020-03-16T13:59:00Z</dcterms:modified>
</cp:coreProperties>
</file>