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3E0B6B" w14:textId="563E5F51" w:rsidR="00C5786E" w:rsidRPr="006E3F3A" w:rsidRDefault="00E60A5E" w:rsidP="00E60A5E">
      <w:pPr>
        <w:pStyle w:val="Chatperno"/>
        <w:rPr>
          <w:lang w:val="en-IE"/>
        </w:rPr>
      </w:pPr>
      <w:r w:rsidRPr="009C122D">
        <w:t xml:space="preserve">Chapter </w:t>
      </w:r>
      <w:r w:rsidR="004C1D3C">
        <w:rPr>
          <w:lang w:val="en-IE"/>
        </w:rPr>
        <w:t>3</w:t>
      </w:r>
      <w:r w:rsidR="00C5786E" w:rsidRPr="006E3F3A">
        <w:rPr>
          <w:lang w:val="en-IE"/>
        </w:rPr>
        <w:t>.5.</w:t>
      </w:r>
      <w:r w:rsidR="00B97B9E" w:rsidRPr="006E3F3A">
        <w:rPr>
          <w:lang w:val="en-IE"/>
        </w:rPr>
        <w:t>8</w:t>
      </w:r>
      <w:r w:rsidR="00C5786E" w:rsidRPr="006E3F3A">
        <w:rPr>
          <w:lang w:val="en-IE"/>
        </w:rPr>
        <w:t>.</w:t>
      </w:r>
    </w:p>
    <w:p w14:paraId="663E0B6C" w14:textId="77777777" w:rsidR="00C5786E" w:rsidRPr="006E3F3A" w:rsidRDefault="00C5786E" w:rsidP="00C5786E">
      <w:pPr>
        <w:pStyle w:val="Chaptertitle"/>
        <w:rPr>
          <w:lang w:val="en-IE"/>
        </w:rPr>
      </w:pPr>
      <w:r w:rsidRPr="006E3F3A">
        <w:rPr>
          <w:lang w:val="en-IE"/>
        </w:rPr>
        <w:t>equine piroplasmosis</w:t>
      </w:r>
    </w:p>
    <w:p w14:paraId="663E0B6D" w14:textId="77777777" w:rsidR="00FC674A" w:rsidRPr="006E3F3A" w:rsidRDefault="00FC674A" w:rsidP="00C5786E">
      <w:pPr>
        <w:pStyle w:val="Summarytitle"/>
        <w:rPr>
          <w:lang w:val="en-IE"/>
        </w:rPr>
      </w:pPr>
      <w:r w:rsidRPr="006E3F3A">
        <w:rPr>
          <w:lang w:val="en-IE"/>
        </w:rPr>
        <w:t>SUMMARY</w:t>
      </w:r>
    </w:p>
    <w:p w14:paraId="663E0B6E" w14:textId="6AD73CA8" w:rsidR="00F164C5" w:rsidRPr="006E3F3A" w:rsidRDefault="00FC674A" w:rsidP="00C5786E">
      <w:pPr>
        <w:pStyle w:val="sumtexte"/>
        <w:spacing w:line="240" w:lineRule="exact"/>
        <w:rPr>
          <w:lang w:val="en-IE"/>
        </w:rPr>
      </w:pPr>
      <w:r w:rsidRPr="006E3F3A">
        <w:rPr>
          <w:lang w:val="en-IE"/>
        </w:rPr>
        <w:t>Equine piroplasmosis is a tick-borne protozoal disease of horses, mules, donkeys and zebra</w:t>
      </w:r>
      <w:r w:rsidR="006A227A" w:rsidRPr="006E3F3A">
        <w:rPr>
          <w:lang w:val="en-IE"/>
        </w:rPr>
        <w:t xml:space="preserve">. </w:t>
      </w:r>
      <w:r w:rsidRPr="006E3F3A">
        <w:rPr>
          <w:lang w:val="en-IE"/>
        </w:rPr>
        <w:t xml:space="preserve">The aetiological agents are blood parasites named </w:t>
      </w:r>
      <w:bookmarkStart w:id="0" w:name="_spaddin_ign_0_Theileria_equi"/>
      <w:proofErr w:type="spellStart"/>
      <w:r w:rsidRPr="006E3F3A">
        <w:rPr>
          <w:i w:val="0"/>
          <w:iCs w:val="0"/>
          <w:lang w:val="en-IE"/>
        </w:rPr>
        <w:t>Theileria</w:t>
      </w:r>
      <w:proofErr w:type="spellEnd"/>
      <w:r w:rsidRPr="006E3F3A">
        <w:rPr>
          <w:i w:val="0"/>
          <w:iCs w:val="0"/>
          <w:lang w:val="en-IE"/>
        </w:rPr>
        <w:t xml:space="preserve"> </w:t>
      </w:r>
      <w:proofErr w:type="spellStart"/>
      <w:r w:rsidRPr="006E3F3A">
        <w:rPr>
          <w:i w:val="0"/>
          <w:iCs w:val="0"/>
          <w:lang w:val="en-IE"/>
        </w:rPr>
        <w:t>equi</w:t>
      </w:r>
      <w:bookmarkEnd w:id="0"/>
      <w:proofErr w:type="spellEnd"/>
      <w:r w:rsidRPr="006E3F3A">
        <w:rPr>
          <w:lang w:val="en-IE"/>
        </w:rPr>
        <w:t xml:space="preserve"> and </w:t>
      </w:r>
      <w:bookmarkStart w:id="1" w:name="_spaddin_ign_1_Babesia_caballi"/>
      <w:r w:rsidRPr="006E3F3A">
        <w:rPr>
          <w:i w:val="0"/>
          <w:iCs w:val="0"/>
          <w:lang w:val="en-IE"/>
        </w:rPr>
        <w:t xml:space="preserve">Babesia </w:t>
      </w:r>
      <w:proofErr w:type="spellStart"/>
      <w:r w:rsidRPr="006E3F3A">
        <w:rPr>
          <w:i w:val="0"/>
          <w:iCs w:val="0"/>
          <w:lang w:val="en-IE"/>
        </w:rPr>
        <w:t>caballi</w:t>
      </w:r>
      <w:bookmarkEnd w:id="1"/>
      <w:proofErr w:type="spellEnd"/>
      <w:r w:rsidRPr="006E3F3A">
        <w:rPr>
          <w:lang w:val="en-IE"/>
        </w:rPr>
        <w:t xml:space="preserve">. </w:t>
      </w:r>
      <w:bookmarkStart w:id="2" w:name="_spaddin_ign_2_Theileria_equi"/>
      <w:proofErr w:type="spellStart"/>
      <w:r w:rsidRPr="00B94B2A">
        <w:rPr>
          <w:i w:val="0"/>
          <w:strike/>
          <w:lang w:val="en-IE"/>
        </w:rPr>
        <w:t>Theileria</w:t>
      </w:r>
      <w:proofErr w:type="spellEnd"/>
      <w:r w:rsidRPr="00B94B2A">
        <w:rPr>
          <w:i w:val="0"/>
          <w:strike/>
          <w:lang w:val="en-IE"/>
        </w:rPr>
        <w:t xml:space="preserve"> </w:t>
      </w:r>
      <w:proofErr w:type="spellStart"/>
      <w:r w:rsidRPr="00B94B2A">
        <w:rPr>
          <w:i w:val="0"/>
          <w:strike/>
          <w:lang w:val="en-IE"/>
        </w:rPr>
        <w:t>equi</w:t>
      </w:r>
      <w:bookmarkEnd w:id="2"/>
      <w:proofErr w:type="spellEnd"/>
      <w:r w:rsidRPr="00B94B2A">
        <w:rPr>
          <w:i w:val="0"/>
          <w:strike/>
          <w:lang w:val="en-IE"/>
        </w:rPr>
        <w:t xml:space="preserve"> </w:t>
      </w:r>
      <w:r w:rsidRPr="00B94B2A">
        <w:rPr>
          <w:strike/>
          <w:lang w:val="en-IE"/>
        </w:rPr>
        <w:t xml:space="preserve">was previously designated as </w:t>
      </w:r>
      <w:r w:rsidRPr="00B94B2A">
        <w:rPr>
          <w:i w:val="0"/>
          <w:strike/>
          <w:lang w:val="en-IE"/>
        </w:rPr>
        <w:t xml:space="preserve">Babesia </w:t>
      </w:r>
      <w:proofErr w:type="spellStart"/>
      <w:r w:rsidRPr="00B94B2A">
        <w:rPr>
          <w:i w:val="0"/>
          <w:strike/>
          <w:lang w:val="en-IE"/>
        </w:rPr>
        <w:t>equi</w:t>
      </w:r>
      <w:proofErr w:type="spellEnd"/>
      <w:r w:rsidRPr="00B94B2A">
        <w:rPr>
          <w:i w:val="0"/>
          <w:strike/>
          <w:lang w:val="en-IE"/>
        </w:rPr>
        <w:t>.</w:t>
      </w:r>
      <w:r w:rsidR="00B94B2A" w:rsidRPr="00480C54">
        <w:rPr>
          <w:strike/>
          <w:lang w:val="en-IE"/>
        </w:rPr>
        <w:t xml:space="preserve"> </w:t>
      </w:r>
      <w:r w:rsidRPr="006E3F3A">
        <w:rPr>
          <w:lang w:val="en-IE"/>
        </w:rPr>
        <w:t xml:space="preserve">Infected animals may remain carriers of these parasites for long periods and act as sources of infection for ticks, which act as vectors. </w:t>
      </w:r>
      <w:r w:rsidR="00532F24" w:rsidRPr="00532F24">
        <w:rPr>
          <w:u w:val="double"/>
          <w:lang w:val="en-IE"/>
        </w:rPr>
        <w:t>These parasites are also easily spread by blood contaminated instruments</w:t>
      </w:r>
      <w:r w:rsidR="00532F24">
        <w:rPr>
          <w:lang w:val="en-IE"/>
        </w:rPr>
        <w:t>.</w:t>
      </w:r>
    </w:p>
    <w:p w14:paraId="663E0B6F" w14:textId="77777777" w:rsidR="00FC674A" w:rsidRPr="006E3F3A" w:rsidRDefault="00FC674A" w:rsidP="00C5786E">
      <w:pPr>
        <w:pStyle w:val="sumtexte"/>
        <w:spacing w:line="240" w:lineRule="exact"/>
        <w:rPr>
          <w:lang w:val="en-IE"/>
        </w:rPr>
      </w:pPr>
      <w:r w:rsidRPr="006E3F3A">
        <w:rPr>
          <w:lang w:val="en-IE"/>
        </w:rPr>
        <w:t>The introduction of carrier animals into areas where tick vectors are prevalent can lead to an epizootic spread of the disease.</w:t>
      </w:r>
      <w:r w:rsidR="009E3BB5" w:rsidRPr="006E3F3A">
        <w:rPr>
          <w:lang w:val="en-IE"/>
        </w:rPr>
        <w:t xml:space="preserve"> </w:t>
      </w:r>
    </w:p>
    <w:p w14:paraId="663E0B70" w14:textId="77777777" w:rsidR="00FC674A" w:rsidRPr="006E3F3A" w:rsidRDefault="00FC674A" w:rsidP="00C021CD">
      <w:pPr>
        <w:pStyle w:val="sumtexte"/>
        <w:spacing w:line="240" w:lineRule="exact"/>
        <w:rPr>
          <w:lang w:val="en-IE"/>
        </w:rPr>
      </w:pPr>
      <w:r w:rsidRPr="006E3F3A">
        <w:rPr>
          <w:b/>
          <w:lang w:val="en-IE"/>
        </w:rPr>
        <w:t>Identification of the agent</w:t>
      </w:r>
      <w:r w:rsidRPr="006E3F3A">
        <w:rPr>
          <w:b/>
          <w:bCs/>
          <w:lang w:val="en-IE"/>
        </w:rPr>
        <w:t>:</w:t>
      </w:r>
      <w:r w:rsidRPr="006E3F3A">
        <w:rPr>
          <w:lang w:val="en-IE"/>
        </w:rPr>
        <w:t xml:space="preserve"> Infected horses can be identified by demonstrating the parasites in stained blood or organ smears during the acute phase of the disease. </w:t>
      </w:r>
      <w:proofErr w:type="spellStart"/>
      <w:r w:rsidRPr="006E3F3A">
        <w:rPr>
          <w:lang w:val="en-IE"/>
        </w:rPr>
        <w:t>Romanovsky</w:t>
      </w:r>
      <w:proofErr w:type="spellEnd"/>
      <w:r w:rsidRPr="006E3F3A">
        <w:rPr>
          <w:lang w:val="en-IE"/>
        </w:rPr>
        <w:t xml:space="preserve">-type staining methods, such as Giemsa, give the best results. In carrier animals, low </w:t>
      </w:r>
      <w:proofErr w:type="spellStart"/>
      <w:r w:rsidRPr="006E3F3A">
        <w:rPr>
          <w:lang w:val="en-IE"/>
        </w:rPr>
        <w:t>parasitaemias</w:t>
      </w:r>
      <w:proofErr w:type="spellEnd"/>
      <w:r w:rsidRPr="006E3F3A">
        <w:rPr>
          <w:lang w:val="en-IE"/>
        </w:rPr>
        <w:t xml:space="preserve"> make it extremely difficult to detect parasites, especially in the case of </w:t>
      </w:r>
      <w:r w:rsidR="000E34F9" w:rsidRPr="00E8139D">
        <w:rPr>
          <w:i w:val="0"/>
          <w:iCs w:val="0"/>
          <w:lang w:val="en-IE"/>
        </w:rPr>
        <w:t xml:space="preserve">B. </w:t>
      </w:r>
      <w:proofErr w:type="spellStart"/>
      <w:r w:rsidR="000E34F9" w:rsidRPr="00E8139D">
        <w:rPr>
          <w:i w:val="0"/>
          <w:iCs w:val="0"/>
          <w:lang w:val="en-IE"/>
        </w:rPr>
        <w:t>caballi</w:t>
      </w:r>
      <w:proofErr w:type="spellEnd"/>
      <w:r w:rsidRPr="006E3F3A">
        <w:rPr>
          <w:lang w:val="en-IE"/>
        </w:rPr>
        <w:t xml:space="preserve"> infections, although they may sometimes be demonstrated by using a thick blood smear technique.</w:t>
      </w:r>
    </w:p>
    <w:p w14:paraId="663E0B71" w14:textId="77777777" w:rsidR="00FC674A" w:rsidRPr="006E3F3A" w:rsidRDefault="00FC674A" w:rsidP="00C021CD">
      <w:pPr>
        <w:pStyle w:val="sumtexte"/>
        <w:spacing w:line="240" w:lineRule="exact"/>
        <w:rPr>
          <w:lang w:val="en-IE"/>
        </w:rPr>
      </w:pPr>
      <w:r w:rsidRPr="006E3F3A">
        <w:rPr>
          <w:lang w:val="en-IE"/>
        </w:rPr>
        <w:t xml:space="preserve">Paired merozoites joined at their posterior ends are a diagnostic feature of </w:t>
      </w:r>
      <w:r w:rsidR="000E34F9" w:rsidRPr="00E8139D">
        <w:rPr>
          <w:i w:val="0"/>
          <w:iCs w:val="0"/>
          <w:lang w:val="en-IE"/>
        </w:rPr>
        <w:t xml:space="preserve">B. </w:t>
      </w:r>
      <w:proofErr w:type="spellStart"/>
      <w:r w:rsidR="000E34F9" w:rsidRPr="00E8139D">
        <w:rPr>
          <w:i w:val="0"/>
          <w:iCs w:val="0"/>
          <w:lang w:val="en-IE"/>
        </w:rPr>
        <w:t>caballi</w:t>
      </w:r>
      <w:proofErr w:type="spellEnd"/>
      <w:r w:rsidRPr="006E3F3A">
        <w:rPr>
          <w:lang w:val="en-IE"/>
        </w:rPr>
        <w:t xml:space="preserve"> infection. The parasites in the erythrocytes measure 2 </w:t>
      </w:r>
      <w:r w:rsidR="00C021CD" w:rsidRPr="006E3F3A">
        <w:rPr>
          <w:lang w:val="en-IE"/>
        </w:rPr>
        <w:t>×</w:t>
      </w:r>
      <w:r w:rsidRPr="006E3F3A">
        <w:rPr>
          <w:lang w:val="en-IE"/>
        </w:rPr>
        <w:t xml:space="preserve"> 5 µm. The merozoites of </w:t>
      </w:r>
      <w:r w:rsidR="000E34F9" w:rsidRPr="00E8139D">
        <w:rPr>
          <w:i w:val="0"/>
          <w:iCs w:val="0"/>
          <w:lang w:val="en-IE"/>
        </w:rPr>
        <w:t xml:space="preserve">T. </w:t>
      </w:r>
      <w:proofErr w:type="spellStart"/>
      <w:r w:rsidR="000E34F9" w:rsidRPr="00E8139D">
        <w:rPr>
          <w:i w:val="0"/>
          <w:iCs w:val="0"/>
          <w:lang w:val="en-IE"/>
        </w:rPr>
        <w:t>equi</w:t>
      </w:r>
      <w:proofErr w:type="spellEnd"/>
      <w:r w:rsidRPr="006E3F3A">
        <w:rPr>
          <w:lang w:val="en-IE"/>
        </w:rPr>
        <w:t xml:space="preserve"> are less than 2–3</w:t>
      </w:r>
      <w:r w:rsidR="00C021CD" w:rsidRPr="006E3F3A">
        <w:rPr>
          <w:lang w:val="en-IE"/>
        </w:rPr>
        <w:t> </w:t>
      </w:r>
      <w:r w:rsidRPr="006E3F3A">
        <w:rPr>
          <w:lang w:val="en-IE"/>
        </w:rPr>
        <w:t xml:space="preserve">µm long, and are pyriform, round or ovoid. A characteristic of </w:t>
      </w:r>
      <w:r w:rsidR="000E34F9" w:rsidRPr="00E8139D">
        <w:rPr>
          <w:i w:val="0"/>
          <w:iCs w:val="0"/>
          <w:lang w:val="en-IE"/>
        </w:rPr>
        <w:t xml:space="preserve">T. </w:t>
      </w:r>
      <w:proofErr w:type="spellStart"/>
      <w:r w:rsidR="000E34F9" w:rsidRPr="00E8139D">
        <w:rPr>
          <w:i w:val="0"/>
          <w:iCs w:val="0"/>
          <w:lang w:val="en-IE"/>
        </w:rPr>
        <w:t>equi</w:t>
      </w:r>
      <w:proofErr w:type="spellEnd"/>
      <w:r w:rsidRPr="006E3F3A">
        <w:rPr>
          <w:lang w:val="en-IE"/>
        </w:rPr>
        <w:t xml:space="preserve"> is the arrangement of four pear-shaped merozoites forming a tetrad known as a ‘Maltese cross</w:t>
      </w:r>
      <w:r w:rsidR="00C021CD" w:rsidRPr="006E3F3A">
        <w:rPr>
          <w:lang w:val="en-IE"/>
        </w:rPr>
        <w:t>’</w:t>
      </w:r>
      <w:r w:rsidRPr="006E3F3A">
        <w:rPr>
          <w:lang w:val="en-IE"/>
        </w:rPr>
        <w:t>.</w:t>
      </w:r>
    </w:p>
    <w:p w14:paraId="663E0B72" w14:textId="77777777" w:rsidR="0075334A" w:rsidRPr="006E3F3A" w:rsidRDefault="0075334A" w:rsidP="00C92E4C">
      <w:pPr>
        <w:pStyle w:val="sumtexte"/>
        <w:spacing w:line="240" w:lineRule="exact"/>
        <w:rPr>
          <w:lang w:val="en-IE"/>
        </w:rPr>
      </w:pPr>
      <w:r w:rsidRPr="006E3F3A">
        <w:rPr>
          <w:lang w:val="en-IE"/>
        </w:rPr>
        <w:t xml:space="preserve">Molecular techniques for the detection of </w:t>
      </w:r>
      <w:r w:rsidR="000E34F9" w:rsidRPr="00E8139D">
        <w:rPr>
          <w:i w:val="0"/>
          <w:lang w:val="en-IE"/>
        </w:rPr>
        <w:t xml:space="preserve">T. </w:t>
      </w:r>
      <w:proofErr w:type="spellStart"/>
      <w:r w:rsidR="000E34F9" w:rsidRPr="00E8139D">
        <w:rPr>
          <w:i w:val="0"/>
          <w:lang w:val="en-IE"/>
        </w:rPr>
        <w:t>equi</w:t>
      </w:r>
      <w:proofErr w:type="spellEnd"/>
      <w:r w:rsidRPr="006E3F3A">
        <w:rPr>
          <w:lang w:val="en-IE"/>
        </w:rPr>
        <w:t xml:space="preserve"> and </w:t>
      </w:r>
      <w:r w:rsidR="000E34F9" w:rsidRPr="00E8139D">
        <w:rPr>
          <w:i w:val="0"/>
          <w:lang w:val="en-IE"/>
        </w:rPr>
        <w:t xml:space="preserve">B. </w:t>
      </w:r>
      <w:proofErr w:type="spellStart"/>
      <w:r w:rsidR="000E34F9" w:rsidRPr="00E8139D">
        <w:rPr>
          <w:i w:val="0"/>
          <w:lang w:val="en-IE"/>
        </w:rPr>
        <w:t>caballi</w:t>
      </w:r>
      <w:proofErr w:type="spellEnd"/>
      <w:r w:rsidRPr="006E3F3A">
        <w:rPr>
          <w:lang w:val="en-IE"/>
        </w:rPr>
        <w:t xml:space="preserve"> based on species-specific polymerase chain reaction</w:t>
      </w:r>
      <w:r w:rsidRPr="006E3F3A">
        <w:rPr>
          <w:i w:val="0"/>
          <w:iCs w:val="0"/>
          <w:lang w:val="en-IE"/>
        </w:rPr>
        <w:t xml:space="preserve"> (</w:t>
      </w:r>
      <w:r w:rsidRPr="006E3F3A">
        <w:rPr>
          <w:lang w:val="en-IE"/>
        </w:rPr>
        <w:t>PCR</w:t>
      </w:r>
      <w:r w:rsidRPr="006E3F3A">
        <w:rPr>
          <w:i w:val="0"/>
          <w:iCs w:val="0"/>
          <w:lang w:val="en-IE"/>
        </w:rPr>
        <w:t xml:space="preserve">) </w:t>
      </w:r>
      <w:r w:rsidRPr="006E3F3A">
        <w:rPr>
          <w:lang w:val="en-IE"/>
        </w:rPr>
        <w:t xml:space="preserve">assays, </w:t>
      </w:r>
      <w:r w:rsidR="00E84919" w:rsidRPr="006E3F3A">
        <w:rPr>
          <w:lang w:val="en-IE"/>
        </w:rPr>
        <w:t xml:space="preserve">targeting </w:t>
      </w:r>
      <w:r w:rsidRPr="006E3F3A">
        <w:rPr>
          <w:lang w:val="en-IE"/>
        </w:rPr>
        <w:t>the 18S rRNA gene</w:t>
      </w:r>
      <w:r w:rsidR="003A6808" w:rsidRPr="006E3F3A">
        <w:rPr>
          <w:lang w:val="en-IE"/>
        </w:rPr>
        <w:t xml:space="preserve"> as well as</w:t>
      </w:r>
      <w:r w:rsidR="002F4C91" w:rsidRPr="006E3F3A">
        <w:rPr>
          <w:lang w:val="en-IE"/>
        </w:rPr>
        <w:t xml:space="preserve"> </w:t>
      </w:r>
      <w:r w:rsidR="00801EDA" w:rsidRPr="006E3F3A">
        <w:rPr>
          <w:bCs/>
          <w:kern w:val="0"/>
        </w:rPr>
        <w:t xml:space="preserve">BC48 </w:t>
      </w:r>
      <w:r w:rsidR="00801EDA" w:rsidRPr="006E3F3A">
        <w:rPr>
          <w:bCs/>
          <w:i w:val="0"/>
          <w:kern w:val="0"/>
        </w:rPr>
        <w:t>(B</w:t>
      </w:r>
      <w:r w:rsidR="00801EDA" w:rsidRPr="006E3F3A">
        <w:rPr>
          <w:bCs/>
          <w:kern w:val="0"/>
        </w:rPr>
        <w:t xml:space="preserve">. </w:t>
      </w:r>
      <w:proofErr w:type="spellStart"/>
      <w:r w:rsidR="00801EDA" w:rsidRPr="006E3F3A">
        <w:rPr>
          <w:bCs/>
          <w:i w:val="0"/>
          <w:kern w:val="0"/>
        </w:rPr>
        <w:t>caballi</w:t>
      </w:r>
      <w:proofErr w:type="spellEnd"/>
      <w:r w:rsidR="00801EDA" w:rsidRPr="006E3F3A">
        <w:rPr>
          <w:bCs/>
          <w:i w:val="0"/>
          <w:kern w:val="0"/>
        </w:rPr>
        <w:t>)</w:t>
      </w:r>
      <w:r w:rsidR="00801EDA" w:rsidRPr="006E3F3A">
        <w:rPr>
          <w:bCs/>
          <w:kern w:val="0"/>
        </w:rPr>
        <w:t xml:space="preserve"> an</w:t>
      </w:r>
      <w:r w:rsidR="00801EDA" w:rsidRPr="006E3F3A">
        <w:rPr>
          <w:bCs/>
          <w:i w:val="0"/>
          <w:kern w:val="0"/>
        </w:rPr>
        <w:t xml:space="preserve">d </w:t>
      </w:r>
      <w:r w:rsidR="00801EDA" w:rsidRPr="006E3F3A">
        <w:rPr>
          <w:bCs/>
          <w:kern w:val="0"/>
        </w:rPr>
        <w:t xml:space="preserve">EMA-1 </w:t>
      </w:r>
      <w:r w:rsidR="00801EDA" w:rsidRPr="006E3F3A">
        <w:rPr>
          <w:bCs/>
          <w:i w:val="0"/>
          <w:kern w:val="0"/>
        </w:rPr>
        <w:t>(T</w:t>
      </w:r>
      <w:r w:rsidR="00801EDA" w:rsidRPr="006E3F3A">
        <w:rPr>
          <w:bCs/>
          <w:kern w:val="0"/>
        </w:rPr>
        <w:t xml:space="preserve">. </w:t>
      </w:r>
      <w:proofErr w:type="spellStart"/>
      <w:r w:rsidR="00801EDA" w:rsidRPr="006E3F3A">
        <w:rPr>
          <w:bCs/>
          <w:i w:val="0"/>
          <w:kern w:val="0"/>
        </w:rPr>
        <w:t>equi</w:t>
      </w:r>
      <w:proofErr w:type="spellEnd"/>
      <w:r w:rsidR="00801EDA" w:rsidRPr="006E3F3A">
        <w:rPr>
          <w:bCs/>
          <w:i w:val="0"/>
          <w:kern w:val="0"/>
        </w:rPr>
        <w:t xml:space="preserve">) </w:t>
      </w:r>
      <w:r w:rsidR="00801EDA" w:rsidRPr="006E3F3A">
        <w:rPr>
          <w:bCs/>
          <w:kern w:val="0"/>
        </w:rPr>
        <w:t>genes</w:t>
      </w:r>
      <w:r w:rsidR="00457C25" w:rsidRPr="006E3F3A">
        <w:rPr>
          <w:lang w:val="en-IE"/>
        </w:rPr>
        <w:t>, have been developed and continue to expand. These</w:t>
      </w:r>
      <w:r w:rsidR="00236BF9" w:rsidRPr="006E3F3A">
        <w:rPr>
          <w:lang w:val="en-IE"/>
        </w:rPr>
        <w:t xml:space="preserve"> tests have been shown to be highly specific and sensitive and </w:t>
      </w:r>
      <w:r w:rsidR="00457C25" w:rsidRPr="006E3F3A">
        <w:rPr>
          <w:lang w:val="en-IE"/>
        </w:rPr>
        <w:t>promise to play an increasing role in the diagnosis of</w:t>
      </w:r>
      <w:r w:rsidR="00EE5825" w:rsidRPr="006E3F3A">
        <w:rPr>
          <w:lang w:val="en-IE"/>
        </w:rPr>
        <w:t xml:space="preserve"> infections. </w:t>
      </w:r>
      <w:r w:rsidR="005C21BD" w:rsidRPr="006E3F3A">
        <w:rPr>
          <w:lang w:val="en-IE"/>
        </w:rPr>
        <w:t>Importantly</w:t>
      </w:r>
      <w:r w:rsidR="00F15F21" w:rsidRPr="006E3F3A">
        <w:rPr>
          <w:lang w:val="en-IE"/>
        </w:rPr>
        <w:t>,</w:t>
      </w:r>
      <w:r w:rsidR="005C21BD" w:rsidRPr="006E3F3A">
        <w:rPr>
          <w:lang w:val="en-IE"/>
        </w:rPr>
        <w:t xml:space="preserve"> the specificity of PCR can be defined beyond evaluation of the molecular mass of amplicons. Hybridi</w:t>
      </w:r>
      <w:r w:rsidR="00CD2329" w:rsidRPr="006E3F3A">
        <w:rPr>
          <w:lang w:val="en-IE"/>
        </w:rPr>
        <w:t>s</w:t>
      </w:r>
      <w:r w:rsidR="005C21BD" w:rsidRPr="006E3F3A">
        <w:rPr>
          <w:lang w:val="en-IE"/>
        </w:rPr>
        <w:t>ation with specific probes, restriction endonuclease analysis and sequencing of amplicons are also available.</w:t>
      </w:r>
    </w:p>
    <w:p w14:paraId="663E0B73" w14:textId="77777777" w:rsidR="00FC674A" w:rsidRPr="007F2837" w:rsidRDefault="00FC674A" w:rsidP="00C5786E">
      <w:pPr>
        <w:pStyle w:val="sumtexte"/>
        <w:spacing w:line="240" w:lineRule="exact"/>
        <w:rPr>
          <w:strike/>
          <w:sz w:val="22"/>
          <w:lang w:val="en-IE"/>
        </w:rPr>
      </w:pPr>
      <w:r w:rsidRPr="006E3F3A">
        <w:rPr>
          <w:b/>
          <w:lang w:val="en-IE"/>
        </w:rPr>
        <w:t>Serological tests</w:t>
      </w:r>
      <w:r w:rsidRPr="006E3F3A">
        <w:rPr>
          <w:lang w:val="en-IE"/>
        </w:rPr>
        <w:t xml:space="preserve">: </w:t>
      </w:r>
      <w:r w:rsidRPr="007F2837">
        <w:rPr>
          <w:strike/>
          <w:lang w:val="en-IE"/>
        </w:rPr>
        <w:t>Infections in carrier animals are best demonstrated by testing their sera for the presence of specific antibodies</w:t>
      </w:r>
      <w:r w:rsidRPr="007F2837">
        <w:rPr>
          <w:strike/>
          <w:sz w:val="22"/>
          <w:lang w:val="en-IE"/>
        </w:rPr>
        <w:t>.</w:t>
      </w:r>
    </w:p>
    <w:p w14:paraId="663E0B74" w14:textId="7962ED5D" w:rsidR="00FC674A" w:rsidRPr="006E3F3A" w:rsidRDefault="00FC674A" w:rsidP="00270C58">
      <w:pPr>
        <w:pStyle w:val="sumtexte"/>
        <w:spacing w:line="240" w:lineRule="exact"/>
        <w:rPr>
          <w:lang w:val="en-IE"/>
        </w:rPr>
      </w:pPr>
      <w:r w:rsidRPr="006E3F3A">
        <w:rPr>
          <w:lang w:val="en-IE"/>
        </w:rPr>
        <w:t xml:space="preserve">Currently, the indirect fluorescent antibody </w:t>
      </w:r>
      <w:r w:rsidR="00357ECA" w:rsidRPr="006E3F3A">
        <w:rPr>
          <w:lang w:val="en-IE"/>
        </w:rPr>
        <w:t xml:space="preserve">test </w:t>
      </w:r>
      <w:r w:rsidRPr="006E3F3A">
        <w:rPr>
          <w:i w:val="0"/>
          <w:iCs w:val="0"/>
          <w:lang w:val="en-IE"/>
        </w:rPr>
        <w:t>(</w:t>
      </w:r>
      <w:r w:rsidRPr="006E3F3A">
        <w:rPr>
          <w:lang w:val="en-IE"/>
        </w:rPr>
        <w:t>IFA</w:t>
      </w:r>
      <w:r w:rsidR="00357ECA" w:rsidRPr="006E3F3A">
        <w:rPr>
          <w:lang w:val="en-IE"/>
        </w:rPr>
        <w:t>T</w:t>
      </w:r>
      <w:r w:rsidRPr="006E3F3A">
        <w:rPr>
          <w:i w:val="0"/>
          <w:iCs w:val="0"/>
          <w:lang w:val="en-IE"/>
        </w:rPr>
        <w:t>)</w:t>
      </w:r>
      <w:r w:rsidRPr="006E3F3A">
        <w:rPr>
          <w:lang w:val="en-IE"/>
        </w:rPr>
        <w:t xml:space="preserve"> and the competitive en</w:t>
      </w:r>
      <w:r w:rsidR="00D306F0" w:rsidRPr="006E3F3A">
        <w:rPr>
          <w:lang w:val="en-IE"/>
        </w:rPr>
        <w:t>zyme-linked immunosorbent assay</w:t>
      </w:r>
      <w:r w:rsidRPr="006E3F3A">
        <w:rPr>
          <w:lang w:val="en-IE"/>
        </w:rPr>
        <w:t xml:space="preserve"> </w:t>
      </w:r>
      <w:r w:rsidRPr="006E3F3A">
        <w:rPr>
          <w:i w:val="0"/>
          <w:iCs w:val="0"/>
          <w:lang w:val="en-IE"/>
        </w:rPr>
        <w:t>(</w:t>
      </w:r>
      <w:r w:rsidR="00D44EED" w:rsidRPr="006E3F3A">
        <w:rPr>
          <w:lang w:val="en-IE"/>
        </w:rPr>
        <w:t>C-ELISA</w:t>
      </w:r>
      <w:r w:rsidRPr="006E3F3A">
        <w:rPr>
          <w:i w:val="0"/>
          <w:iCs w:val="0"/>
          <w:lang w:val="en-IE"/>
        </w:rPr>
        <w:t>)</w:t>
      </w:r>
      <w:r w:rsidRPr="006E3F3A">
        <w:rPr>
          <w:lang w:val="en-IE"/>
        </w:rPr>
        <w:t xml:space="preserve"> are the primary tests used for qualifying horses for importation. </w:t>
      </w:r>
      <w:r w:rsidR="00270C58" w:rsidRPr="006E3F3A">
        <w:rPr>
          <w:lang w:val="en-IE"/>
        </w:rPr>
        <w:t xml:space="preserve">The complement fixation </w:t>
      </w:r>
      <w:r w:rsidR="00357ECA" w:rsidRPr="006E3F3A">
        <w:rPr>
          <w:lang w:val="en-IE"/>
        </w:rPr>
        <w:t>test</w:t>
      </w:r>
      <w:r w:rsidR="00357ECA" w:rsidRPr="006E3F3A">
        <w:rPr>
          <w:i w:val="0"/>
          <w:iCs w:val="0"/>
          <w:lang w:val="en-IE"/>
        </w:rPr>
        <w:t xml:space="preserve"> </w:t>
      </w:r>
      <w:r w:rsidR="00270C58" w:rsidRPr="006E3F3A">
        <w:rPr>
          <w:i w:val="0"/>
          <w:iCs w:val="0"/>
          <w:lang w:val="en-IE"/>
        </w:rPr>
        <w:t>(</w:t>
      </w:r>
      <w:r w:rsidR="00270C58" w:rsidRPr="006E3F3A">
        <w:rPr>
          <w:lang w:val="en-IE"/>
        </w:rPr>
        <w:t>CF</w:t>
      </w:r>
      <w:r w:rsidR="00357ECA" w:rsidRPr="006E3F3A">
        <w:rPr>
          <w:lang w:val="en-IE"/>
        </w:rPr>
        <w:t>T</w:t>
      </w:r>
      <w:r w:rsidR="00270C58" w:rsidRPr="006E3F3A">
        <w:rPr>
          <w:i w:val="0"/>
          <w:iCs w:val="0"/>
          <w:lang w:val="en-IE"/>
        </w:rPr>
        <w:t>)</w:t>
      </w:r>
      <w:r w:rsidR="00270C58" w:rsidRPr="006E3F3A">
        <w:rPr>
          <w:lang w:val="en-IE"/>
        </w:rPr>
        <w:t xml:space="preserve">, for many years the primary test, has been replaced by the IFA and </w:t>
      </w:r>
      <w:r w:rsidR="00D44EED" w:rsidRPr="006E3F3A">
        <w:rPr>
          <w:lang w:val="en-IE"/>
        </w:rPr>
        <w:t>C-ELISA</w:t>
      </w:r>
      <w:r w:rsidR="006D7D8A">
        <w:rPr>
          <w:lang w:val="en-IE"/>
        </w:rPr>
        <w:t xml:space="preserve">; </w:t>
      </w:r>
      <w:r w:rsidR="006D7D8A" w:rsidRPr="006D7D8A">
        <w:rPr>
          <w:u w:val="double"/>
          <w:lang w:val="en-IE"/>
        </w:rPr>
        <w:t>animals may be CF negative but still be infected</w:t>
      </w:r>
      <w:r w:rsidR="00270C58" w:rsidRPr="006D7D8A">
        <w:rPr>
          <w:u w:val="double"/>
          <w:lang w:val="en-IE"/>
        </w:rPr>
        <w:t>.</w:t>
      </w:r>
      <w:r w:rsidR="00270C58" w:rsidRPr="006E3F3A">
        <w:rPr>
          <w:lang w:val="en-IE"/>
        </w:rPr>
        <w:t xml:space="preserve"> </w:t>
      </w:r>
      <w:r w:rsidR="00270C58" w:rsidRPr="00274120">
        <w:rPr>
          <w:strike/>
          <w:lang w:val="en-IE"/>
        </w:rPr>
        <w:t xml:space="preserve">These tests have proven to be more effective at detecting long-term infected animals and animals treated with antiparasitic drugs; these </w:t>
      </w:r>
      <w:r w:rsidR="00270C58" w:rsidRPr="00643F2F">
        <w:rPr>
          <w:strike/>
          <w:lang w:val="en-IE"/>
        </w:rPr>
        <w:t>animals may</w:t>
      </w:r>
      <w:r w:rsidR="003C4A96" w:rsidRPr="00643F2F">
        <w:rPr>
          <w:strike/>
          <w:lang w:val="en-IE"/>
        </w:rPr>
        <w:t xml:space="preserve"> </w:t>
      </w:r>
      <w:r w:rsidR="00270C58" w:rsidRPr="00643F2F">
        <w:rPr>
          <w:strike/>
          <w:lang w:val="en-IE"/>
        </w:rPr>
        <w:t>be CF negative but still be infected</w:t>
      </w:r>
      <w:r w:rsidRPr="00274120">
        <w:rPr>
          <w:strike/>
          <w:lang w:val="en-IE"/>
        </w:rPr>
        <w:t>.</w:t>
      </w:r>
      <w:r w:rsidRPr="006E3F3A">
        <w:rPr>
          <w:lang w:val="en-IE"/>
        </w:rPr>
        <w:t xml:space="preserve"> The </w:t>
      </w:r>
      <w:r w:rsidR="00357ECA" w:rsidRPr="006E3F3A">
        <w:rPr>
          <w:lang w:val="en-IE"/>
        </w:rPr>
        <w:t>IFAT</w:t>
      </w:r>
      <w:r w:rsidRPr="006E3F3A">
        <w:rPr>
          <w:lang w:val="en-IE"/>
        </w:rPr>
        <w:t xml:space="preserve"> and</w:t>
      </w:r>
      <w:r w:rsidR="00D44EED" w:rsidRPr="006E3F3A">
        <w:rPr>
          <w:lang w:val="en-IE"/>
        </w:rPr>
        <w:t xml:space="preserve"> C-ELISA</w:t>
      </w:r>
      <w:r w:rsidRPr="006E3F3A">
        <w:rPr>
          <w:lang w:val="en-IE"/>
        </w:rPr>
        <w:t xml:space="preserve"> have been shown to be highly specific for each of the two species of piroplasmosis agent</w:t>
      </w:r>
      <w:r w:rsidR="00D306F0" w:rsidRPr="006E3F3A">
        <w:rPr>
          <w:lang w:val="en-IE"/>
        </w:rPr>
        <w:t xml:space="preserve">s involved. </w:t>
      </w:r>
      <w:r w:rsidR="000476A7" w:rsidRPr="006E3F3A">
        <w:rPr>
          <w:lang w:val="en-IE"/>
        </w:rPr>
        <w:t xml:space="preserve">One challenge </w:t>
      </w:r>
      <w:r w:rsidR="00F15F21" w:rsidRPr="006E3F3A">
        <w:rPr>
          <w:lang w:val="en-IE"/>
        </w:rPr>
        <w:t>with</w:t>
      </w:r>
      <w:r w:rsidR="000476A7" w:rsidRPr="006E3F3A">
        <w:rPr>
          <w:lang w:val="en-IE"/>
        </w:rPr>
        <w:t xml:space="preserve"> the IFA</w:t>
      </w:r>
      <w:r w:rsidR="00357ECA" w:rsidRPr="006E3F3A">
        <w:rPr>
          <w:lang w:val="en-IE"/>
        </w:rPr>
        <w:t>T</w:t>
      </w:r>
      <w:r w:rsidR="000476A7" w:rsidRPr="006E3F3A">
        <w:rPr>
          <w:lang w:val="en-IE"/>
        </w:rPr>
        <w:t xml:space="preserve"> is the need to dilute sera to reduce </w:t>
      </w:r>
      <w:r w:rsidR="00B67575" w:rsidRPr="006E3F3A">
        <w:rPr>
          <w:lang w:val="en-IE"/>
        </w:rPr>
        <w:t xml:space="preserve">nonspecific </w:t>
      </w:r>
      <w:r w:rsidR="000476A7" w:rsidRPr="006E3F3A">
        <w:rPr>
          <w:lang w:val="en-IE"/>
        </w:rPr>
        <w:t>binding and subsequent background</w:t>
      </w:r>
      <w:r w:rsidR="00F15F21" w:rsidRPr="006E3F3A">
        <w:rPr>
          <w:lang w:val="en-IE"/>
        </w:rPr>
        <w:t>, which</w:t>
      </w:r>
      <w:r w:rsidR="000476A7" w:rsidRPr="006E3F3A">
        <w:rPr>
          <w:lang w:val="en-IE"/>
        </w:rPr>
        <w:t xml:space="preserve"> may preclude</w:t>
      </w:r>
      <w:r w:rsidR="006D7D8A">
        <w:rPr>
          <w:lang w:val="en-IE"/>
        </w:rPr>
        <w:t xml:space="preserve"> </w:t>
      </w:r>
      <w:r w:rsidR="006D7D8A" w:rsidRPr="006D7D8A">
        <w:rPr>
          <w:u w:val="double"/>
          <w:lang w:val="en-IE"/>
        </w:rPr>
        <w:t>binding to</w:t>
      </w:r>
      <w:r w:rsidR="000476A7" w:rsidRPr="006E3F3A">
        <w:rPr>
          <w:lang w:val="en-IE"/>
        </w:rPr>
        <w:t xml:space="preserve"> </w:t>
      </w:r>
      <w:r w:rsidR="000476A7" w:rsidRPr="006D7D8A">
        <w:rPr>
          <w:strike/>
          <w:lang w:val="en-IE"/>
        </w:rPr>
        <w:t xml:space="preserve">identification of </w:t>
      </w:r>
      <w:r w:rsidR="00643F2F">
        <w:rPr>
          <w:lang w:val="en-IE"/>
        </w:rPr>
        <w:t>the intra-eryt</w:t>
      </w:r>
      <w:r w:rsidR="000476A7" w:rsidRPr="006E3F3A">
        <w:rPr>
          <w:lang w:val="en-IE"/>
        </w:rPr>
        <w:t>h</w:t>
      </w:r>
      <w:r w:rsidR="00643F2F">
        <w:rPr>
          <w:lang w:val="en-IE"/>
        </w:rPr>
        <w:t>r</w:t>
      </w:r>
      <w:r w:rsidR="000476A7" w:rsidRPr="006E3F3A">
        <w:rPr>
          <w:lang w:val="en-IE"/>
        </w:rPr>
        <w:t>ocytic parasites. Sera diluti</w:t>
      </w:r>
      <w:r w:rsidR="00E8139D">
        <w:rPr>
          <w:lang w:val="en-IE"/>
        </w:rPr>
        <w:t>ons to enhance specificity lead</w:t>
      </w:r>
      <w:r w:rsidR="000476A7" w:rsidRPr="006E3F3A">
        <w:rPr>
          <w:lang w:val="en-IE"/>
        </w:rPr>
        <w:t xml:space="preserve"> to a decrease in sensitivity</w:t>
      </w:r>
      <w:r w:rsidR="00F15F21" w:rsidRPr="006E3F3A">
        <w:rPr>
          <w:lang w:val="en-IE"/>
        </w:rPr>
        <w:t xml:space="preserve"> of the IFAT</w:t>
      </w:r>
      <w:r w:rsidR="00093F34">
        <w:rPr>
          <w:lang w:val="en-IE"/>
        </w:rPr>
        <w:t xml:space="preserve"> </w:t>
      </w:r>
      <w:r w:rsidR="00093F34" w:rsidRPr="00480C54">
        <w:rPr>
          <w:highlight w:val="yellow"/>
          <w:u w:val="double"/>
          <w:lang w:val="en-IE"/>
        </w:rPr>
        <w:t>and a specific cut</w:t>
      </w:r>
      <w:r w:rsidR="00480C54">
        <w:rPr>
          <w:highlight w:val="yellow"/>
          <w:u w:val="double"/>
          <w:lang w:val="en-IE"/>
        </w:rPr>
        <w:t>-</w:t>
      </w:r>
      <w:r w:rsidR="00093F34" w:rsidRPr="00480C54">
        <w:rPr>
          <w:highlight w:val="yellow"/>
          <w:u w:val="double"/>
          <w:lang w:val="en-IE"/>
        </w:rPr>
        <w:t>off should be determined</w:t>
      </w:r>
      <w:r w:rsidR="000476A7" w:rsidRPr="006E3F3A">
        <w:rPr>
          <w:lang w:val="en-IE"/>
        </w:rPr>
        <w:t xml:space="preserve">. </w:t>
      </w:r>
      <w:r w:rsidR="00D306F0" w:rsidRPr="006E3F3A">
        <w:rPr>
          <w:lang w:val="en-IE"/>
        </w:rPr>
        <w:t>Indirect ELISAs</w:t>
      </w:r>
      <w:r w:rsidRPr="006E3F3A">
        <w:rPr>
          <w:color w:val="000000" w:themeColor="text1"/>
          <w:lang w:val="en-IE"/>
        </w:rPr>
        <w:t xml:space="preserve"> </w:t>
      </w:r>
      <w:r w:rsidR="003A6808" w:rsidRPr="006E3F3A">
        <w:rPr>
          <w:lang w:val="en-IE"/>
        </w:rPr>
        <w:t>using</w:t>
      </w:r>
      <w:r w:rsidRPr="006E3F3A">
        <w:rPr>
          <w:lang w:val="en-IE"/>
        </w:rPr>
        <w:t xml:space="preserve"> recombinant </w:t>
      </w:r>
      <w:r w:rsidR="000E34F9" w:rsidRPr="00E8139D">
        <w:rPr>
          <w:i w:val="0"/>
          <w:iCs w:val="0"/>
          <w:lang w:val="en-IE"/>
        </w:rPr>
        <w:t xml:space="preserve">T. </w:t>
      </w:r>
      <w:proofErr w:type="spellStart"/>
      <w:r w:rsidR="000E34F9" w:rsidRPr="00E8139D">
        <w:rPr>
          <w:i w:val="0"/>
          <w:iCs w:val="0"/>
          <w:lang w:val="en-IE"/>
        </w:rPr>
        <w:t>equi</w:t>
      </w:r>
      <w:proofErr w:type="spellEnd"/>
      <w:r w:rsidRPr="006E3F3A">
        <w:rPr>
          <w:lang w:val="en-IE"/>
        </w:rPr>
        <w:t xml:space="preserve"> and </w:t>
      </w:r>
      <w:r w:rsidR="000E34F9" w:rsidRPr="00E8139D">
        <w:rPr>
          <w:i w:val="0"/>
          <w:iCs w:val="0"/>
          <w:lang w:val="en-IE"/>
        </w:rPr>
        <w:t xml:space="preserve">B. </w:t>
      </w:r>
      <w:proofErr w:type="spellStart"/>
      <w:r w:rsidR="000E34F9" w:rsidRPr="00E8139D">
        <w:rPr>
          <w:i w:val="0"/>
          <w:iCs w:val="0"/>
          <w:lang w:val="en-IE"/>
        </w:rPr>
        <w:t>caballi</w:t>
      </w:r>
      <w:proofErr w:type="spellEnd"/>
      <w:r w:rsidRPr="006E3F3A">
        <w:rPr>
          <w:lang w:val="en-IE"/>
        </w:rPr>
        <w:t xml:space="preserve"> merozoite proteins in diagnostic assays appear to be very promising in the accurate determination of equine piroplasmosis infection. </w:t>
      </w:r>
    </w:p>
    <w:p w14:paraId="663E0B75" w14:textId="77777777" w:rsidR="00FC674A" w:rsidRPr="006E3F3A" w:rsidRDefault="00FC674A" w:rsidP="00C5786E">
      <w:pPr>
        <w:pStyle w:val="sumtextelastpara"/>
        <w:spacing w:line="240" w:lineRule="exact"/>
        <w:rPr>
          <w:lang w:val="en-IE"/>
        </w:rPr>
      </w:pPr>
      <w:r w:rsidRPr="006E3F3A">
        <w:rPr>
          <w:b/>
          <w:bCs/>
          <w:lang w:val="en-IE"/>
        </w:rPr>
        <w:t>Requirements for vaccines:</w:t>
      </w:r>
      <w:r w:rsidRPr="006E3F3A">
        <w:rPr>
          <w:lang w:val="en-IE"/>
        </w:rPr>
        <w:t xml:space="preserve"> There are no </w:t>
      </w:r>
      <w:r w:rsidR="008C7B72" w:rsidRPr="006E3F3A">
        <w:rPr>
          <w:lang w:val="en-IE"/>
        </w:rPr>
        <w:t>vaccines</w:t>
      </w:r>
      <w:r w:rsidRPr="006E3F3A">
        <w:rPr>
          <w:lang w:val="en-IE"/>
        </w:rPr>
        <w:t xml:space="preserve"> available.</w:t>
      </w:r>
    </w:p>
    <w:p w14:paraId="663E0B76" w14:textId="77777777" w:rsidR="00605758" w:rsidRPr="006E3F3A" w:rsidRDefault="00605758">
      <w:pPr>
        <w:jc w:val="left"/>
        <w:rPr>
          <w:rFonts w:ascii="Ottawa" w:hAnsi="Ottawa"/>
          <w:b/>
          <w:bCs/>
          <w:caps/>
          <w:lang w:val="en-IE" w:eastAsia="fr-FR"/>
        </w:rPr>
      </w:pPr>
      <w:r w:rsidRPr="006E3F3A">
        <w:rPr>
          <w:lang w:val="en-IE"/>
        </w:rPr>
        <w:br w:type="page"/>
      </w:r>
    </w:p>
    <w:p w14:paraId="663E0B77" w14:textId="77777777" w:rsidR="00FC674A" w:rsidRPr="006E3F3A" w:rsidRDefault="00FC674A" w:rsidP="00E8139D">
      <w:pPr>
        <w:pStyle w:val="A0"/>
        <w:spacing w:after="280"/>
        <w:rPr>
          <w:lang w:val="en-IE"/>
        </w:rPr>
      </w:pPr>
      <w:r w:rsidRPr="006E3F3A">
        <w:rPr>
          <w:lang w:val="en-IE"/>
        </w:rPr>
        <w:lastRenderedPageBreak/>
        <w:t xml:space="preserve">A. </w:t>
      </w:r>
      <w:r w:rsidR="003D41F1" w:rsidRPr="006E3F3A">
        <w:rPr>
          <w:lang w:val="en-IE"/>
        </w:rPr>
        <w:t xml:space="preserve"> </w:t>
      </w:r>
      <w:r w:rsidRPr="006E3F3A">
        <w:rPr>
          <w:lang w:val="en-IE"/>
        </w:rPr>
        <w:t>INTRODUCTION</w:t>
      </w:r>
    </w:p>
    <w:p w14:paraId="663E0B78" w14:textId="387F3D58" w:rsidR="00FC674A" w:rsidRPr="006E3F3A" w:rsidRDefault="00FC674A" w:rsidP="00E8139D">
      <w:pPr>
        <w:pStyle w:val="paraA0"/>
        <w:spacing w:after="280" w:line="240" w:lineRule="auto"/>
        <w:rPr>
          <w:sz w:val="22"/>
          <w:lang w:val="en-IE"/>
        </w:rPr>
      </w:pPr>
      <w:r w:rsidRPr="006E3F3A">
        <w:rPr>
          <w:lang w:val="en-IE"/>
        </w:rPr>
        <w:t>Equine piroplasmosis is a tick-borne protozoal disease of horses, mules, donkeys and zebra</w:t>
      </w:r>
      <w:r w:rsidR="00AE0527" w:rsidRPr="006E3F3A">
        <w:rPr>
          <w:lang w:val="en-IE"/>
        </w:rPr>
        <w:t>.</w:t>
      </w:r>
      <w:r w:rsidR="00896BAF" w:rsidRPr="006E3F3A">
        <w:rPr>
          <w:lang w:val="en-IE"/>
        </w:rPr>
        <w:t xml:space="preserve"> </w:t>
      </w:r>
      <w:r w:rsidR="00896BAF" w:rsidRPr="00480C54">
        <w:rPr>
          <w:strike/>
          <w:highlight w:val="yellow"/>
          <w:lang w:val="en-IE"/>
        </w:rPr>
        <w:t xml:space="preserve">Recently, the infection was </w:t>
      </w:r>
      <w:r w:rsidR="00F30013" w:rsidRPr="00480C54">
        <w:rPr>
          <w:strike/>
          <w:highlight w:val="yellow"/>
          <w:lang w:val="en-IE"/>
        </w:rPr>
        <w:t>reported</w:t>
      </w:r>
      <w:r w:rsidR="00896BAF" w:rsidRPr="00480C54">
        <w:rPr>
          <w:strike/>
          <w:highlight w:val="yellow"/>
          <w:lang w:val="en-IE"/>
        </w:rPr>
        <w:t xml:space="preserve"> </w:t>
      </w:r>
      <w:r w:rsidR="00AE0527" w:rsidRPr="00480C54">
        <w:rPr>
          <w:strike/>
          <w:highlight w:val="yellow"/>
          <w:lang w:val="en-IE"/>
        </w:rPr>
        <w:t xml:space="preserve">in camels </w:t>
      </w:r>
      <w:r w:rsidR="00896BAF" w:rsidRPr="00480C54">
        <w:rPr>
          <w:strike/>
          <w:highlight w:val="yellow"/>
          <w:lang w:val="en-IE"/>
        </w:rPr>
        <w:t>(</w:t>
      </w:r>
      <w:r w:rsidR="00336168" w:rsidRPr="00480C54">
        <w:rPr>
          <w:strike/>
          <w:szCs w:val="28"/>
          <w:highlight w:val="yellow"/>
          <w:lang w:val="en-US" w:eastAsia="en-GB"/>
        </w:rPr>
        <w:t>Sloboda</w:t>
      </w:r>
      <w:r w:rsidR="001B5E8E" w:rsidRPr="00480C54">
        <w:rPr>
          <w:strike/>
          <w:highlight w:val="yellow"/>
          <w:lang w:val="en-IE"/>
        </w:rPr>
        <w:t xml:space="preserve"> </w:t>
      </w:r>
      <w:r w:rsidR="001B5E8E" w:rsidRPr="00480C54">
        <w:rPr>
          <w:i/>
          <w:strike/>
          <w:highlight w:val="yellow"/>
          <w:lang w:val="en-IE"/>
        </w:rPr>
        <w:t>et al</w:t>
      </w:r>
      <w:r w:rsidR="001B5E8E" w:rsidRPr="00480C54">
        <w:rPr>
          <w:strike/>
          <w:highlight w:val="yellow"/>
          <w:lang w:val="en-IE"/>
        </w:rPr>
        <w:t>., 2011</w:t>
      </w:r>
      <w:r w:rsidR="00896BAF" w:rsidRPr="00480C54">
        <w:rPr>
          <w:strike/>
          <w:highlight w:val="yellow"/>
          <w:lang w:val="en-IE"/>
        </w:rPr>
        <w:t>).</w:t>
      </w:r>
      <w:r w:rsidR="00896BAF" w:rsidRPr="00480C54">
        <w:rPr>
          <w:strike/>
          <w:lang w:val="en-IE"/>
        </w:rPr>
        <w:t xml:space="preserve"> </w:t>
      </w:r>
      <w:r w:rsidRPr="006E3F3A">
        <w:rPr>
          <w:lang w:val="en-IE"/>
        </w:rPr>
        <w:t xml:space="preserve">The aetiological agents of equine piroplasmosis are </w:t>
      </w:r>
      <w:proofErr w:type="spellStart"/>
      <w:r w:rsidRPr="006E3F3A">
        <w:rPr>
          <w:i/>
          <w:lang w:val="en-IE"/>
        </w:rPr>
        <w:t>Theileria</w:t>
      </w:r>
      <w:proofErr w:type="spellEnd"/>
      <w:r w:rsidRPr="006E3F3A">
        <w:rPr>
          <w:i/>
          <w:lang w:val="en-IE"/>
        </w:rPr>
        <w:t xml:space="preserve"> </w:t>
      </w:r>
      <w:proofErr w:type="spellStart"/>
      <w:r w:rsidRPr="006E3F3A">
        <w:rPr>
          <w:i/>
          <w:lang w:val="en-IE"/>
        </w:rPr>
        <w:t>equi</w:t>
      </w:r>
      <w:proofErr w:type="spellEnd"/>
      <w:r w:rsidRPr="006E3F3A">
        <w:rPr>
          <w:lang w:val="en-IE"/>
        </w:rPr>
        <w:t xml:space="preserve"> and </w:t>
      </w:r>
      <w:r w:rsidRPr="006E3F3A">
        <w:rPr>
          <w:i/>
          <w:lang w:val="en-IE"/>
        </w:rPr>
        <w:t xml:space="preserve">Babesia </w:t>
      </w:r>
      <w:proofErr w:type="spellStart"/>
      <w:r w:rsidRPr="006E3F3A">
        <w:rPr>
          <w:i/>
          <w:lang w:val="en-IE"/>
        </w:rPr>
        <w:t>caballi</w:t>
      </w:r>
      <w:proofErr w:type="spellEnd"/>
      <w:r w:rsidRPr="006E3F3A">
        <w:rPr>
          <w:lang w:val="en-IE"/>
        </w:rPr>
        <w:t xml:space="preserve">. </w:t>
      </w:r>
      <w:r w:rsidR="00097CF5" w:rsidRPr="006E3F3A">
        <w:rPr>
          <w:lang w:val="en-US"/>
        </w:rPr>
        <w:t>Approximately fourteen</w:t>
      </w:r>
      <w:r w:rsidRPr="006E3F3A">
        <w:rPr>
          <w:lang w:val="en-IE"/>
        </w:rPr>
        <w:t xml:space="preserve"> species of Ixodid ticks in the genera </w:t>
      </w:r>
      <w:proofErr w:type="spellStart"/>
      <w:r w:rsidRPr="006E3F3A">
        <w:rPr>
          <w:i/>
          <w:lang w:val="en-IE"/>
        </w:rPr>
        <w:t>Dermacentor</w:t>
      </w:r>
      <w:proofErr w:type="spellEnd"/>
      <w:r w:rsidRPr="006E3F3A">
        <w:rPr>
          <w:i/>
          <w:lang w:val="en-IE"/>
        </w:rPr>
        <w:t>, Rhipicephalus</w:t>
      </w:r>
      <w:r w:rsidRPr="006E3F3A">
        <w:rPr>
          <w:lang w:val="en-IE"/>
        </w:rPr>
        <w:t xml:space="preserve"> and </w:t>
      </w:r>
      <w:proofErr w:type="spellStart"/>
      <w:r w:rsidRPr="006E3F3A">
        <w:rPr>
          <w:i/>
          <w:lang w:val="en-IE"/>
        </w:rPr>
        <w:t>Hyalomma</w:t>
      </w:r>
      <w:proofErr w:type="spellEnd"/>
      <w:r w:rsidRPr="006E3F3A">
        <w:rPr>
          <w:lang w:val="en-IE"/>
        </w:rPr>
        <w:t xml:space="preserve"> have been identified as transstadial vectors of </w:t>
      </w:r>
      <w:r w:rsidR="00C021CD" w:rsidRPr="006E3F3A">
        <w:rPr>
          <w:i/>
          <w:lang w:val="en-IE"/>
        </w:rPr>
        <w:t>B. </w:t>
      </w:r>
      <w:proofErr w:type="spellStart"/>
      <w:r w:rsidR="00C021CD" w:rsidRPr="006E3F3A">
        <w:rPr>
          <w:i/>
          <w:lang w:val="en-IE"/>
        </w:rPr>
        <w:t>caballi</w:t>
      </w:r>
      <w:proofErr w:type="spellEnd"/>
      <w:r w:rsidRPr="006E3F3A">
        <w:rPr>
          <w:lang w:val="en-IE"/>
        </w:rPr>
        <w:t xml:space="preserve"> and </w:t>
      </w:r>
      <w:r w:rsidR="003C4A96" w:rsidRPr="006E3F3A">
        <w:rPr>
          <w:i/>
          <w:lang w:val="en-IE"/>
        </w:rPr>
        <w:t xml:space="preserve">T. </w:t>
      </w:r>
      <w:proofErr w:type="spellStart"/>
      <w:r w:rsidR="003C4A96" w:rsidRPr="006E3F3A">
        <w:rPr>
          <w:i/>
          <w:lang w:val="en-IE"/>
        </w:rPr>
        <w:t>equi</w:t>
      </w:r>
      <w:proofErr w:type="spellEnd"/>
      <w:r w:rsidRPr="006E3F3A">
        <w:rPr>
          <w:lang w:val="en-IE"/>
        </w:rPr>
        <w:t xml:space="preserve">, while eight of these species were also able to transmit </w:t>
      </w:r>
      <w:r w:rsidR="00C021CD" w:rsidRPr="006E3F3A">
        <w:rPr>
          <w:i/>
          <w:lang w:val="en-IE"/>
        </w:rPr>
        <w:t>B. </w:t>
      </w:r>
      <w:proofErr w:type="spellStart"/>
      <w:r w:rsidR="00C021CD" w:rsidRPr="006E3F3A">
        <w:rPr>
          <w:i/>
          <w:lang w:val="en-IE"/>
        </w:rPr>
        <w:t>caballi</w:t>
      </w:r>
      <w:proofErr w:type="spellEnd"/>
      <w:r w:rsidRPr="006E3F3A">
        <w:rPr>
          <w:lang w:val="en-IE"/>
        </w:rPr>
        <w:t xml:space="preserve"> infections </w:t>
      </w:r>
      <w:proofErr w:type="spellStart"/>
      <w:r w:rsidRPr="006E3F3A">
        <w:rPr>
          <w:lang w:val="en-IE"/>
        </w:rPr>
        <w:t>transovarially</w:t>
      </w:r>
      <w:proofErr w:type="spellEnd"/>
      <w:r w:rsidRPr="006E3F3A">
        <w:rPr>
          <w:lang w:val="en-IE"/>
        </w:rPr>
        <w:t xml:space="preserve"> (</w:t>
      </w:r>
      <w:r w:rsidR="00F15F21" w:rsidRPr="006E3F3A">
        <w:rPr>
          <w:color w:val="000000" w:themeColor="text1"/>
          <w:lang w:val="en-IE"/>
        </w:rPr>
        <w:t>De Waal, 1992</w:t>
      </w:r>
      <w:r w:rsidRPr="006E3F3A">
        <w:rPr>
          <w:lang w:val="en-IE"/>
        </w:rPr>
        <w:t>). Infected animals may remain carriers of these blood parasites for long periods and act as sources of infection for tick vectors.</w:t>
      </w:r>
      <w:r w:rsidR="00325581" w:rsidRPr="00480C54">
        <w:rPr>
          <w:lang w:val="en-AU"/>
        </w:rPr>
        <w:t xml:space="preserve"> </w:t>
      </w:r>
      <w:r w:rsidR="00325581" w:rsidRPr="00480C54">
        <w:rPr>
          <w:highlight w:val="yellow"/>
          <w:u w:val="double"/>
          <w:lang w:val="en-AU"/>
        </w:rPr>
        <w:t>DNA of some of these parasites has also been detected in camels and dogs without clinical disease (</w:t>
      </w:r>
      <w:proofErr w:type="spellStart"/>
      <w:r w:rsidR="00325581" w:rsidRPr="00480C54">
        <w:rPr>
          <w:highlight w:val="yellow"/>
          <w:u w:val="double"/>
          <w:lang w:val="en-AU"/>
        </w:rPr>
        <w:t>Onyiche</w:t>
      </w:r>
      <w:proofErr w:type="spellEnd"/>
      <w:r w:rsidR="00325581" w:rsidRPr="00480C54">
        <w:rPr>
          <w:highlight w:val="yellow"/>
          <w:u w:val="double"/>
          <w:lang w:val="en-AU"/>
        </w:rPr>
        <w:t xml:space="preserve"> </w:t>
      </w:r>
      <w:r w:rsidR="00325581" w:rsidRPr="00480C54">
        <w:rPr>
          <w:i/>
          <w:iCs/>
          <w:highlight w:val="yellow"/>
          <w:u w:val="double"/>
          <w:lang w:val="en-AU"/>
        </w:rPr>
        <w:t>et al</w:t>
      </w:r>
      <w:r w:rsidR="00480C54" w:rsidRPr="00480C54">
        <w:rPr>
          <w:i/>
          <w:iCs/>
          <w:highlight w:val="yellow"/>
          <w:u w:val="double"/>
          <w:lang w:val="en-AU"/>
        </w:rPr>
        <w:t>.</w:t>
      </w:r>
      <w:r w:rsidR="00325581" w:rsidRPr="00480C54">
        <w:rPr>
          <w:i/>
          <w:iCs/>
          <w:highlight w:val="yellow"/>
          <w:u w:val="double"/>
          <w:lang w:val="en-AU"/>
        </w:rPr>
        <w:t xml:space="preserve">, </w:t>
      </w:r>
      <w:r w:rsidR="00325581" w:rsidRPr="00480C54">
        <w:rPr>
          <w:highlight w:val="yellow"/>
          <w:u w:val="double"/>
          <w:lang w:val="en-AU"/>
        </w:rPr>
        <w:t>2019). The role of non-equid species in the epidemiology of the disease is unclear.</w:t>
      </w:r>
    </w:p>
    <w:p w14:paraId="663E0B79" w14:textId="31DCDD0A" w:rsidR="00FC674A" w:rsidRPr="006E3F3A" w:rsidRDefault="00FC674A" w:rsidP="00E8139D">
      <w:pPr>
        <w:pStyle w:val="paraA0"/>
        <w:spacing w:after="280" w:line="240" w:lineRule="auto"/>
        <w:rPr>
          <w:lang w:val="en-IE"/>
        </w:rPr>
      </w:pPr>
      <w:r w:rsidRPr="006E3F3A">
        <w:rPr>
          <w:lang w:val="en-IE"/>
        </w:rPr>
        <w:t xml:space="preserve">The parasites occur in southern Europe, Asia, countries of the Commonwealth of Independent States, Africa, Cuba, South and Central America, and certain parts of the southern United States of America. </w:t>
      </w:r>
      <w:proofErr w:type="spellStart"/>
      <w:r w:rsidRPr="006E3F3A">
        <w:rPr>
          <w:i/>
          <w:lang w:val="en-IE"/>
        </w:rPr>
        <w:t>Theileria</w:t>
      </w:r>
      <w:proofErr w:type="spellEnd"/>
      <w:r w:rsidRPr="006E3F3A">
        <w:rPr>
          <w:i/>
          <w:lang w:val="en-IE"/>
        </w:rPr>
        <w:t xml:space="preserve"> </w:t>
      </w:r>
      <w:proofErr w:type="spellStart"/>
      <w:r w:rsidRPr="006E3F3A">
        <w:rPr>
          <w:i/>
          <w:lang w:val="en-IE"/>
        </w:rPr>
        <w:t>equi</w:t>
      </w:r>
      <w:proofErr w:type="spellEnd"/>
      <w:r w:rsidRPr="006E3F3A">
        <w:rPr>
          <w:lang w:val="en-IE"/>
        </w:rPr>
        <w:t xml:space="preserve"> has also been reported from Australia (but</w:t>
      </w:r>
      <w:r w:rsidRPr="00726966">
        <w:rPr>
          <w:strike/>
          <w:highlight w:val="yellow"/>
          <w:lang w:val="en-IE"/>
        </w:rPr>
        <w:t>, apparently</w:t>
      </w:r>
      <w:r w:rsidRPr="006E3F3A">
        <w:rPr>
          <w:lang w:val="en-IE"/>
        </w:rPr>
        <w:t xml:space="preserve"> never established itself in this region), and is now believed to have a wider general distribution than </w:t>
      </w:r>
      <w:r w:rsidR="00C021CD" w:rsidRPr="006E3F3A">
        <w:rPr>
          <w:i/>
          <w:lang w:val="en-IE"/>
        </w:rPr>
        <w:t>B. </w:t>
      </w:r>
      <w:proofErr w:type="spellStart"/>
      <w:r w:rsidR="00C021CD" w:rsidRPr="006E3F3A">
        <w:rPr>
          <w:i/>
          <w:lang w:val="en-IE"/>
        </w:rPr>
        <w:t>caballi</w:t>
      </w:r>
      <w:proofErr w:type="spellEnd"/>
      <w:r w:rsidRPr="006E3F3A">
        <w:rPr>
          <w:lang w:val="en-IE"/>
        </w:rPr>
        <w:t>.</w:t>
      </w:r>
    </w:p>
    <w:p w14:paraId="663E0B7A" w14:textId="49879640" w:rsidR="00FC674A" w:rsidRPr="006E3F3A" w:rsidRDefault="00FC674A" w:rsidP="00E8139D">
      <w:pPr>
        <w:pStyle w:val="paraA0"/>
        <w:spacing w:after="280" w:line="240" w:lineRule="auto"/>
        <w:rPr>
          <w:lang w:val="en-IE"/>
        </w:rPr>
      </w:pPr>
      <w:r w:rsidRPr="006E3F3A">
        <w:rPr>
          <w:lang w:val="en-IE"/>
        </w:rPr>
        <w:t xml:space="preserve">During the life cycle of </w:t>
      </w:r>
      <w:r w:rsidRPr="006E3F3A">
        <w:rPr>
          <w:i/>
          <w:lang w:val="en-IE"/>
        </w:rPr>
        <w:t>Babesia</w:t>
      </w:r>
      <w:r w:rsidRPr="006E3F3A">
        <w:rPr>
          <w:lang w:val="en-IE"/>
        </w:rPr>
        <w:t xml:space="preserve">, </w:t>
      </w:r>
      <w:r w:rsidR="00F15F21" w:rsidRPr="006E3F3A">
        <w:rPr>
          <w:lang w:val="en-IE"/>
        </w:rPr>
        <w:t xml:space="preserve">sporozoites </w:t>
      </w:r>
      <w:r w:rsidR="00FF3766" w:rsidRPr="006E3F3A">
        <w:rPr>
          <w:lang w:val="en-IE"/>
        </w:rPr>
        <w:t xml:space="preserve">initially </w:t>
      </w:r>
      <w:r w:rsidRPr="006E3F3A">
        <w:rPr>
          <w:lang w:val="en-IE"/>
        </w:rPr>
        <w:t>invade red blood cells (RBCs) where the</w:t>
      </w:r>
      <w:r w:rsidR="001B28D5" w:rsidRPr="006E3F3A">
        <w:rPr>
          <w:lang w:val="en-IE"/>
        </w:rPr>
        <w:t>y transform into trophozoites</w:t>
      </w:r>
      <w:r w:rsidRPr="006E3F3A">
        <w:rPr>
          <w:lang w:val="en-IE"/>
        </w:rPr>
        <w:t xml:space="preserve">. In this situation the trophozoites grow and divide into two round, oval or pear-shaped merozoites. The mature merozoites are </w:t>
      </w:r>
      <w:r w:rsidRPr="00726966">
        <w:rPr>
          <w:strike/>
          <w:highlight w:val="yellow"/>
          <w:lang w:val="en-IE"/>
        </w:rPr>
        <w:t>now</w:t>
      </w:r>
      <w:r w:rsidRPr="00726966">
        <w:rPr>
          <w:strike/>
          <w:lang w:val="en-IE"/>
        </w:rPr>
        <w:t xml:space="preserve"> </w:t>
      </w:r>
      <w:r w:rsidRPr="006E3F3A">
        <w:rPr>
          <w:lang w:val="en-IE"/>
        </w:rPr>
        <w:t>capable of infecting new RBCs and the division process is then repeated.</w:t>
      </w:r>
    </w:p>
    <w:p w14:paraId="663E0B7B" w14:textId="77777777" w:rsidR="007525AF" w:rsidRPr="006E3F3A" w:rsidRDefault="00F15F21" w:rsidP="00E8139D">
      <w:pPr>
        <w:pStyle w:val="paraA0"/>
        <w:spacing w:after="280" w:line="240" w:lineRule="auto"/>
        <w:rPr>
          <w:lang w:val="en-IE"/>
        </w:rPr>
      </w:pPr>
      <w:r w:rsidRPr="006E3F3A">
        <w:rPr>
          <w:lang w:val="en-IE"/>
        </w:rPr>
        <w:t>For</w:t>
      </w:r>
      <w:r w:rsidRPr="006E3F3A">
        <w:rPr>
          <w:i/>
          <w:lang w:val="en-IE"/>
        </w:rPr>
        <w:t xml:space="preserve"> </w:t>
      </w:r>
      <w:r w:rsidR="00FC674A" w:rsidRPr="006E3F3A">
        <w:rPr>
          <w:i/>
          <w:lang w:val="en-IE"/>
        </w:rPr>
        <w:t xml:space="preserve">Babesia </w:t>
      </w:r>
      <w:proofErr w:type="spellStart"/>
      <w:r w:rsidR="00FC674A" w:rsidRPr="006E3F3A">
        <w:rPr>
          <w:i/>
          <w:lang w:val="en-IE"/>
        </w:rPr>
        <w:t>caballi</w:t>
      </w:r>
      <w:proofErr w:type="spellEnd"/>
      <w:r w:rsidRPr="006E3F3A">
        <w:rPr>
          <w:i/>
          <w:iCs/>
          <w:lang w:val="en-IE"/>
        </w:rPr>
        <w:t>,</w:t>
      </w:r>
      <w:r w:rsidR="00FC674A" w:rsidRPr="006E3F3A">
        <w:rPr>
          <w:lang w:val="en-IE"/>
        </w:rPr>
        <w:t xml:space="preserve"> the merozoites in the RBCs are pear-shaped, 2–5 µm long and 1.3–3.0 µm in diameter (</w:t>
      </w:r>
      <w:r w:rsidR="00E565F4" w:rsidRPr="006E3F3A">
        <w:rPr>
          <w:lang w:val="en-IE"/>
        </w:rPr>
        <w:t>Levine,</w:t>
      </w:r>
      <w:r w:rsidR="00E565F4" w:rsidRPr="006E3F3A">
        <w:rPr>
          <w:smallCaps/>
          <w:lang w:val="en-IE"/>
        </w:rPr>
        <w:t xml:space="preserve"> </w:t>
      </w:r>
      <w:r w:rsidR="00E565F4" w:rsidRPr="006E3F3A">
        <w:rPr>
          <w:lang w:val="en-IE"/>
        </w:rPr>
        <w:t>1985</w:t>
      </w:r>
      <w:r w:rsidR="00FC674A" w:rsidRPr="006E3F3A">
        <w:rPr>
          <w:lang w:val="en-IE"/>
        </w:rPr>
        <w:t xml:space="preserve">). The paired merozoites joined at their posterior ends are considered to be a diagnostic feature of </w:t>
      </w:r>
      <w:r w:rsidR="00C021CD" w:rsidRPr="006E3F3A">
        <w:rPr>
          <w:i/>
          <w:lang w:val="en-IE"/>
        </w:rPr>
        <w:t>B. </w:t>
      </w:r>
      <w:proofErr w:type="spellStart"/>
      <w:r w:rsidR="00C021CD" w:rsidRPr="006E3F3A">
        <w:rPr>
          <w:i/>
          <w:lang w:val="en-IE"/>
        </w:rPr>
        <w:t>caballi</w:t>
      </w:r>
      <w:proofErr w:type="spellEnd"/>
      <w:r w:rsidR="00FC674A" w:rsidRPr="006E3F3A">
        <w:rPr>
          <w:lang w:val="en-IE"/>
        </w:rPr>
        <w:t xml:space="preserve"> infection.</w:t>
      </w:r>
    </w:p>
    <w:p w14:paraId="663E0B7C" w14:textId="77777777" w:rsidR="007525AF" w:rsidRPr="006E3F3A" w:rsidRDefault="00F15F21" w:rsidP="00E8139D">
      <w:pPr>
        <w:pStyle w:val="paraA0"/>
        <w:spacing w:after="280" w:line="240" w:lineRule="auto"/>
        <w:rPr>
          <w:lang w:val="en-IE"/>
        </w:rPr>
      </w:pPr>
      <w:r w:rsidRPr="006E3F3A">
        <w:rPr>
          <w:lang w:val="en-IE"/>
        </w:rPr>
        <w:t>For</w:t>
      </w:r>
      <w:r w:rsidRPr="006E3F3A">
        <w:rPr>
          <w:i/>
          <w:lang w:val="en-IE"/>
        </w:rPr>
        <w:t xml:space="preserve"> </w:t>
      </w:r>
      <w:proofErr w:type="spellStart"/>
      <w:r w:rsidR="00FC674A" w:rsidRPr="006E3F3A">
        <w:rPr>
          <w:i/>
          <w:lang w:val="en-IE"/>
        </w:rPr>
        <w:t>Theileria</w:t>
      </w:r>
      <w:proofErr w:type="spellEnd"/>
      <w:r w:rsidR="00FC674A" w:rsidRPr="006E3F3A">
        <w:rPr>
          <w:i/>
          <w:lang w:val="en-IE"/>
        </w:rPr>
        <w:t xml:space="preserve"> </w:t>
      </w:r>
      <w:proofErr w:type="spellStart"/>
      <w:r w:rsidR="00FC674A" w:rsidRPr="006E3F3A">
        <w:rPr>
          <w:i/>
          <w:lang w:val="en-IE"/>
        </w:rPr>
        <w:t>equi</w:t>
      </w:r>
      <w:proofErr w:type="spellEnd"/>
      <w:r w:rsidRPr="006E3F3A">
        <w:rPr>
          <w:i/>
          <w:iCs/>
          <w:lang w:val="en-IE"/>
        </w:rPr>
        <w:t xml:space="preserve">, </w:t>
      </w:r>
      <w:r w:rsidR="00FC674A" w:rsidRPr="006E3F3A">
        <w:rPr>
          <w:lang w:val="en-IE"/>
        </w:rPr>
        <w:t xml:space="preserve">the merozoites </w:t>
      </w:r>
      <w:r w:rsidR="00FC674A" w:rsidRPr="00852C6E">
        <w:rPr>
          <w:strike/>
          <w:highlight w:val="yellow"/>
          <w:lang w:val="en-IE"/>
        </w:rPr>
        <w:t>of this organism</w:t>
      </w:r>
      <w:r w:rsidR="00FC674A" w:rsidRPr="00505A1B">
        <w:rPr>
          <w:strike/>
          <w:lang w:val="en-IE"/>
        </w:rPr>
        <w:t xml:space="preserve"> </w:t>
      </w:r>
      <w:r w:rsidR="00FC674A" w:rsidRPr="006E3F3A">
        <w:rPr>
          <w:lang w:val="en-IE"/>
        </w:rPr>
        <w:t>are relatively small, less than 2–3</w:t>
      </w:r>
      <w:r w:rsidR="00C021CD" w:rsidRPr="006E3F3A">
        <w:rPr>
          <w:i/>
          <w:lang w:val="en-IE"/>
        </w:rPr>
        <w:t> </w:t>
      </w:r>
      <w:r w:rsidR="00FC674A" w:rsidRPr="006E3F3A">
        <w:rPr>
          <w:lang w:val="en-IE"/>
        </w:rPr>
        <w:t>µm long (</w:t>
      </w:r>
      <w:r w:rsidR="00E565F4" w:rsidRPr="006E3F3A">
        <w:rPr>
          <w:lang w:val="en-IE"/>
        </w:rPr>
        <w:t>Levine,</w:t>
      </w:r>
      <w:r w:rsidR="00E565F4" w:rsidRPr="006E3F3A">
        <w:rPr>
          <w:smallCaps/>
          <w:lang w:val="en-IE"/>
        </w:rPr>
        <w:t xml:space="preserve"> </w:t>
      </w:r>
      <w:r w:rsidR="00E565F4" w:rsidRPr="006E3F3A">
        <w:rPr>
          <w:lang w:val="en-IE"/>
        </w:rPr>
        <w:t>1985</w:t>
      </w:r>
      <w:r w:rsidR="00FC674A" w:rsidRPr="006E3F3A">
        <w:rPr>
          <w:lang w:val="en-IE"/>
        </w:rPr>
        <w:t xml:space="preserve">), </w:t>
      </w:r>
      <w:r w:rsidR="00C92E4C" w:rsidRPr="006E3F3A">
        <w:rPr>
          <w:lang w:val="en-IE"/>
        </w:rPr>
        <w:t xml:space="preserve">and </w:t>
      </w:r>
      <w:r w:rsidR="00FC674A" w:rsidRPr="006E3F3A">
        <w:rPr>
          <w:lang w:val="en-IE"/>
        </w:rPr>
        <w:t xml:space="preserve">are pyriform, round or ovoid. </w:t>
      </w:r>
      <w:r w:rsidR="00FC674A" w:rsidRPr="006E3F3A">
        <w:rPr>
          <w:iCs/>
          <w:lang w:val="en-IE"/>
        </w:rPr>
        <w:t xml:space="preserve">A characteristic of </w:t>
      </w:r>
      <w:r w:rsidR="003C4A96" w:rsidRPr="006E3F3A">
        <w:rPr>
          <w:i/>
          <w:iCs/>
          <w:lang w:val="en-IE"/>
        </w:rPr>
        <w:t xml:space="preserve">T. </w:t>
      </w:r>
      <w:proofErr w:type="spellStart"/>
      <w:r w:rsidR="003C4A96" w:rsidRPr="006E3F3A">
        <w:rPr>
          <w:i/>
          <w:iCs/>
          <w:lang w:val="en-IE"/>
        </w:rPr>
        <w:t>equi</w:t>
      </w:r>
      <w:proofErr w:type="spellEnd"/>
      <w:r w:rsidR="00FC674A" w:rsidRPr="006E3F3A">
        <w:rPr>
          <w:iCs/>
          <w:lang w:val="en-IE"/>
        </w:rPr>
        <w:t xml:space="preserve"> is the arrangement of four pear-shaped merozoites</w:t>
      </w:r>
      <w:r w:rsidR="00D306F0" w:rsidRPr="006E3F3A">
        <w:rPr>
          <w:iCs/>
          <w:lang w:val="en-IE"/>
        </w:rPr>
        <w:t>,</w:t>
      </w:r>
      <w:r w:rsidR="00FC674A" w:rsidRPr="006E3F3A">
        <w:rPr>
          <w:lang w:val="en-IE"/>
        </w:rPr>
        <w:t xml:space="preserve"> </w:t>
      </w:r>
      <w:r w:rsidR="00FC674A" w:rsidRPr="006E3F3A">
        <w:rPr>
          <w:iCs/>
          <w:lang w:val="en-IE"/>
        </w:rPr>
        <w:t>measuring about 2</w:t>
      </w:r>
      <w:r w:rsidR="00C021CD" w:rsidRPr="006E3F3A">
        <w:rPr>
          <w:i/>
          <w:lang w:val="en-IE"/>
        </w:rPr>
        <w:t> </w:t>
      </w:r>
      <w:r w:rsidR="00FC674A" w:rsidRPr="006E3F3A">
        <w:rPr>
          <w:iCs/>
          <w:lang w:val="en-IE"/>
        </w:rPr>
        <w:t>µ</w:t>
      </w:r>
      <w:r w:rsidR="00FC674A" w:rsidRPr="006E3F3A">
        <w:rPr>
          <w:lang w:val="en-IE"/>
        </w:rPr>
        <w:t>m in length</w:t>
      </w:r>
      <w:r w:rsidR="00D306F0" w:rsidRPr="006E3F3A">
        <w:rPr>
          <w:lang w:val="en-IE"/>
        </w:rPr>
        <w:t>,</w:t>
      </w:r>
      <w:r w:rsidR="00FC674A" w:rsidRPr="006E3F3A">
        <w:rPr>
          <w:lang w:val="en-IE"/>
        </w:rPr>
        <w:t xml:space="preserve"> forming a tetrad known as the ‘Maltese cross’ arrangement (</w:t>
      </w:r>
      <w:r w:rsidR="00E565F4" w:rsidRPr="006E3F3A">
        <w:rPr>
          <w:lang w:val="en-IE"/>
        </w:rPr>
        <w:t xml:space="preserve">Holbrook </w:t>
      </w:r>
      <w:r w:rsidR="009F5073" w:rsidRPr="006E3F3A">
        <w:rPr>
          <w:i/>
          <w:lang w:val="en-IE"/>
        </w:rPr>
        <w:t>et al</w:t>
      </w:r>
      <w:r w:rsidR="00E565F4" w:rsidRPr="006E3F3A">
        <w:rPr>
          <w:lang w:val="en-IE"/>
        </w:rPr>
        <w:t>., 1968</w:t>
      </w:r>
      <w:r w:rsidR="00FC674A" w:rsidRPr="006E3F3A">
        <w:rPr>
          <w:lang w:val="en-IE"/>
        </w:rPr>
        <w:t>).</w:t>
      </w:r>
    </w:p>
    <w:p w14:paraId="663E0B7D" w14:textId="42BF33FB" w:rsidR="007525AF" w:rsidRPr="006E3F3A" w:rsidRDefault="00FC674A" w:rsidP="00E8139D">
      <w:pPr>
        <w:pStyle w:val="paraA0"/>
        <w:spacing w:after="280" w:line="240" w:lineRule="auto"/>
        <w:rPr>
          <w:lang w:val="en-IE"/>
        </w:rPr>
      </w:pPr>
      <w:r w:rsidRPr="006E3F3A">
        <w:rPr>
          <w:lang w:val="en-IE"/>
        </w:rPr>
        <w:t xml:space="preserve">In </w:t>
      </w:r>
      <w:r w:rsidR="003C4A96" w:rsidRPr="006E3F3A">
        <w:rPr>
          <w:i/>
          <w:lang w:val="en-IE"/>
        </w:rPr>
        <w:t xml:space="preserve">T. </w:t>
      </w:r>
      <w:proofErr w:type="spellStart"/>
      <w:r w:rsidR="003C4A96" w:rsidRPr="006E3F3A">
        <w:rPr>
          <w:i/>
          <w:lang w:val="en-IE"/>
        </w:rPr>
        <w:t>equi</w:t>
      </w:r>
      <w:proofErr w:type="spellEnd"/>
      <w:r w:rsidRPr="006E3F3A">
        <w:rPr>
          <w:lang w:val="en-IE"/>
        </w:rPr>
        <w:t xml:space="preserve"> infection</w:t>
      </w:r>
      <w:r w:rsidR="00505A1B" w:rsidRPr="00852C6E">
        <w:rPr>
          <w:highlight w:val="yellow"/>
          <w:u w:val="double"/>
          <w:lang w:val="en-IE"/>
        </w:rPr>
        <w:t>,</w:t>
      </w:r>
      <w:r w:rsidRPr="006E3F3A">
        <w:rPr>
          <w:lang w:val="en-IE"/>
        </w:rPr>
        <w:t xml:space="preserve"> it has been shown that sporozoites inoculated into horses </w:t>
      </w:r>
      <w:r w:rsidRPr="006E3F3A">
        <w:rPr>
          <w:iCs/>
          <w:lang w:val="en-IE"/>
        </w:rPr>
        <w:t>via</w:t>
      </w:r>
      <w:r w:rsidRPr="006E3F3A">
        <w:rPr>
          <w:lang w:val="en-IE"/>
        </w:rPr>
        <w:t xml:space="preserve"> a tick bite invade the lymphocytes (</w:t>
      </w:r>
      <w:r w:rsidR="00291CD5" w:rsidRPr="006E3F3A">
        <w:rPr>
          <w:lang w:val="en-IE"/>
        </w:rPr>
        <w:t xml:space="preserve">Schein </w:t>
      </w:r>
      <w:r w:rsidR="009F5073" w:rsidRPr="006E3F3A">
        <w:rPr>
          <w:i/>
          <w:lang w:val="en-IE"/>
        </w:rPr>
        <w:t>et al</w:t>
      </w:r>
      <w:r w:rsidR="00291CD5" w:rsidRPr="006E3F3A">
        <w:rPr>
          <w:lang w:val="en-IE"/>
        </w:rPr>
        <w:t>., 1981</w:t>
      </w:r>
      <w:r w:rsidRPr="006E3F3A">
        <w:rPr>
          <w:lang w:val="en-IE"/>
        </w:rPr>
        <w:t xml:space="preserve">). The sporozoites undergo development in the cytoplasm of these lymphocytes and eventually form </w:t>
      </w:r>
      <w:proofErr w:type="spellStart"/>
      <w:r w:rsidRPr="006E3F3A">
        <w:rPr>
          <w:i/>
          <w:lang w:val="en-IE"/>
        </w:rPr>
        <w:t>Theileria</w:t>
      </w:r>
      <w:proofErr w:type="spellEnd"/>
      <w:r w:rsidRPr="006E3F3A">
        <w:rPr>
          <w:lang w:val="en-IE"/>
        </w:rPr>
        <w:t xml:space="preserve">-like schizonts. Merozoites released from these schizonts enter RBCs. </w:t>
      </w:r>
      <w:r w:rsidR="007525AF" w:rsidRPr="006E3F3A">
        <w:rPr>
          <w:lang w:val="en-IE"/>
        </w:rPr>
        <w:t xml:space="preserve">Vertical transmission of </w:t>
      </w:r>
      <w:r w:rsidR="007525AF" w:rsidRPr="006E3F3A">
        <w:rPr>
          <w:i/>
          <w:lang w:val="en-IE"/>
        </w:rPr>
        <w:t xml:space="preserve">T. </w:t>
      </w:r>
      <w:proofErr w:type="spellStart"/>
      <w:r w:rsidR="007525AF" w:rsidRPr="006E3F3A">
        <w:rPr>
          <w:i/>
          <w:lang w:val="en-IE"/>
        </w:rPr>
        <w:t>equi</w:t>
      </w:r>
      <w:proofErr w:type="spellEnd"/>
      <w:r w:rsidR="007525AF" w:rsidRPr="006E3F3A">
        <w:rPr>
          <w:lang w:val="en-IE"/>
        </w:rPr>
        <w:t xml:space="preserve"> from mare to foal has also been reported</w:t>
      </w:r>
      <w:r w:rsidR="007525AF" w:rsidRPr="006E3F3A">
        <w:rPr>
          <w:lang w:val="en-US"/>
        </w:rPr>
        <w:t xml:space="preserve"> (</w:t>
      </w:r>
      <w:r w:rsidR="007525AF" w:rsidRPr="006E3F3A">
        <w:rPr>
          <w:szCs w:val="28"/>
          <w:lang w:val="en-US" w:eastAsia="en-GB"/>
        </w:rPr>
        <w:t>Allsopp</w:t>
      </w:r>
      <w:r w:rsidR="007525AF" w:rsidRPr="006E3F3A">
        <w:rPr>
          <w:lang w:val="en-US" w:eastAsia="en-GB"/>
        </w:rPr>
        <w:t xml:space="preserve"> </w:t>
      </w:r>
      <w:r w:rsidR="007525AF" w:rsidRPr="006E3F3A">
        <w:rPr>
          <w:i/>
          <w:lang w:val="en-US" w:eastAsia="en-GB"/>
        </w:rPr>
        <w:t>et al</w:t>
      </w:r>
      <w:r w:rsidR="007525AF" w:rsidRPr="006E3F3A">
        <w:rPr>
          <w:lang w:val="en-US" w:eastAsia="en-GB"/>
        </w:rPr>
        <w:t>.</w:t>
      </w:r>
      <w:r w:rsidR="00EF0C80" w:rsidRPr="006E3F3A">
        <w:rPr>
          <w:lang w:val="en-US" w:eastAsia="en-GB"/>
        </w:rPr>
        <w:t>, 2007</w:t>
      </w:r>
      <w:hyperlink r:id="rId8" w:history="1">
        <w:r w:rsidR="007525AF" w:rsidRPr="006E3F3A">
          <w:rPr>
            <w:szCs w:val="28"/>
            <w:lang w:val="en-US" w:eastAsia="en-GB"/>
          </w:rPr>
          <w:t>)</w:t>
        </w:r>
        <w:r w:rsidR="007525AF" w:rsidRPr="006E3F3A">
          <w:rPr>
            <w:szCs w:val="28"/>
            <w:u w:color="1923CE"/>
            <w:lang w:val="en-US" w:eastAsia="en-GB"/>
          </w:rPr>
          <w:t>.</w:t>
        </w:r>
      </w:hyperlink>
      <w:r w:rsidR="007525AF" w:rsidRPr="006E3F3A">
        <w:rPr>
          <w:lang w:val="en-US" w:eastAsia="en-GB"/>
        </w:rPr>
        <w:t xml:space="preserve"> In experimental infection, </w:t>
      </w:r>
      <w:r w:rsidR="00EF0C80" w:rsidRPr="006E3F3A">
        <w:rPr>
          <w:i/>
          <w:lang w:val="en-US" w:eastAsia="en-GB"/>
        </w:rPr>
        <w:t xml:space="preserve">T. </w:t>
      </w:r>
      <w:proofErr w:type="spellStart"/>
      <w:r w:rsidR="00EF0C80" w:rsidRPr="006E3F3A">
        <w:rPr>
          <w:i/>
          <w:lang w:val="en-US" w:eastAsia="en-GB"/>
        </w:rPr>
        <w:t>equi</w:t>
      </w:r>
      <w:proofErr w:type="spellEnd"/>
      <w:r w:rsidR="00EF0C80" w:rsidRPr="006E3F3A">
        <w:rPr>
          <w:lang w:val="en-US" w:eastAsia="en-GB"/>
        </w:rPr>
        <w:t xml:space="preserve"> was</w:t>
      </w:r>
      <w:r w:rsidR="007525AF" w:rsidRPr="006E3F3A">
        <w:rPr>
          <w:lang w:val="en-IE"/>
        </w:rPr>
        <w:t xml:space="preserve"> </w:t>
      </w:r>
      <w:r w:rsidR="00EF0C80" w:rsidRPr="006E3F3A">
        <w:rPr>
          <w:lang w:val="en-IE"/>
        </w:rPr>
        <w:t xml:space="preserve">detected </w:t>
      </w:r>
      <w:r w:rsidR="007525AF" w:rsidRPr="006E3F3A">
        <w:rPr>
          <w:lang w:val="en-IE"/>
        </w:rPr>
        <w:t>not only in the blood but also in the other tissues such as livers, sple</w:t>
      </w:r>
      <w:r w:rsidR="00F15F21" w:rsidRPr="006E3F3A">
        <w:rPr>
          <w:lang w:val="en-IE"/>
        </w:rPr>
        <w:t>e</w:t>
      </w:r>
      <w:r w:rsidR="007525AF" w:rsidRPr="006E3F3A">
        <w:rPr>
          <w:lang w:val="en-IE"/>
        </w:rPr>
        <w:t>ns</w:t>
      </w:r>
      <w:r w:rsidR="00F15F21" w:rsidRPr="006E3F3A">
        <w:rPr>
          <w:lang w:val="en-IE"/>
        </w:rPr>
        <w:t>,</w:t>
      </w:r>
      <w:r w:rsidR="007525AF" w:rsidRPr="006E3F3A">
        <w:rPr>
          <w:lang w:val="en-IE"/>
        </w:rPr>
        <w:t xml:space="preserve"> lungs, and bone marrows (</w:t>
      </w:r>
      <w:r w:rsidR="00FE3EBC" w:rsidRPr="006E3F3A">
        <w:rPr>
          <w:lang w:val="en-IE"/>
        </w:rPr>
        <w:t xml:space="preserve">Alhassan </w:t>
      </w:r>
      <w:r w:rsidR="00FE3EBC" w:rsidRPr="006E3F3A">
        <w:rPr>
          <w:i/>
          <w:lang w:val="en-IE"/>
        </w:rPr>
        <w:t>et al</w:t>
      </w:r>
      <w:r w:rsidR="00FE3EBC" w:rsidRPr="006E3F3A">
        <w:rPr>
          <w:lang w:val="en-IE"/>
        </w:rPr>
        <w:t>., 2007).</w:t>
      </w:r>
    </w:p>
    <w:p w14:paraId="663E0B7E" w14:textId="7CB2EC2C" w:rsidR="00EE5CCC" w:rsidRPr="006E3F3A" w:rsidRDefault="00FC674A" w:rsidP="00E8139D">
      <w:pPr>
        <w:pStyle w:val="paraA0"/>
        <w:spacing w:after="280" w:line="240" w:lineRule="auto"/>
        <w:rPr>
          <w:lang w:val="en-IE" w:eastAsia="ja-JP"/>
        </w:rPr>
      </w:pPr>
      <w:r w:rsidRPr="006E3F3A">
        <w:rPr>
          <w:lang w:val="en-IE"/>
        </w:rPr>
        <w:t xml:space="preserve">The taxonomic position of </w:t>
      </w:r>
      <w:r w:rsidR="003C4A96" w:rsidRPr="006E3F3A">
        <w:rPr>
          <w:i/>
          <w:lang w:val="en-IE"/>
        </w:rPr>
        <w:t>T.</w:t>
      </w:r>
      <w:r w:rsidR="00B97413" w:rsidRPr="006E3F3A">
        <w:rPr>
          <w:i/>
          <w:lang w:val="en-IE"/>
        </w:rPr>
        <w:t> </w:t>
      </w:r>
      <w:proofErr w:type="spellStart"/>
      <w:r w:rsidR="003C4A96" w:rsidRPr="006E3F3A">
        <w:rPr>
          <w:i/>
          <w:lang w:val="en-IE"/>
        </w:rPr>
        <w:t>equi</w:t>
      </w:r>
      <w:proofErr w:type="spellEnd"/>
      <w:r w:rsidRPr="006E3F3A">
        <w:rPr>
          <w:lang w:val="en-IE"/>
        </w:rPr>
        <w:t xml:space="preserve"> has been controversial and only relatively recently </w:t>
      </w:r>
      <w:r w:rsidR="00505A1B" w:rsidRPr="00852C6E">
        <w:rPr>
          <w:highlight w:val="yellow"/>
          <w:u w:val="double"/>
          <w:lang w:val="en-IE"/>
        </w:rPr>
        <w:t>it</w:t>
      </w:r>
      <w:r w:rsidR="00505A1B">
        <w:rPr>
          <w:lang w:val="en-IE"/>
        </w:rPr>
        <w:t xml:space="preserve"> </w:t>
      </w:r>
      <w:r w:rsidRPr="006E3F3A">
        <w:rPr>
          <w:lang w:val="en-IE"/>
        </w:rPr>
        <w:t xml:space="preserve">has </w:t>
      </w:r>
      <w:r w:rsidRPr="00852C6E">
        <w:rPr>
          <w:strike/>
          <w:highlight w:val="yellow"/>
          <w:lang w:val="en-IE"/>
        </w:rPr>
        <w:t>it</w:t>
      </w:r>
      <w:bookmarkStart w:id="3" w:name="_GoBack"/>
      <w:bookmarkEnd w:id="3"/>
      <w:r w:rsidRPr="00505A1B">
        <w:rPr>
          <w:strike/>
          <w:lang w:val="en-IE"/>
        </w:rPr>
        <w:t xml:space="preserve"> </w:t>
      </w:r>
      <w:r w:rsidRPr="006E3F3A">
        <w:rPr>
          <w:lang w:val="en-IE"/>
        </w:rPr>
        <w:t xml:space="preserve">been </w:t>
      </w:r>
      <w:proofErr w:type="spellStart"/>
      <w:r w:rsidRPr="006E3F3A">
        <w:rPr>
          <w:lang w:val="en-IE"/>
        </w:rPr>
        <w:t>redescribed</w:t>
      </w:r>
      <w:proofErr w:type="spellEnd"/>
      <w:r w:rsidRPr="006E3F3A">
        <w:rPr>
          <w:lang w:val="en-IE"/>
        </w:rPr>
        <w:t xml:space="preserve"> as a </w:t>
      </w:r>
      <w:proofErr w:type="spellStart"/>
      <w:r w:rsidRPr="006E3F3A">
        <w:rPr>
          <w:i/>
          <w:lang w:val="en-IE"/>
        </w:rPr>
        <w:t>Theileria</w:t>
      </w:r>
      <w:proofErr w:type="spellEnd"/>
      <w:r w:rsidRPr="006E3F3A">
        <w:rPr>
          <w:i/>
          <w:lang w:val="en-IE"/>
        </w:rPr>
        <w:t xml:space="preserve"> </w:t>
      </w:r>
      <w:r w:rsidRPr="006E3F3A">
        <w:rPr>
          <w:lang w:val="en-IE"/>
        </w:rPr>
        <w:t>(</w:t>
      </w:r>
      <w:proofErr w:type="spellStart"/>
      <w:r w:rsidR="00E565F4" w:rsidRPr="006E3F3A">
        <w:rPr>
          <w:lang w:val="en-IE"/>
        </w:rPr>
        <w:t>Me</w:t>
      </w:r>
      <w:r w:rsidR="00F52775">
        <w:rPr>
          <w:lang w:val="en-IE"/>
        </w:rPr>
        <w:t>h</w:t>
      </w:r>
      <w:r w:rsidR="00E565F4" w:rsidRPr="006E3F3A">
        <w:rPr>
          <w:lang w:val="en-IE"/>
        </w:rPr>
        <w:t>lhorn</w:t>
      </w:r>
      <w:proofErr w:type="spellEnd"/>
      <w:r w:rsidR="00E565F4" w:rsidRPr="006E3F3A">
        <w:rPr>
          <w:lang w:val="en-IE"/>
        </w:rPr>
        <w:t xml:space="preserve"> &amp; Schein, 1998</w:t>
      </w:r>
      <w:r w:rsidRPr="006E3F3A">
        <w:rPr>
          <w:lang w:val="en-IE"/>
        </w:rPr>
        <w:t xml:space="preserve">). Further support for the close relation with </w:t>
      </w:r>
      <w:proofErr w:type="spellStart"/>
      <w:r w:rsidRPr="006E3F3A">
        <w:rPr>
          <w:i/>
          <w:lang w:val="en-IE"/>
        </w:rPr>
        <w:t>Theileria</w:t>
      </w:r>
      <w:proofErr w:type="spellEnd"/>
      <w:r w:rsidRPr="006E3F3A">
        <w:rPr>
          <w:i/>
          <w:lang w:val="en-IE"/>
        </w:rPr>
        <w:t xml:space="preserve"> </w:t>
      </w:r>
      <w:r w:rsidRPr="006E3F3A">
        <w:rPr>
          <w:lang w:val="en-IE"/>
        </w:rPr>
        <w:t xml:space="preserve">spp. also comes from the homology found between 30 and 34 </w:t>
      </w:r>
      <w:proofErr w:type="spellStart"/>
      <w:r w:rsidRPr="006E3F3A">
        <w:rPr>
          <w:lang w:val="en-IE"/>
        </w:rPr>
        <w:t>kDa</w:t>
      </w:r>
      <w:proofErr w:type="spellEnd"/>
      <w:r w:rsidRPr="006E3F3A">
        <w:rPr>
          <w:lang w:val="en-IE"/>
        </w:rPr>
        <w:t xml:space="preserve"> </w:t>
      </w:r>
      <w:r w:rsidR="003C4A96" w:rsidRPr="006E3F3A">
        <w:rPr>
          <w:i/>
          <w:lang w:val="en-IE"/>
        </w:rPr>
        <w:t>T.</w:t>
      </w:r>
      <w:r w:rsidR="00B97413" w:rsidRPr="006E3F3A">
        <w:rPr>
          <w:i/>
          <w:lang w:val="en-IE"/>
        </w:rPr>
        <w:t> </w:t>
      </w:r>
      <w:proofErr w:type="spellStart"/>
      <w:r w:rsidR="003C4A96" w:rsidRPr="006E3F3A">
        <w:rPr>
          <w:i/>
          <w:lang w:val="en-IE"/>
        </w:rPr>
        <w:t>equi</w:t>
      </w:r>
      <w:proofErr w:type="spellEnd"/>
      <w:r w:rsidRPr="006E3F3A">
        <w:rPr>
          <w:lang w:val="en-IE"/>
        </w:rPr>
        <w:t xml:space="preserve"> surface proteins and similar sized proteins of</w:t>
      </w:r>
      <w:r w:rsidRPr="006E3F3A">
        <w:rPr>
          <w:b/>
          <w:lang w:val="en-IE"/>
        </w:rPr>
        <w:t xml:space="preserve"> </w:t>
      </w:r>
      <w:r w:rsidRPr="006E3F3A">
        <w:rPr>
          <w:lang w:val="en-IE"/>
        </w:rPr>
        <w:t xml:space="preserve">various </w:t>
      </w:r>
      <w:proofErr w:type="spellStart"/>
      <w:r w:rsidRPr="006E3F3A">
        <w:rPr>
          <w:i/>
          <w:lang w:val="en-IE"/>
        </w:rPr>
        <w:t>Theileria</w:t>
      </w:r>
      <w:proofErr w:type="spellEnd"/>
      <w:r w:rsidRPr="006E3F3A">
        <w:rPr>
          <w:i/>
          <w:lang w:val="en-IE"/>
        </w:rPr>
        <w:t xml:space="preserve"> </w:t>
      </w:r>
      <w:r w:rsidRPr="006E3F3A">
        <w:rPr>
          <w:lang w:val="en-IE"/>
        </w:rPr>
        <w:t>spp. (</w:t>
      </w:r>
      <w:r w:rsidR="00291CD5" w:rsidRPr="006E3F3A">
        <w:rPr>
          <w:lang w:val="en-IE"/>
        </w:rPr>
        <w:t xml:space="preserve">Knowles </w:t>
      </w:r>
      <w:r w:rsidR="009F5073" w:rsidRPr="006E3F3A">
        <w:rPr>
          <w:i/>
          <w:lang w:val="en-IE"/>
        </w:rPr>
        <w:t>et al</w:t>
      </w:r>
      <w:r w:rsidR="00291CD5" w:rsidRPr="006E3F3A">
        <w:rPr>
          <w:lang w:val="en-IE"/>
        </w:rPr>
        <w:t>., 1997</w:t>
      </w:r>
      <w:r w:rsidRPr="006E3F3A">
        <w:rPr>
          <w:lang w:val="en-IE"/>
        </w:rPr>
        <w:t xml:space="preserve">). However, the position of </w:t>
      </w:r>
      <w:r w:rsidR="003C4A96" w:rsidRPr="006E3F3A">
        <w:rPr>
          <w:i/>
          <w:lang w:val="en-IE"/>
        </w:rPr>
        <w:t>T.</w:t>
      </w:r>
      <w:r w:rsidR="00B97413" w:rsidRPr="006E3F3A">
        <w:rPr>
          <w:i/>
          <w:lang w:val="en-IE"/>
        </w:rPr>
        <w:t> </w:t>
      </w:r>
      <w:proofErr w:type="spellStart"/>
      <w:r w:rsidR="003C4A96" w:rsidRPr="006E3F3A">
        <w:rPr>
          <w:i/>
          <w:lang w:val="en-IE"/>
        </w:rPr>
        <w:t>equi</w:t>
      </w:r>
      <w:proofErr w:type="spellEnd"/>
      <w:r w:rsidRPr="006E3F3A">
        <w:rPr>
          <w:lang w:val="en-IE"/>
        </w:rPr>
        <w:t xml:space="preserve"> in </w:t>
      </w:r>
      <w:r w:rsidRPr="006E3F3A">
        <w:rPr>
          <w:lang w:val="en-IE" w:eastAsia="en-US"/>
        </w:rPr>
        <w:t>phylogenetic trees</w:t>
      </w:r>
      <w:r w:rsidRPr="006E3F3A">
        <w:rPr>
          <w:lang w:val="en-IE"/>
        </w:rPr>
        <w:t xml:space="preserve"> based on the small subunit ribosomal RNA genes </w:t>
      </w:r>
      <w:r w:rsidRPr="006E3F3A">
        <w:rPr>
          <w:lang w:val="en-IE" w:eastAsia="en-US"/>
        </w:rPr>
        <w:t xml:space="preserve">is variable and mostly appear as a sister clade of the </w:t>
      </w:r>
      <w:proofErr w:type="spellStart"/>
      <w:r w:rsidRPr="006E3F3A">
        <w:rPr>
          <w:lang w:val="en-IE" w:eastAsia="en-US"/>
        </w:rPr>
        <w:t>Theilerids</w:t>
      </w:r>
      <w:proofErr w:type="spellEnd"/>
      <w:r w:rsidRPr="006E3F3A">
        <w:rPr>
          <w:lang w:val="en-IE" w:eastAsia="en-US"/>
        </w:rPr>
        <w:t xml:space="preserve"> </w:t>
      </w:r>
      <w:r w:rsidRPr="006E3F3A">
        <w:rPr>
          <w:color w:val="000000" w:themeColor="text1"/>
          <w:lang w:val="en-IE" w:eastAsia="en-US"/>
        </w:rPr>
        <w:t>(</w:t>
      </w:r>
      <w:proofErr w:type="spellStart"/>
      <w:r w:rsidR="00E565F4" w:rsidRPr="00704D65">
        <w:rPr>
          <w:color w:val="000000" w:themeColor="text1"/>
          <w:lang w:val="en-IE"/>
        </w:rPr>
        <w:t>Criado-Fornelio</w:t>
      </w:r>
      <w:proofErr w:type="spellEnd"/>
      <w:r w:rsidR="00E565F4" w:rsidRPr="00704D65">
        <w:rPr>
          <w:color w:val="000000" w:themeColor="text1"/>
          <w:lang w:val="en-IE"/>
        </w:rPr>
        <w:t xml:space="preserve"> </w:t>
      </w:r>
      <w:r w:rsidR="009F5073" w:rsidRPr="00704D65">
        <w:rPr>
          <w:i/>
          <w:color w:val="000000" w:themeColor="text1"/>
          <w:lang w:val="en-IE"/>
        </w:rPr>
        <w:t>et al</w:t>
      </w:r>
      <w:r w:rsidR="00E565F4" w:rsidRPr="00704D65">
        <w:rPr>
          <w:color w:val="000000" w:themeColor="text1"/>
          <w:lang w:val="en-IE"/>
        </w:rPr>
        <w:t>., 2003</w:t>
      </w:r>
      <w:r w:rsidRPr="006E3F3A">
        <w:rPr>
          <w:color w:val="000000" w:themeColor="text1"/>
          <w:lang w:val="en-IE" w:eastAsia="en-US"/>
        </w:rPr>
        <w:t>)</w:t>
      </w:r>
      <w:r w:rsidRPr="006E3F3A">
        <w:rPr>
          <w:lang w:val="en-IE" w:eastAsia="en-US"/>
        </w:rPr>
        <w:t xml:space="preserve"> leading some to suggest that </w:t>
      </w:r>
      <w:r w:rsidR="003C4A96" w:rsidRPr="006E3F3A">
        <w:rPr>
          <w:i/>
          <w:lang w:val="en-IE" w:eastAsia="en-US"/>
        </w:rPr>
        <w:t xml:space="preserve">T. </w:t>
      </w:r>
      <w:proofErr w:type="spellStart"/>
      <w:r w:rsidR="003C4A96" w:rsidRPr="006E3F3A">
        <w:rPr>
          <w:i/>
          <w:lang w:val="en-IE" w:eastAsia="en-US"/>
        </w:rPr>
        <w:t>equi</w:t>
      </w:r>
      <w:proofErr w:type="spellEnd"/>
      <w:r w:rsidRPr="006E3F3A">
        <w:rPr>
          <w:i/>
          <w:iCs/>
          <w:lang w:val="en-IE" w:eastAsia="en-US"/>
        </w:rPr>
        <w:t xml:space="preserve"> </w:t>
      </w:r>
      <w:r w:rsidRPr="006E3F3A">
        <w:rPr>
          <w:iCs/>
          <w:lang w:val="en-IE" w:eastAsia="en-US"/>
        </w:rPr>
        <w:t xml:space="preserve">is </w:t>
      </w:r>
      <w:r w:rsidRPr="006E3F3A">
        <w:rPr>
          <w:lang w:val="en-IE" w:eastAsia="en-US"/>
        </w:rPr>
        <w:t xml:space="preserve">ancestral to the </w:t>
      </w:r>
      <w:proofErr w:type="spellStart"/>
      <w:r w:rsidRPr="006E3F3A">
        <w:rPr>
          <w:lang w:val="en-IE" w:eastAsia="en-US"/>
        </w:rPr>
        <w:t>Theilerids</w:t>
      </w:r>
      <w:proofErr w:type="spellEnd"/>
      <w:r w:rsidRPr="006E3F3A">
        <w:rPr>
          <w:color w:val="000000" w:themeColor="text1"/>
          <w:lang w:val="en-IE" w:eastAsia="en-US"/>
        </w:rPr>
        <w:t xml:space="preserve"> (</w:t>
      </w:r>
      <w:proofErr w:type="spellStart"/>
      <w:r w:rsidR="00E565F4" w:rsidRPr="00704D65">
        <w:rPr>
          <w:color w:val="000000" w:themeColor="text1"/>
          <w:lang w:val="en-IE"/>
        </w:rPr>
        <w:t>Criado-Fornelio</w:t>
      </w:r>
      <w:proofErr w:type="spellEnd"/>
      <w:r w:rsidR="00E565F4" w:rsidRPr="00704D65">
        <w:rPr>
          <w:color w:val="000000" w:themeColor="text1"/>
          <w:lang w:val="en-IE"/>
        </w:rPr>
        <w:t xml:space="preserve"> </w:t>
      </w:r>
      <w:r w:rsidR="009F5073" w:rsidRPr="00704D65">
        <w:rPr>
          <w:i/>
          <w:color w:val="000000" w:themeColor="text1"/>
          <w:lang w:val="en-IE"/>
        </w:rPr>
        <w:t>et al</w:t>
      </w:r>
      <w:r w:rsidR="00E565F4" w:rsidRPr="00704D65">
        <w:rPr>
          <w:color w:val="000000" w:themeColor="text1"/>
          <w:lang w:val="en-IE"/>
        </w:rPr>
        <w:t>., 2003</w:t>
      </w:r>
      <w:r w:rsidRPr="006E3F3A">
        <w:rPr>
          <w:color w:val="000000" w:themeColor="text1"/>
          <w:lang w:val="en-IE" w:eastAsia="en-US"/>
        </w:rPr>
        <w:t>) o</w:t>
      </w:r>
      <w:r w:rsidRPr="006E3F3A">
        <w:rPr>
          <w:lang w:val="en-IE" w:eastAsia="en-US"/>
        </w:rPr>
        <w:t>r a different group altogether</w:t>
      </w:r>
      <w:r w:rsidRPr="006E3F3A">
        <w:rPr>
          <w:color w:val="000000" w:themeColor="text1"/>
          <w:lang w:val="en-IE" w:eastAsia="en-US"/>
        </w:rPr>
        <w:t xml:space="preserve"> (</w:t>
      </w:r>
      <w:r w:rsidR="00E565F4" w:rsidRPr="00DA1DA7">
        <w:rPr>
          <w:color w:val="000000" w:themeColor="text1"/>
          <w:lang w:val="en-IE"/>
        </w:rPr>
        <w:t xml:space="preserve">Allsopp </w:t>
      </w:r>
      <w:r w:rsidR="009F5073" w:rsidRPr="00DA1DA7">
        <w:rPr>
          <w:i/>
          <w:color w:val="000000" w:themeColor="text1"/>
          <w:lang w:val="en-IE"/>
        </w:rPr>
        <w:t>et al</w:t>
      </w:r>
      <w:r w:rsidR="00E565F4" w:rsidRPr="00DA1DA7">
        <w:rPr>
          <w:color w:val="000000" w:themeColor="text1"/>
          <w:lang w:val="en-IE"/>
        </w:rPr>
        <w:t>., 1994</w:t>
      </w:r>
      <w:r w:rsidRPr="006E3F3A">
        <w:rPr>
          <w:color w:val="000000" w:themeColor="text1"/>
          <w:lang w:val="en-IE" w:eastAsia="en-US"/>
        </w:rPr>
        <w:t>).</w:t>
      </w:r>
      <w:r w:rsidR="000476A7" w:rsidRPr="006E3F3A">
        <w:rPr>
          <w:color w:val="000000" w:themeColor="text1"/>
          <w:lang w:val="en-IE" w:eastAsia="en-US"/>
        </w:rPr>
        <w:t xml:space="preserve"> </w:t>
      </w:r>
      <w:r w:rsidR="000476A7" w:rsidRPr="006E3F3A">
        <w:rPr>
          <w:lang w:val="en-IE" w:eastAsia="en-US"/>
        </w:rPr>
        <w:t xml:space="preserve">Completion of the </w:t>
      </w:r>
      <w:r w:rsidR="000476A7" w:rsidRPr="006E3F3A">
        <w:rPr>
          <w:i/>
          <w:lang w:val="en-IE" w:eastAsia="en-US"/>
        </w:rPr>
        <w:t>T.</w:t>
      </w:r>
      <w:r w:rsidR="00CD2329" w:rsidRPr="006E3F3A">
        <w:rPr>
          <w:i/>
          <w:lang w:val="en-IE" w:eastAsia="en-US"/>
        </w:rPr>
        <w:t> </w:t>
      </w:r>
      <w:proofErr w:type="spellStart"/>
      <w:r w:rsidR="000476A7" w:rsidRPr="006E3F3A">
        <w:rPr>
          <w:i/>
          <w:lang w:val="en-IE" w:eastAsia="en-US"/>
        </w:rPr>
        <w:t>equi</w:t>
      </w:r>
      <w:proofErr w:type="spellEnd"/>
      <w:r w:rsidR="000476A7" w:rsidRPr="006E3F3A">
        <w:rPr>
          <w:lang w:val="en-IE" w:eastAsia="en-US"/>
        </w:rPr>
        <w:t xml:space="preserve"> genome </w:t>
      </w:r>
      <w:r w:rsidR="00100909" w:rsidRPr="006E3F3A">
        <w:rPr>
          <w:lang w:val="en-IE" w:eastAsia="en-US"/>
        </w:rPr>
        <w:t xml:space="preserve">supported its phylogenetic position as a sister taxon to </w:t>
      </w:r>
      <w:proofErr w:type="spellStart"/>
      <w:r w:rsidR="00100909" w:rsidRPr="006E3F3A">
        <w:rPr>
          <w:i/>
          <w:lang w:val="en-IE" w:eastAsia="en-US"/>
        </w:rPr>
        <w:t>Theileria</w:t>
      </w:r>
      <w:proofErr w:type="spellEnd"/>
      <w:r w:rsidR="00100909" w:rsidRPr="006E3F3A">
        <w:rPr>
          <w:lang w:val="en-IE" w:eastAsia="en-US"/>
        </w:rPr>
        <w:t xml:space="preserve"> spp. (</w:t>
      </w:r>
      <w:proofErr w:type="spellStart"/>
      <w:r w:rsidR="00E64927" w:rsidRPr="006E3F3A">
        <w:rPr>
          <w:lang w:val="en-IE" w:eastAsia="en-US"/>
        </w:rPr>
        <w:t>Kappmeyer</w:t>
      </w:r>
      <w:proofErr w:type="spellEnd"/>
      <w:r w:rsidR="00100909" w:rsidRPr="006E3F3A">
        <w:rPr>
          <w:lang w:val="en-IE" w:eastAsia="en-US"/>
        </w:rPr>
        <w:t xml:space="preserve"> </w:t>
      </w:r>
      <w:r w:rsidR="00100909" w:rsidRPr="006E3F3A">
        <w:rPr>
          <w:i/>
          <w:lang w:val="en-IE" w:eastAsia="en-US"/>
        </w:rPr>
        <w:t>et al.,</w:t>
      </w:r>
      <w:r w:rsidR="00100909" w:rsidRPr="006E3F3A">
        <w:rPr>
          <w:lang w:val="en-IE" w:eastAsia="en-US"/>
        </w:rPr>
        <w:t xml:space="preserve"> 2012).</w:t>
      </w:r>
      <w:r w:rsidR="00B67575" w:rsidRPr="006E3F3A">
        <w:rPr>
          <w:lang w:val="en-IE" w:eastAsia="en-US"/>
        </w:rPr>
        <w:t xml:space="preserve"> Sequence heterogeneity exists within both </w:t>
      </w:r>
      <w:r w:rsidR="0045050E">
        <w:rPr>
          <w:i/>
          <w:lang w:val="en-IE" w:eastAsia="en-US"/>
        </w:rPr>
        <w:t>B. </w:t>
      </w:r>
      <w:proofErr w:type="spellStart"/>
      <w:r w:rsidR="00B67575" w:rsidRPr="006E3F3A">
        <w:rPr>
          <w:i/>
          <w:lang w:val="en-IE" w:eastAsia="en-US"/>
        </w:rPr>
        <w:t>caballi</w:t>
      </w:r>
      <w:proofErr w:type="spellEnd"/>
      <w:r w:rsidR="00B67575" w:rsidRPr="006E3F3A">
        <w:rPr>
          <w:i/>
          <w:lang w:val="en-IE" w:eastAsia="en-US"/>
        </w:rPr>
        <w:t xml:space="preserve"> and T. </w:t>
      </w:r>
      <w:proofErr w:type="spellStart"/>
      <w:r w:rsidR="00B67575" w:rsidRPr="006E3F3A">
        <w:rPr>
          <w:i/>
          <w:lang w:val="en-IE" w:eastAsia="en-US"/>
        </w:rPr>
        <w:t>equi</w:t>
      </w:r>
      <w:proofErr w:type="spellEnd"/>
      <w:r w:rsidR="002A34FA" w:rsidRPr="004D7007">
        <w:rPr>
          <w:rFonts w:hint="eastAsia"/>
          <w:u w:val="double"/>
          <w:lang w:val="en-IE" w:eastAsia="ja-JP"/>
        </w:rPr>
        <w:t xml:space="preserve">. In particular, </w:t>
      </w:r>
      <w:r w:rsidR="0045050E">
        <w:rPr>
          <w:u w:val="double"/>
          <w:lang w:val="en-IE" w:eastAsia="ja-JP"/>
        </w:rPr>
        <w:t xml:space="preserve">the </w:t>
      </w:r>
      <w:r w:rsidR="002A34FA" w:rsidRPr="004D7007">
        <w:rPr>
          <w:rFonts w:hint="eastAsia"/>
          <w:u w:val="double"/>
          <w:lang w:val="en-IE" w:eastAsia="ja-JP"/>
        </w:rPr>
        <w:t xml:space="preserve">unusual high sequence diversity of </w:t>
      </w:r>
      <w:r w:rsidR="002A34FA" w:rsidRPr="004D7007">
        <w:rPr>
          <w:rFonts w:hint="eastAsia"/>
          <w:i/>
          <w:u w:val="double"/>
          <w:lang w:val="en-IE" w:eastAsia="ja-JP"/>
        </w:rPr>
        <w:t xml:space="preserve">T. </w:t>
      </w:r>
      <w:proofErr w:type="spellStart"/>
      <w:r w:rsidR="002A34FA" w:rsidRPr="004D7007">
        <w:rPr>
          <w:rFonts w:hint="eastAsia"/>
          <w:i/>
          <w:u w:val="double"/>
          <w:lang w:val="en-IE" w:eastAsia="ja-JP"/>
        </w:rPr>
        <w:t>equi</w:t>
      </w:r>
      <w:proofErr w:type="spellEnd"/>
      <w:r w:rsidR="002A34FA" w:rsidRPr="004D7007">
        <w:rPr>
          <w:rFonts w:hint="eastAsia"/>
          <w:u w:val="double"/>
          <w:lang w:val="en-IE" w:eastAsia="ja-JP"/>
        </w:rPr>
        <w:t xml:space="preserve"> 18S rDNA and </w:t>
      </w:r>
      <w:r w:rsidR="0045050E">
        <w:rPr>
          <w:u w:val="double"/>
          <w:lang w:val="en-IE" w:eastAsia="ja-JP"/>
        </w:rPr>
        <w:t xml:space="preserve">the </w:t>
      </w:r>
      <w:r w:rsidR="002A34FA" w:rsidRPr="004D7007">
        <w:rPr>
          <w:rFonts w:hint="eastAsia"/>
          <w:u w:val="double"/>
          <w:lang w:val="en-IE" w:eastAsia="ja-JP"/>
        </w:rPr>
        <w:t xml:space="preserve">recent discovery of a new </w:t>
      </w:r>
      <w:proofErr w:type="spellStart"/>
      <w:r w:rsidR="002A34FA" w:rsidRPr="004D7007">
        <w:rPr>
          <w:rFonts w:hint="eastAsia"/>
          <w:i/>
          <w:u w:val="double"/>
          <w:lang w:val="en-IE" w:eastAsia="ja-JP"/>
        </w:rPr>
        <w:t>Theileria</w:t>
      </w:r>
      <w:proofErr w:type="spellEnd"/>
      <w:r w:rsidR="002A34FA" w:rsidRPr="004D7007">
        <w:rPr>
          <w:rFonts w:hint="eastAsia"/>
          <w:u w:val="double"/>
          <w:lang w:val="en-IE" w:eastAsia="ja-JP"/>
        </w:rPr>
        <w:t xml:space="preserve"> species, </w:t>
      </w:r>
      <w:proofErr w:type="spellStart"/>
      <w:r w:rsidR="002A34FA" w:rsidRPr="004D7007">
        <w:rPr>
          <w:rFonts w:hint="eastAsia"/>
          <w:i/>
          <w:u w:val="double"/>
          <w:lang w:val="en-IE" w:eastAsia="ja-JP"/>
        </w:rPr>
        <w:t>Theileria</w:t>
      </w:r>
      <w:proofErr w:type="spellEnd"/>
      <w:r w:rsidR="002A34FA" w:rsidRPr="004D7007">
        <w:rPr>
          <w:rFonts w:hint="eastAsia"/>
          <w:u w:val="double"/>
          <w:lang w:val="en-IE" w:eastAsia="ja-JP"/>
        </w:rPr>
        <w:t xml:space="preserve"> </w:t>
      </w:r>
      <w:proofErr w:type="spellStart"/>
      <w:r w:rsidR="002A34FA" w:rsidRPr="004D7007">
        <w:rPr>
          <w:rFonts w:hint="eastAsia"/>
          <w:i/>
          <w:u w:val="double"/>
          <w:lang w:val="en-IE" w:eastAsia="ja-JP"/>
        </w:rPr>
        <w:t>haneyi</w:t>
      </w:r>
      <w:proofErr w:type="spellEnd"/>
      <w:r w:rsidR="002A34FA" w:rsidRPr="004D7007">
        <w:rPr>
          <w:rFonts w:hint="eastAsia"/>
          <w:u w:val="double"/>
          <w:lang w:val="en-IE" w:eastAsia="ja-JP"/>
        </w:rPr>
        <w:t xml:space="preserve">, closely related to </w:t>
      </w:r>
      <w:r w:rsidR="002A34FA" w:rsidRPr="004D7007">
        <w:rPr>
          <w:rFonts w:hint="eastAsia"/>
          <w:i/>
          <w:u w:val="double"/>
          <w:lang w:val="en-IE" w:eastAsia="ja-JP"/>
        </w:rPr>
        <w:t xml:space="preserve">T. </w:t>
      </w:r>
      <w:proofErr w:type="spellStart"/>
      <w:r w:rsidR="002A34FA" w:rsidRPr="004D7007">
        <w:rPr>
          <w:rFonts w:hint="eastAsia"/>
          <w:i/>
          <w:u w:val="double"/>
          <w:lang w:val="en-IE" w:eastAsia="ja-JP"/>
        </w:rPr>
        <w:t>equi</w:t>
      </w:r>
      <w:proofErr w:type="spellEnd"/>
      <w:r w:rsidR="0045050E">
        <w:rPr>
          <w:i/>
          <w:u w:val="double"/>
          <w:lang w:val="en-IE" w:eastAsia="ja-JP"/>
        </w:rPr>
        <w:t>,</w:t>
      </w:r>
      <w:r w:rsidR="002A34FA" w:rsidRPr="004D7007">
        <w:rPr>
          <w:rFonts w:hint="eastAsia"/>
          <w:u w:val="double"/>
          <w:lang w:val="en-IE" w:eastAsia="ja-JP"/>
        </w:rPr>
        <w:t xml:space="preserve"> strongly indicate that various cryptic species are now collectively referred</w:t>
      </w:r>
      <w:r w:rsidR="0045050E">
        <w:rPr>
          <w:u w:val="double"/>
          <w:lang w:val="en-IE" w:eastAsia="ja-JP"/>
        </w:rPr>
        <w:t xml:space="preserve"> to</w:t>
      </w:r>
      <w:r w:rsidR="002A34FA" w:rsidRPr="004D7007">
        <w:rPr>
          <w:rFonts w:hint="eastAsia"/>
          <w:u w:val="double"/>
          <w:lang w:val="en-IE" w:eastAsia="ja-JP"/>
        </w:rPr>
        <w:t xml:space="preserve"> as </w:t>
      </w:r>
      <w:r w:rsidR="002A34FA" w:rsidRPr="004D7007">
        <w:rPr>
          <w:rFonts w:hint="eastAsia"/>
          <w:i/>
          <w:u w:val="double"/>
          <w:lang w:val="en-IE" w:eastAsia="ja-JP"/>
        </w:rPr>
        <w:t xml:space="preserve">T. </w:t>
      </w:r>
      <w:proofErr w:type="spellStart"/>
      <w:r w:rsidR="002A34FA" w:rsidRPr="004D7007">
        <w:rPr>
          <w:rFonts w:hint="eastAsia"/>
          <w:i/>
          <w:u w:val="double"/>
          <w:lang w:val="en-IE" w:eastAsia="ja-JP"/>
        </w:rPr>
        <w:t>equi</w:t>
      </w:r>
      <w:proofErr w:type="spellEnd"/>
      <w:r w:rsidR="00053752" w:rsidRPr="004D7007">
        <w:rPr>
          <w:rFonts w:hint="eastAsia"/>
          <w:u w:val="double"/>
          <w:lang w:val="en-IE" w:eastAsia="ja-JP"/>
        </w:rPr>
        <w:t xml:space="preserve"> (</w:t>
      </w:r>
      <w:r w:rsidR="00053752" w:rsidRPr="004D7007">
        <w:rPr>
          <w:u w:val="double"/>
          <w:lang w:val="en-IE" w:eastAsia="ja-JP"/>
        </w:rPr>
        <w:t>Knowles</w:t>
      </w:r>
      <w:r w:rsidR="00053752" w:rsidRPr="004D7007">
        <w:rPr>
          <w:rFonts w:hint="eastAsia"/>
          <w:u w:val="double"/>
          <w:lang w:val="en-IE" w:eastAsia="ja-JP"/>
        </w:rPr>
        <w:t xml:space="preserve"> </w:t>
      </w:r>
      <w:r w:rsidR="00053752" w:rsidRPr="004D7007">
        <w:rPr>
          <w:rFonts w:hint="eastAsia"/>
          <w:i/>
          <w:u w:val="double"/>
          <w:lang w:val="en-IE" w:eastAsia="ja-JP"/>
        </w:rPr>
        <w:t>et al</w:t>
      </w:r>
      <w:r w:rsidR="00053752" w:rsidRPr="004D7007">
        <w:rPr>
          <w:rFonts w:hint="eastAsia"/>
          <w:u w:val="double"/>
          <w:lang w:val="en-IE" w:eastAsia="ja-JP"/>
        </w:rPr>
        <w:t>., 2018)</w:t>
      </w:r>
      <w:r w:rsidR="002A34FA" w:rsidRPr="004D7007">
        <w:rPr>
          <w:rFonts w:hint="eastAsia"/>
          <w:u w:val="double"/>
          <w:lang w:val="en-IE" w:eastAsia="ja-JP"/>
        </w:rPr>
        <w:t>.</w:t>
      </w:r>
      <w:r w:rsidR="00B67575" w:rsidRPr="004D7007">
        <w:rPr>
          <w:u w:val="double"/>
          <w:lang w:val="en-IE" w:eastAsia="en-US"/>
        </w:rPr>
        <w:t xml:space="preserve"> </w:t>
      </w:r>
      <w:r w:rsidR="002A34FA" w:rsidRPr="004D7007">
        <w:rPr>
          <w:rFonts w:hint="eastAsia"/>
          <w:u w:val="double"/>
          <w:lang w:val="en-IE" w:eastAsia="ja-JP"/>
        </w:rPr>
        <w:t>The</w:t>
      </w:r>
      <w:r w:rsidR="00931707" w:rsidRPr="004D7007">
        <w:rPr>
          <w:rFonts w:hint="eastAsia"/>
          <w:u w:val="double"/>
          <w:lang w:val="en-IE" w:eastAsia="ja-JP"/>
        </w:rPr>
        <w:t>se sequence heterogenicities</w:t>
      </w:r>
      <w:r w:rsidR="002A34FA" w:rsidRPr="004D7007">
        <w:rPr>
          <w:rFonts w:hint="eastAsia"/>
          <w:u w:val="double"/>
          <w:lang w:val="en-IE" w:eastAsia="ja-JP"/>
        </w:rPr>
        <w:t xml:space="preserve"> and cryptic species</w:t>
      </w:r>
      <w:r w:rsidR="002A34FA">
        <w:rPr>
          <w:rFonts w:hint="eastAsia"/>
          <w:lang w:val="en-IE" w:eastAsia="ja-JP"/>
        </w:rPr>
        <w:t xml:space="preserve"> </w:t>
      </w:r>
      <w:r w:rsidR="00B67575" w:rsidRPr="006E3F3A">
        <w:rPr>
          <w:lang w:val="en-IE" w:eastAsia="en-US"/>
        </w:rPr>
        <w:t xml:space="preserve">could potentially impact </w:t>
      </w:r>
      <w:r w:rsidR="00B67575" w:rsidRPr="004D7007">
        <w:rPr>
          <w:strike/>
          <w:lang w:val="en-IE" w:eastAsia="en-US"/>
        </w:rPr>
        <w:t xml:space="preserve">on </w:t>
      </w:r>
      <w:r w:rsidR="00B67575" w:rsidRPr="006E3F3A">
        <w:rPr>
          <w:lang w:val="en-IE" w:eastAsia="en-US"/>
        </w:rPr>
        <w:t>the interpretation of molecular diagnostic tests.</w:t>
      </w:r>
    </w:p>
    <w:p w14:paraId="663E0B7F" w14:textId="77777777" w:rsidR="00FC674A" w:rsidRPr="006E3F3A" w:rsidRDefault="00B67575" w:rsidP="00E8139D">
      <w:pPr>
        <w:pStyle w:val="paraA0"/>
        <w:spacing w:after="280" w:line="240" w:lineRule="auto"/>
        <w:rPr>
          <w:lang w:val="en-IE"/>
        </w:rPr>
      </w:pPr>
      <w:r w:rsidRPr="006E3F3A">
        <w:rPr>
          <w:lang w:val="en-IE"/>
        </w:rPr>
        <w:t xml:space="preserve">The clinical signs of equine piroplasmosis are often nonspecific, and the disease can easily be confused with other conditions. </w:t>
      </w:r>
      <w:r w:rsidR="00FC674A" w:rsidRPr="006E3F3A">
        <w:rPr>
          <w:lang w:val="en-IE"/>
        </w:rPr>
        <w:t xml:space="preserve">Piroplasmosis can occur in </w:t>
      </w:r>
      <w:proofErr w:type="spellStart"/>
      <w:r w:rsidR="00FC674A" w:rsidRPr="006E3F3A">
        <w:rPr>
          <w:lang w:val="en-IE"/>
        </w:rPr>
        <w:t>peracute</w:t>
      </w:r>
      <w:proofErr w:type="spellEnd"/>
      <w:r w:rsidR="00FC674A" w:rsidRPr="006E3F3A">
        <w:rPr>
          <w:lang w:val="en-IE"/>
        </w:rPr>
        <w:t>, acute and chronic forms. The acute cases are more common, and are characterised by fever that usually exceeds 40°C, reduced appetite and malaise, elevated respiratory and pulse rates, congestion of mucous membranes, and faecal balls that are smaller and drier than normal.</w:t>
      </w:r>
    </w:p>
    <w:p w14:paraId="663E0B80" w14:textId="77777777" w:rsidR="00FC674A" w:rsidRPr="006E3F3A" w:rsidRDefault="00FC674A" w:rsidP="00E8139D">
      <w:pPr>
        <w:pStyle w:val="paraA0"/>
        <w:spacing w:after="280" w:line="240" w:lineRule="auto"/>
        <w:rPr>
          <w:lang w:val="en-IE"/>
        </w:rPr>
      </w:pPr>
      <w:r w:rsidRPr="006E3F3A">
        <w:rPr>
          <w:lang w:val="en-IE"/>
        </w:rPr>
        <w:t>Clinical signs in subacute cases are similar. In addition, affected animals show loss of weight, and fever is sometimes intermittent. The mucous membranes vary from pale pink to pink, or pale yellow to bright yellow. Petechiae and/or ecchymoses may also be visible on the mucous membranes. Normal bowel movements may be slightly depressed and the animals may show signs of mild colic. Mild oedematous swelling of the distal part of the limbs sometimes occurs.</w:t>
      </w:r>
    </w:p>
    <w:p w14:paraId="663E0B81" w14:textId="77777777" w:rsidR="00FC674A" w:rsidRPr="006E3F3A" w:rsidRDefault="00FC674A" w:rsidP="00E8139D">
      <w:pPr>
        <w:pStyle w:val="paraA0"/>
        <w:spacing w:after="280" w:line="240" w:lineRule="auto"/>
        <w:rPr>
          <w:lang w:val="en-IE"/>
        </w:rPr>
      </w:pPr>
      <w:r w:rsidRPr="006E3F3A">
        <w:rPr>
          <w:lang w:val="en-IE"/>
        </w:rPr>
        <w:t>Chronic cases usually present nonspecific clinical signs such as mild inappetence, poor performance and a drop in body mass. The spleen is usually found to be enlarged on rectal examination.</w:t>
      </w:r>
    </w:p>
    <w:p w14:paraId="663E0B82" w14:textId="77777777" w:rsidR="00FC674A" w:rsidRPr="006E3F3A" w:rsidRDefault="00FC674A" w:rsidP="00C5786E">
      <w:pPr>
        <w:pStyle w:val="paraA0"/>
        <w:spacing w:after="440" w:line="240" w:lineRule="auto"/>
        <w:rPr>
          <w:lang w:val="en-IE"/>
        </w:rPr>
      </w:pPr>
      <w:r w:rsidRPr="006E3F3A">
        <w:rPr>
          <w:lang w:val="en-IE"/>
        </w:rPr>
        <w:t xml:space="preserve">A rare </w:t>
      </w:r>
      <w:proofErr w:type="spellStart"/>
      <w:r w:rsidRPr="006E3F3A">
        <w:rPr>
          <w:lang w:val="en-IE"/>
        </w:rPr>
        <w:t>peracute</w:t>
      </w:r>
      <w:proofErr w:type="spellEnd"/>
      <w:r w:rsidRPr="006E3F3A">
        <w:rPr>
          <w:lang w:val="en-IE"/>
        </w:rPr>
        <w:t xml:space="preserve"> form where horses are found either dead or moribund has been reported.</w:t>
      </w:r>
    </w:p>
    <w:p w14:paraId="663E0B83" w14:textId="77777777" w:rsidR="00FC674A" w:rsidRPr="006E3F3A" w:rsidRDefault="00FC674A" w:rsidP="00C5786E">
      <w:pPr>
        <w:pStyle w:val="A0"/>
        <w:rPr>
          <w:lang w:val="en-IE"/>
        </w:rPr>
      </w:pPr>
      <w:r w:rsidRPr="006E3F3A">
        <w:rPr>
          <w:lang w:val="en-IE"/>
        </w:rPr>
        <w:lastRenderedPageBreak/>
        <w:t xml:space="preserve">B. </w:t>
      </w:r>
      <w:r w:rsidR="003D41F1" w:rsidRPr="006E3F3A">
        <w:rPr>
          <w:lang w:val="en-IE"/>
        </w:rPr>
        <w:t xml:space="preserve"> </w:t>
      </w:r>
      <w:r w:rsidRPr="006E3F3A">
        <w:rPr>
          <w:lang w:val="en-IE"/>
        </w:rPr>
        <w:t>DIAGNOSTIC TECHNIQUES</w:t>
      </w:r>
    </w:p>
    <w:p w14:paraId="663E0B84" w14:textId="77777777" w:rsidR="00AE0527" w:rsidRPr="006E3F3A" w:rsidRDefault="00AE0527" w:rsidP="00AE0527">
      <w:pPr>
        <w:pStyle w:val="Tabletitle"/>
      </w:pPr>
      <w:r w:rsidRPr="006E3F3A">
        <w:t xml:space="preserve">Table </w:t>
      </w:r>
      <w:r w:rsidRPr="006E3F3A">
        <w:rPr>
          <w:noProof/>
        </w:rPr>
        <w:t>1</w:t>
      </w:r>
      <w:r w:rsidRPr="006E3F3A">
        <w:t xml:space="preserve">. </w:t>
      </w:r>
      <w:r w:rsidRPr="006E3F3A">
        <w:rPr>
          <w:b w:val="0"/>
        </w:rPr>
        <w:t xml:space="preserve">Test methods available </w:t>
      </w:r>
      <w:r w:rsidR="00E70E3D" w:rsidRPr="006E3F3A">
        <w:rPr>
          <w:b w:val="0"/>
        </w:rPr>
        <w:t xml:space="preserve">for the diagnosis of equine piroplasmosis </w:t>
      </w:r>
      <w:r w:rsidRPr="006E3F3A">
        <w:rPr>
          <w:b w:val="0"/>
        </w:rPr>
        <w:t>and their purpose</w:t>
      </w:r>
    </w:p>
    <w:tbl>
      <w:tblPr>
        <w:tblW w:w="0" w:type="auto"/>
        <w:jc w:val="center"/>
        <w:tblLayout w:type="fixed"/>
        <w:tblCellMar>
          <w:left w:w="96" w:type="dxa"/>
          <w:right w:w="96" w:type="dxa"/>
        </w:tblCellMar>
        <w:tblLook w:val="0000" w:firstRow="0" w:lastRow="0" w:firstColumn="0" w:lastColumn="0" w:noHBand="0" w:noVBand="0"/>
      </w:tblPr>
      <w:tblGrid>
        <w:gridCol w:w="1265"/>
        <w:gridCol w:w="1276"/>
        <w:gridCol w:w="1276"/>
        <w:gridCol w:w="1274"/>
        <w:gridCol w:w="1134"/>
        <w:gridCol w:w="1276"/>
        <w:gridCol w:w="1546"/>
      </w:tblGrid>
      <w:tr w:rsidR="00AE0527" w:rsidRPr="006E3F3A" w14:paraId="663E0B87" w14:textId="77777777">
        <w:trPr>
          <w:trHeight w:val="402"/>
          <w:jc w:val="center"/>
        </w:trPr>
        <w:tc>
          <w:tcPr>
            <w:tcW w:w="1265" w:type="dxa"/>
            <w:vMerge w:val="restart"/>
            <w:tcBorders>
              <w:top w:val="single" w:sz="6" w:space="0" w:color="auto"/>
              <w:left w:val="single" w:sz="6" w:space="0" w:color="auto"/>
            </w:tcBorders>
            <w:vAlign w:val="center"/>
          </w:tcPr>
          <w:p w14:paraId="663E0B85" w14:textId="77777777" w:rsidR="00AE0527" w:rsidRPr="006E3F3A" w:rsidRDefault="00AE0527" w:rsidP="00760DE2">
            <w:pPr>
              <w:pStyle w:val="TableHead"/>
              <w:rPr>
                <w:rFonts w:ascii="Arial" w:hAnsi="Arial" w:cs="Arial"/>
                <w:sz w:val="16"/>
                <w:szCs w:val="16"/>
                <w:lang w:val="en-GB"/>
              </w:rPr>
            </w:pPr>
            <w:r w:rsidRPr="006E3F3A">
              <w:rPr>
                <w:rFonts w:ascii="Arial" w:hAnsi="Arial" w:cs="Arial"/>
                <w:sz w:val="16"/>
                <w:szCs w:val="16"/>
                <w:lang w:val="en-GB"/>
              </w:rPr>
              <w:t>Method</w:t>
            </w:r>
          </w:p>
        </w:tc>
        <w:tc>
          <w:tcPr>
            <w:tcW w:w="7782" w:type="dxa"/>
            <w:gridSpan w:val="6"/>
            <w:tcBorders>
              <w:top w:val="single" w:sz="6" w:space="0" w:color="auto"/>
              <w:left w:val="single" w:sz="6" w:space="0" w:color="auto"/>
              <w:right w:val="single" w:sz="6" w:space="0" w:color="auto"/>
            </w:tcBorders>
            <w:vAlign w:val="center"/>
          </w:tcPr>
          <w:p w14:paraId="663E0B86" w14:textId="3E0A9C84" w:rsidR="00AE0527" w:rsidRPr="006E3F3A" w:rsidRDefault="00AE0527" w:rsidP="00760DE2">
            <w:pPr>
              <w:pStyle w:val="Tabletext"/>
              <w:rPr>
                <w:b/>
                <w:sz w:val="16"/>
                <w:szCs w:val="16"/>
                <w:lang w:val="en-GB"/>
              </w:rPr>
            </w:pPr>
            <w:r w:rsidRPr="006E3F3A">
              <w:rPr>
                <w:b/>
                <w:sz w:val="16"/>
                <w:szCs w:val="16"/>
                <w:lang w:val="en-GB"/>
              </w:rPr>
              <w:t>Purpose</w:t>
            </w:r>
            <w:r w:rsidR="00552944" w:rsidRPr="00732AC8">
              <w:rPr>
                <w:rStyle w:val="Appelnotedebasdep"/>
                <w:sz w:val="16"/>
                <w:highlight w:val="yellow"/>
              </w:rPr>
              <w:footnoteReference w:id="2"/>
            </w:r>
          </w:p>
        </w:tc>
      </w:tr>
      <w:tr w:rsidR="00AE0527" w:rsidRPr="006E3F3A" w14:paraId="663E0B8F" w14:textId="77777777">
        <w:trPr>
          <w:trHeight w:val="402"/>
          <w:jc w:val="center"/>
        </w:trPr>
        <w:tc>
          <w:tcPr>
            <w:tcW w:w="1265" w:type="dxa"/>
            <w:vMerge/>
            <w:tcBorders>
              <w:left w:val="single" w:sz="6" w:space="0" w:color="auto"/>
              <w:bottom w:val="single" w:sz="4" w:space="0" w:color="auto"/>
            </w:tcBorders>
            <w:vAlign w:val="center"/>
          </w:tcPr>
          <w:p w14:paraId="663E0B88" w14:textId="77777777" w:rsidR="00AE0527" w:rsidRPr="006E3F3A" w:rsidRDefault="00AE0527" w:rsidP="00760DE2">
            <w:pPr>
              <w:pStyle w:val="TableHead"/>
              <w:jc w:val="both"/>
              <w:rPr>
                <w:rFonts w:ascii="Arial" w:hAnsi="Arial" w:cs="Arial"/>
                <w:sz w:val="16"/>
                <w:szCs w:val="16"/>
                <w:lang w:val="en-GB"/>
              </w:rPr>
            </w:pPr>
          </w:p>
        </w:tc>
        <w:tc>
          <w:tcPr>
            <w:tcW w:w="1276" w:type="dxa"/>
            <w:tcBorders>
              <w:top w:val="single" w:sz="6" w:space="0" w:color="auto"/>
              <w:left w:val="single" w:sz="6" w:space="0" w:color="auto"/>
              <w:bottom w:val="single" w:sz="4" w:space="0" w:color="auto"/>
            </w:tcBorders>
            <w:vAlign w:val="center"/>
          </w:tcPr>
          <w:p w14:paraId="663E0B89" w14:textId="77777777" w:rsidR="00AE0527" w:rsidRPr="006E3F3A" w:rsidRDefault="00AE0527" w:rsidP="00760DE2">
            <w:pPr>
              <w:pStyle w:val="Tabletext"/>
              <w:rPr>
                <w:sz w:val="16"/>
                <w:szCs w:val="16"/>
                <w:lang w:val="en-GB"/>
              </w:rPr>
            </w:pPr>
            <w:r w:rsidRPr="006E3F3A">
              <w:rPr>
                <w:sz w:val="16"/>
                <w:szCs w:val="16"/>
                <w:lang w:val="en-GB"/>
              </w:rPr>
              <w:t>Population freedom from infection</w:t>
            </w:r>
          </w:p>
        </w:tc>
        <w:tc>
          <w:tcPr>
            <w:tcW w:w="1276" w:type="dxa"/>
            <w:tcBorders>
              <w:top w:val="single" w:sz="6" w:space="0" w:color="auto"/>
              <w:left w:val="single" w:sz="6" w:space="0" w:color="auto"/>
              <w:bottom w:val="single" w:sz="4" w:space="0" w:color="auto"/>
            </w:tcBorders>
            <w:vAlign w:val="center"/>
          </w:tcPr>
          <w:p w14:paraId="663E0B8A" w14:textId="77777777" w:rsidR="00AE0527" w:rsidRPr="006E3F3A" w:rsidRDefault="00AE0527" w:rsidP="00760DE2">
            <w:pPr>
              <w:pStyle w:val="Tabletext"/>
              <w:rPr>
                <w:sz w:val="16"/>
                <w:szCs w:val="16"/>
                <w:lang w:val="en-GB"/>
              </w:rPr>
            </w:pPr>
            <w:r w:rsidRPr="006E3F3A">
              <w:rPr>
                <w:sz w:val="16"/>
                <w:szCs w:val="16"/>
                <w:lang w:val="en-GB"/>
              </w:rPr>
              <w:t>Individual animal freedom from infection</w:t>
            </w:r>
          </w:p>
        </w:tc>
        <w:tc>
          <w:tcPr>
            <w:tcW w:w="1274" w:type="dxa"/>
            <w:tcBorders>
              <w:top w:val="single" w:sz="6" w:space="0" w:color="auto"/>
              <w:left w:val="single" w:sz="6" w:space="0" w:color="auto"/>
              <w:bottom w:val="single" w:sz="4" w:space="0" w:color="auto"/>
            </w:tcBorders>
            <w:vAlign w:val="center"/>
          </w:tcPr>
          <w:p w14:paraId="663E0B8B" w14:textId="77777777" w:rsidR="00AE0527" w:rsidRPr="006E3F3A" w:rsidRDefault="000234CD" w:rsidP="00760DE2">
            <w:pPr>
              <w:pStyle w:val="Tabletext"/>
              <w:rPr>
                <w:sz w:val="16"/>
                <w:szCs w:val="16"/>
                <w:lang w:val="en-GB"/>
              </w:rPr>
            </w:pPr>
            <w:r w:rsidRPr="006E3F3A">
              <w:rPr>
                <w:sz w:val="16"/>
                <w:szCs w:val="16"/>
                <w:lang w:val="en-GB"/>
              </w:rPr>
              <w:t xml:space="preserve">Contribute to </w:t>
            </w:r>
            <w:r w:rsidR="00AE0527" w:rsidRPr="006E3F3A">
              <w:rPr>
                <w:sz w:val="16"/>
                <w:szCs w:val="16"/>
                <w:lang w:val="en-GB"/>
              </w:rPr>
              <w:t>eradication policies</w:t>
            </w:r>
          </w:p>
        </w:tc>
        <w:tc>
          <w:tcPr>
            <w:tcW w:w="1134" w:type="dxa"/>
            <w:tcBorders>
              <w:top w:val="single" w:sz="6" w:space="0" w:color="auto"/>
              <w:left w:val="single" w:sz="6" w:space="0" w:color="auto"/>
              <w:bottom w:val="single" w:sz="4" w:space="0" w:color="auto"/>
            </w:tcBorders>
            <w:vAlign w:val="center"/>
          </w:tcPr>
          <w:p w14:paraId="663E0B8C" w14:textId="77777777" w:rsidR="00AE0527" w:rsidRPr="006E3F3A" w:rsidRDefault="00AE0527" w:rsidP="00760DE2">
            <w:pPr>
              <w:pStyle w:val="Tabletext"/>
              <w:rPr>
                <w:sz w:val="16"/>
                <w:szCs w:val="16"/>
                <w:lang w:val="en-GB"/>
              </w:rPr>
            </w:pPr>
            <w:r w:rsidRPr="006E3F3A">
              <w:rPr>
                <w:sz w:val="16"/>
                <w:szCs w:val="16"/>
                <w:lang w:val="en-GB"/>
              </w:rPr>
              <w:t>Confirmation of clinical cases</w:t>
            </w:r>
          </w:p>
        </w:tc>
        <w:tc>
          <w:tcPr>
            <w:tcW w:w="1276" w:type="dxa"/>
            <w:tcBorders>
              <w:top w:val="single" w:sz="6" w:space="0" w:color="auto"/>
              <w:left w:val="single" w:sz="6" w:space="0" w:color="auto"/>
              <w:bottom w:val="single" w:sz="4" w:space="0" w:color="auto"/>
            </w:tcBorders>
            <w:vAlign w:val="center"/>
          </w:tcPr>
          <w:p w14:paraId="663E0B8D" w14:textId="77777777" w:rsidR="00AE0527" w:rsidRPr="006E3F3A" w:rsidRDefault="00AE0527" w:rsidP="00760DE2">
            <w:pPr>
              <w:pStyle w:val="Tabletext"/>
              <w:rPr>
                <w:sz w:val="16"/>
                <w:szCs w:val="16"/>
                <w:lang w:val="en-GB"/>
              </w:rPr>
            </w:pPr>
            <w:r w:rsidRPr="006E3F3A">
              <w:rPr>
                <w:sz w:val="16"/>
                <w:szCs w:val="16"/>
                <w:lang w:val="en-GB"/>
              </w:rPr>
              <w:t>Prevalence of infection - surveillance</w:t>
            </w:r>
          </w:p>
        </w:tc>
        <w:tc>
          <w:tcPr>
            <w:tcW w:w="1546" w:type="dxa"/>
            <w:tcBorders>
              <w:top w:val="single" w:sz="6" w:space="0" w:color="auto"/>
              <w:left w:val="single" w:sz="6" w:space="0" w:color="auto"/>
              <w:bottom w:val="single" w:sz="4" w:space="0" w:color="auto"/>
              <w:right w:val="single" w:sz="6" w:space="0" w:color="auto"/>
            </w:tcBorders>
            <w:vAlign w:val="center"/>
          </w:tcPr>
          <w:p w14:paraId="663E0B8E" w14:textId="77777777" w:rsidR="00AE0527" w:rsidRPr="006E3F3A" w:rsidRDefault="00AE0527" w:rsidP="00760DE2">
            <w:pPr>
              <w:pStyle w:val="Tabletext"/>
              <w:rPr>
                <w:sz w:val="16"/>
                <w:szCs w:val="16"/>
                <w:lang w:val="en-GB"/>
              </w:rPr>
            </w:pPr>
            <w:r w:rsidRPr="006E3F3A">
              <w:rPr>
                <w:sz w:val="16"/>
                <w:szCs w:val="16"/>
                <w:lang w:val="en-GB"/>
              </w:rPr>
              <w:t>Immune status in individual animals or populations post-vaccination</w:t>
            </w:r>
          </w:p>
        </w:tc>
      </w:tr>
      <w:tr w:rsidR="001A53E6" w:rsidRPr="006E3F3A" w14:paraId="663E0B91" w14:textId="77777777">
        <w:trPr>
          <w:trHeight w:val="402"/>
          <w:jc w:val="center"/>
        </w:trPr>
        <w:tc>
          <w:tcPr>
            <w:tcW w:w="9047" w:type="dxa"/>
            <w:gridSpan w:val="7"/>
            <w:tcBorders>
              <w:top w:val="single" w:sz="4" w:space="0" w:color="auto"/>
              <w:left w:val="single" w:sz="6" w:space="0" w:color="auto"/>
              <w:right w:val="single" w:sz="6" w:space="0" w:color="auto"/>
            </w:tcBorders>
            <w:shd w:val="pct10" w:color="auto" w:fill="auto"/>
          </w:tcPr>
          <w:p w14:paraId="663E0B90" w14:textId="77777777" w:rsidR="001A53E6" w:rsidRPr="00DA1DA7" w:rsidRDefault="001A53E6" w:rsidP="00C03B33">
            <w:pPr>
              <w:pStyle w:val="Tabletext"/>
              <w:rPr>
                <w:sz w:val="16"/>
                <w:szCs w:val="16"/>
                <w:lang w:val="en-GB"/>
              </w:rPr>
            </w:pPr>
            <w:r w:rsidRPr="00DA1DA7">
              <w:rPr>
                <w:b/>
                <w:sz w:val="16"/>
                <w:szCs w:val="16"/>
              </w:rPr>
              <w:t>Agent identification</w:t>
            </w:r>
            <w:r w:rsidRPr="00DA1DA7">
              <w:rPr>
                <w:rStyle w:val="Appelnotedebasdep"/>
                <w:b/>
                <w:sz w:val="16"/>
                <w:szCs w:val="16"/>
              </w:rPr>
              <w:footnoteReference w:id="3"/>
            </w:r>
          </w:p>
        </w:tc>
      </w:tr>
      <w:tr w:rsidR="00AE0527" w:rsidRPr="006E3F3A" w14:paraId="663E0B99" w14:textId="77777777">
        <w:trPr>
          <w:trHeight w:val="402"/>
          <w:jc w:val="center"/>
        </w:trPr>
        <w:tc>
          <w:tcPr>
            <w:tcW w:w="1265" w:type="dxa"/>
            <w:tcBorders>
              <w:top w:val="single" w:sz="6" w:space="0" w:color="auto"/>
              <w:left w:val="single" w:sz="6" w:space="0" w:color="auto"/>
            </w:tcBorders>
          </w:tcPr>
          <w:p w14:paraId="663E0B92" w14:textId="77777777" w:rsidR="00AE0527" w:rsidRPr="006E3F3A" w:rsidRDefault="00A63D68" w:rsidP="00760DE2">
            <w:pPr>
              <w:spacing w:before="120" w:after="120"/>
              <w:jc w:val="center"/>
              <w:rPr>
                <w:rFonts w:ascii="Arial" w:hAnsi="Arial" w:cs="Arial"/>
                <w:b/>
                <w:sz w:val="16"/>
                <w:szCs w:val="16"/>
              </w:rPr>
            </w:pPr>
            <w:r w:rsidRPr="006E3F3A">
              <w:rPr>
                <w:rFonts w:ascii="Arial" w:hAnsi="Arial" w:cs="Arial"/>
                <w:b/>
                <w:sz w:val="16"/>
                <w:szCs w:val="16"/>
              </w:rPr>
              <w:t>Microscopic examination</w:t>
            </w:r>
          </w:p>
        </w:tc>
        <w:tc>
          <w:tcPr>
            <w:tcW w:w="1276" w:type="dxa"/>
            <w:tcBorders>
              <w:top w:val="single" w:sz="6" w:space="0" w:color="auto"/>
              <w:left w:val="single" w:sz="6" w:space="0" w:color="auto"/>
            </w:tcBorders>
            <w:vAlign w:val="center"/>
          </w:tcPr>
          <w:p w14:paraId="663E0B93" w14:textId="77777777" w:rsidR="00AE0527" w:rsidRPr="006E3F3A" w:rsidRDefault="00B65A8E" w:rsidP="00760DE2">
            <w:pPr>
              <w:pStyle w:val="Tabletext"/>
              <w:rPr>
                <w:strike/>
                <w:sz w:val="16"/>
                <w:szCs w:val="16"/>
                <w:lang w:val="en-GB"/>
              </w:rPr>
            </w:pPr>
            <w:r w:rsidRPr="006E3F3A">
              <w:rPr>
                <w:sz w:val="16"/>
                <w:szCs w:val="16"/>
                <w:lang w:val="en-GB"/>
              </w:rPr>
              <w:t>–</w:t>
            </w:r>
          </w:p>
        </w:tc>
        <w:tc>
          <w:tcPr>
            <w:tcW w:w="1276" w:type="dxa"/>
            <w:tcBorders>
              <w:top w:val="single" w:sz="6" w:space="0" w:color="auto"/>
              <w:left w:val="single" w:sz="6" w:space="0" w:color="auto"/>
            </w:tcBorders>
            <w:vAlign w:val="center"/>
          </w:tcPr>
          <w:p w14:paraId="663E0B94" w14:textId="77777777" w:rsidR="00AE0527" w:rsidRPr="006E3F3A" w:rsidRDefault="001174A3" w:rsidP="00760DE2">
            <w:pPr>
              <w:pStyle w:val="Tabletext"/>
              <w:rPr>
                <w:sz w:val="16"/>
                <w:szCs w:val="16"/>
                <w:lang w:val="en-GB"/>
              </w:rPr>
            </w:pPr>
            <w:r w:rsidRPr="006E3F3A">
              <w:rPr>
                <w:sz w:val="16"/>
                <w:szCs w:val="16"/>
                <w:lang w:val="en-GB"/>
              </w:rPr>
              <w:t>+</w:t>
            </w:r>
          </w:p>
        </w:tc>
        <w:tc>
          <w:tcPr>
            <w:tcW w:w="1274" w:type="dxa"/>
            <w:tcBorders>
              <w:top w:val="single" w:sz="6" w:space="0" w:color="auto"/>
              <w:left w:val="single" w:sz="6" w:space="0" w:color="auto"/>
            </w:tcBorders>
            <w:vAlign w:val="center"/>
          </w:tcPr>
          <w:p w14:paraId="663E0B95" w14:textId="77777777" w:rsidR="00AE0527" w:rsidRPr="006E3F3A" w:rsidRDefault="00B65A8E" w:rsidP="00760DE2">
            <w:pPr>
              <w:pStyle w:val="Tabletext"/>
              <w:rPr>
                <w:sz w:val="16"/>
                <w:szCs w:val="16"/>
                <w:lang w:val="en-GB"/>
              </w:rPr>
            </w:pPr>
            <w:r w:rsidRPr="006E3F3A">
              <w:rPr>
                <w:sz w:val="16"/>
                <w:szCs w:val="16"/>
                <w:lang w:val="en-GB"/>
              </w:rPr>
              <w:t>–</w:t>
            </w:r>
          </w:p>
        </w:tc>
        <w:tc>
          <w:tcPr>
            <w:tcW w:w="1134" w:type="dxa"/>
            <w:tcBorders>
              <w:top w:val="single" w:sz="6" w:space="0" w:color="auto"/>
              <w:left w:val="single" w:sz="6" w:space="0" w:color="auto"/>
            </w:tcBorders>
            <w:vAlign w:val="center"/>
          </w:tcPr>
          <w:p w14:paraId="663E0B96" w14:textId="77777777" w:rsidR="00AE0527" w:rsidRPr="006E3F3A" w:rsidRDefault="004456FF" w:rsidP="00760DE2">
            <w:pPr>
              <w:pStyle w:val="Tabletext"/>
              <w:rPr>
                <w:sz w:val="16"/>
                <w:szCs w:val="16"/>
                <w:lang w:val="en-GB"/>
              </w:rPr>
            </w:pPr>
            <w:r w:rsidRPr="006E3F3A">
              <w:rPr>
                <w:sz w:val="16"/>
                <w:szCs w:val="16"/>
                <w:lang w:val="en-GB"/>
              </w:rPr>
              <w:t>++</w:t>
            </w:r>
          </w:p>
        </w:tc>
        <w:tc>
          <w:tcPr>
            <w:tcW w:w="1276" w:type="dxa"/>
            <w:tcBorders>
              <w:top w:val="single" w:sz="6" w:space="0" w:color="auto"/>
              <w:left w:val="single" w:sz="6" w:space="0" w:color="auto"/>
            </w:tcBorders>
            <w:vAlign w:val="center"/>
          </w:tcPr>
          <w:p w14:paraId="663E0B97" w14:textId="77777777" w:rsidR="00AE0527" w:rsidRPr="006E3F3A" w:rsidRDefault="001174A3" w:rsidP="00760DE2">
            <w:pPr>
              <w:pStyle w:val="Tabletext"/>
              <w:rPr>
                <w:sz w:val="16"/>
                <w:szCs w:val="16"/>
                <w:lang w:val="en-GB"/>
              </w:rPr>
            </w:pPr>
            <w:r w:rsidRPr="006E3F3A">
              <w:rPr>
                <w:sz w:val="16"/>
                <w:szCs w:val="16"/>
                <w:lang w:val="en-GB"/>
              </w:rPr>
              <w:t>+</w:t>
            </w:r>
          </w:p>
        </w:tc>
        <w:tc>
          <w:tcPr>
            <w:tcW w:w="1546" w:type="dxa"/>
            <w:tcBorders>
              <w:top w:val="single" w:sz="6" w:space="0" w:color="auto"/>
              <w:left w:val="single" w:sz="6" w:space="0" w:color="auto"/>
              <w:right w:val="single" w:sz="6" w:space="0" w:color="auto"/>
            </w:tcBorders>
            <w:vAlign w:val="center"/>
          </w:tcPr>
          <w:p w14:paraId="663E0B98" w14:textId="77777777" w:rsidR="00AE0527" w:rsidRPr="00F54E81" w:rsidRDefault="00704D65" w:rsidP="00760DE2">
            <w:pPr>
              <w:pStyle w:val="Tabletext"/>
              <w:rPr>
                <w:sz w:val="16"/>
                <w:szCs w:val="16"/>
                <w:highlight w:val="yellow"/>
                <w:lang w:val="en-GB"/>
              </w:rPr>
            </w:pPr>
            <w:r w:rsidRPr="00F54E81">
              <w:rPr>
                <w:sz w:val="16"/>
                <w:szCs w:val="16"/>
                <w:highlight w:val="yellow"/>
                <w:u w:val="double"/>
                <w:lang w:val="en-GB"/>
              </w:rPr>
              <w:t>–</w:t>
            </w:r>
            <w:r w:rsidRPr="00F54E81">
              <w:rPr>
                <w:strike/>
                <w:sz w:val="16"/>
                <w:szCs w:val="16"/>
                <w:highlight w:val="yellow"/>
                <w:lang w:val="en-GB"/>
              </w:rPr>
              <w:t xml:space="preserve"> </w:t>
            </w:r>
            <w:r w:rsidR="0078763E" w:rsidRPr="00F54E81">
              <w:rPr>
                <w:strike/>
                <w:sz w:val="16"/>
                <w:highlight w:val="yellow"/>
                <w:lang w:val="en-GB"/>
              </w:rPr>
              <w:t>n/a</w:t>
            </w:r>
          </w:p>
        </w:tc>
      </w:tr>
      <w:tr w:rsidR="00A63D68" w:rsidRPr="006E3F3A" w14:paraId="663E0BA1" w14:textId="77777777">
        <w:trPr>
          <w:trHeight w:val="402"/>
          <w:jc w:val="center"/>
        </w:trPr>
        <w:tc>
          <w:tcPr>
            <w:tcW w:w="1265" w:type="dxa"/>
            <w:tcBorders>
              <w:top w:val="single" w:sz="6" w:space="0" w:color="auto"/>
              <w:left w:val="single" w:sz="6" w:space="0" w:color="auto"/>
              <w:bottom w:val="single" w:sz="6" w:space="0" w:color="auto"/>
            </w:tcBorders>
          </w:tcPr>
          <w:p w14:paraId="663E0B9A" w14:textId="77777777" w:rsidR="00A63D68" w:rsidRPr="006E3F3A" w:rsidDel="00A63D68" w:rsidRDefault="001A53E6" w:rsidP="00760DE2">
            <w:pPr>
              <w:spacing w:before="120" w:after="120"/>
              <w:jc w:val="center"/>
              <w:rPr>
                <w:rFonts w:ascii="Arial" w:hAnsi="Arial" w:cs="Arial"/>
                <w:b/>
                <w:sz w:val="16"/>
                <w:szCs w:val="16"/>
              </w:rPr>
            </w:pPr>
            <w:r w:rsidRPr="006E3F3A">
              <w:rPr>
                <w:rFonts w:ascii="Arial" w:hAnsi="Arial" w:cs="Arial"/>
                <w:b/>
                <w:sz w:val="16"/>
                <w:szCs w:val="16"/>
              </w:rPr>
              <w:t>PCR</w:t>
            </w:r>
          </w:p>
        </w:tc>
        <w:tc>
          <w:tcPr>
            <w:tcW w:w="1276" w:type="dxa"/>
            <w:tcBorders>
              <w:top w:val="single" w:sz="6" w:space="0" w:color="auto"/>
              <w:left w:val="single" w:sz="6" w:space="0" w:color="auto"/>
              <w:bottom w:val="single" w:sz="6" w:space="0" w:color="auto"/>
            </w:tcBorders>
            <w:vAlign w:val="center"/>
          </w:tcPr>
          <w:p w14:paraId="663E0B9B" w14:textId="77777777" w:rsidR="00A63D68" w:rsidRPr="006E3F3A" w:rsidRDefault="001174A3" w:rsidP="00760DE2">
            <w:pPr>
              <w:pStyle w:val="Tabletext"/>
              <w:rPr>
                <w:sz w:val="16"/>
                <w:szCs w:val="16"/>
                <w:lang w:val="en-GB"/>
              </w:rPr>
            </w:pPr>
            <w:r w:rsidRPr="006E3F3A">
              <w:rPr>
                <w:sz w:val="16"/>
                <w:szCs w:val="16"/>
                <w:lang w:val="en-GB"/>
              </w:rPr>
              <w:t>+++</w:t>
            </w:r>
          </w:p>
        </w:tc>
        <w:tc>
          <w:tcPr>
            <w:tcW w:w="1276" w:type="dxa"/>
            <w:tcBorders>
              <w:top w:val="single" w:sz="6" w:space="0" w:color="auto"/>
              <w:left w:val="single" w:sz="6" w:space="0" w:color="auto"/>
              <w:bottom w:val="single" w:sz="6" w:space="0" w:color="auto"/>
            </w:tcBorders>
            <w:vAlign w:val="center"/>
          </w:tcPr>
          <w:p w14:paraId="663E0B9C" w14:textId="77777777" w:rsidR="00A63D68" w:rsidRPr="006E3F3A" w:rsidRDefault="001174A3" w:rsidP="00760DE2">
            <w:pPr>
              <w:pStyle w:val="Tabletext"/>
              <w:rPr>
                <w:sz w:val="16"/>
                <w:szCs w:val="16"/>
                <w:lang w:val="en-GB"/>
              </w:rPr>
            </w:pPr>
            <w:r w:rsidRPr="006E3F3A">
              <w:rPr>
                <w:sz w:val="16"/>
                <w:szCs w:val="16"/>
                <w:lang w:val="en-GB"/>
              </w:rPr>
              <w:t>+++</w:t>
            </w:r>
          </w:p>
        </w:tc>
        <w:tc>
          <w:tcPr>
            <w:tcW w:w="1274" w:type="dxa"/>
            <w:tcBorders>
              <w:top w:val="single" w:sz="6" w:space="0" w:color="auto"/>
              <w:left w:val="single" w:sz="6" w:space="0" w:color="auto"/>
              <w:bottom w:val="single" w:sz="6" w:space="0" w:color="auto"/>
            </w:tcBorders>
            <w:vAlign w:val="center"/>
          </w:tcPr>
          <w:p w14:paraId="663E0B9D" w14:textId="77777777" w:rsidR="00A63D68" w:rsidRPr="006E3F3A" w:rsidRDefault="001174A3" w:rsidP="00760DE2">
            <w:pPr>
              <w:pStyle w:val="Tabletext"/>
              <w:rPr>
                <w:sz w:val="16"/>
                <w:szCs w:val="16"/>
                <w:lang w:val="en-GB"/>
              </w:rPr>
            </w:pPr>
            <w:r w:rsidRPr="006E3F3A">
              <w:rPr>
                <w:sz w:val="16"/>
                <w:szCs w:val="16"/>
                <w:lang w:val="en-GB"/>
              </w:rPr>
              <w:t>+++</w:t>
            </w:r>
          </w:p>
        </w:tc>
        <w:tc>
          <w:tcPr>
            <w:tcW w:w="1134" w:type="dxa"/>
            <w:tcBorders>
              <w:top w:val="single" w:sz="6" w:space="0" w:color="auto"/>
              <w:left w:val="single" w:sz="6" w:space="0" w:color="auto"/>
              <w:bottom w:val="single" w:sz="6" w:space="0" w:color="auto"/>
            </w:tcBorders>
            <w:vAlign w:val="center"/>
          </w:tcPr>
          <w:p w14:paraId="663E0B9E" w14:textId="77777777" w:rsidR="00A63D68" w:rsidRPr="006E3F3A" w:rsidRDefault="001174A3" w:rsidP="00760DE2">
            <w:pPr>
              <w:pStyle w:val="Tabletext"/>
              <w:rPr>
                <w:sz w:val="16"/>
                <w:szCs w:val="16"/>
                <w:lang w:val="en-GB"/>
              </w:rPr>
            </w:pPr>
            <w:r w:rsidRPr="006E3F3A">
              <w:rPr>
                <w:sz w:val="16"/>
                <w:szCs w:val="16"/>
                <w:lang w:val="en-GB"/>
              </w:rPr>
              <w:t>+++</w:t>
            </w:r>
          </w:p>
        </w:tc>
        <w:tc>
          <w:tcPr>
            <w:tcW w:w="1276" w:type="dxa"/>
            <w:tcBorders>
              <w:top w:val="single" w:sz="6" w:space="0" w:color="auto"/>
              <w:left w:val="single" w:sz="6" w:space="0" w:color="auto"/>
              <w:bottom w:val="single" w:sz="6" w:space="0" w:color="auto"/>
            </w:tcBorders>
            <w:vAlign w:val="center"/>
          </w:tcPr>
          <w:p w14:paraId="663E0B9F" w14:textId="77777777" w:rsidR="00A63D68" w:rsidRPr="006E3F3A" w:rsidRDefault="001174A3" w:rsidP="00760DE2">
            <w:pPr>
              <w:pStyle w:val="Tabletext"/>
              <w:rPr>
                <w:sz w:val="16"/>
                <w:szCs w:val="16"/>
                <w:lang w:val="en-GB"/>
              </w:rPr>
            </w:pPr>
            <w:r w:rsidRPr="006E3F3A">
              <w:rPr>
                <w:sz w:val="16"/>
                <w:szCs w:val="16"/>
                <w:lang w:val="en-GB"/>
              </w:rPr>
              <w:t>+++</w:t>
            </w:r>
          </w:p>
        </w:tc>
        <w:tc>
          <w:tcPr>
            <w:tcW w:w="1546" w:type="dxa"/>
            <w:tcBorders>
              <w:top w:val="single" w:sz="6" w:space="0" w:color="auto"/>
              <w:left w:val="single" w:sz="6" w:space="0" w:color="auto"/>
              <w:bottom w:val="single" w:sz="6" w:space="0" w:color="auto"/>
              <w:right w:val="single" w:sz="6" w:space="0" w:color="auto"/>
            </w:tcBorders>
            <w:vAlign w:val="center"/>
          </w:tcPr>
          <w:p w14:paraId="663E0BA0" w14:textId="77777777" w:rsidR="00A63D68" w:rsidRPr="00F54E81" w:rsidRDefault="00704D65" w:rsidP="00760DE2">
            <w:pPr>
              <w:pStyle w:val="Tabletext"/>
              <w:rPr>
                <w:sz w:val="16"/>
                <w:szCs w:val="16"/>
                <w:highlight w:val="yellow"/>
                <w:lang w:val="en-GB"/>
              </w:rPr>
            </w:pPr>
            <w:r w:rsidRPr="00F54E81">
              <w:rPr>
                <w:sz w:val="16"/>
                <w:szCs w:val="16"/>
                <w:highlight w:val="yellow"/>
                <w:u w:val="double"/>
                <w:lang w:val="en-GB"/>
              </w:rPr>
              <w:t>–</w:t>
            </w:r>
            <w:r w:rsidRPr="00F54E81">
              <w:rPr>
                <w:strike/>
                <w:sz w:val="16"/>
                <w:szCs w:val="16"/>
                <w:highlight w:val="yellow"/>
                <w:lang w:val="en-GB"/>
              </w:rPr>
              <w:t xml:space="preserve"> </w:t>
            </w:r>
            <w:r w:rsidRPr="00F54E81">
              <w:rPr>
                <w:strike/>
                <w:sz w:val="16"/>
                <w:highlight w:val="yellow"/>
                <w:lang w:val="en-GB"/>
              </w:rPr>
              <w:t>n/a</w:t>
            </w:r>
          </w:p>
        </w:tc>
      </w:tr>
      <w:tr w:rsidR="001A53E6" w:rsidRPr="006E3F3A" w14:paraId="663E0BA3" w14:textId="77777777">
        <w:trPr>
          <w:trHeight w:val="402"/>
          <w:jc w:val="center"/>
        </w:trPr>
        <w:tc>
          <w:tcPr>
            <w:tcW w:w="9047" w:type="dxa"/>
            <w:gridSpan w:val="7"/>
            <w:tcBorders>
              <w:top w:val="single" w:sz="6" w:space="0" w:color="auto"/>
              <w:left w:val="single" w:sz="6" w:space="0" w:color="auto"/>
              <w:right w:val="single" w:sz="6" w:space="0" w:color="auto"/>
            </w:tcBorders>
            <w:shd w:val="pct10" w:color="auto" w:fill="auto"/>
          </w:tcPr>
          <w:p w14:paraId="663E0BA2" w14:textId="77777777" w:rsidR="001A53E6" w:rsidRPr="006E3F3A" w:rsidRDefault="001A53E6" w:rsidP="00AA304C">
            <w:pPr>
              <w:pStyle w:val="Tabletext"/>
              <w:rPr>
                <w:sz w:val="16"/>
                <w:szCs w:val="16"/>
                <w:lang w:val="en-GB"/>
              </w:rPr>
            </w:pPr>
            <w:r w:rsidRPr="006E3F3A">
              <w:rPr>
                <w:b/>
                <w:sz w:val="16"/>
                <w:szCs w:val="16"/>
              </w:rPr>
              <w:t>Detection of immune response</w:t>
            </w:r>
          </w:p>
        </w:tc>
      </w:tr>
      <w:tr w:rsidR="008C7B72" w:rsidRPr="006E3F3A" w14:paraId="663E0BAB" w14:textId="77777777">
        <w:trPr>
          <w:trHeight w:val="402"/>
          <w:jc w:val="center"/>
        </w:trPr>
        <w:tc>
          <w:tcPr>
            <w:tcW w:w="1265" w:type="dxa"/>
            <w:tcBorders>
              <w:top w:val="single" w:sz="6" w:space="0" w:color="auto"/>
              <w:left w:val="single" w:sz="6" w:space="0" w:color="auto"/>
            </w:tcBorders>
          </w:tcPr>
          <w:p w14:paraId="663E0BA4" w14:textId="77777777" w:rsidR="008C7B72" w:rsidRPr="00AA304C" w:rsidRDefault="001A53E6" w:rsidP="00760DE2">
            <w:pPr>
              <w:spacing w:before="120" w:after="120"/>
              <w:jc w:val="center"/>
              <w:rPr>
                <w:rFonts w:ascii="Arial" w:hAnsi="Arial" w:cs="Arial"/>
                <w:b/>
                <w:sz w:val="16"/>
                <w:szCs w:val="16"/>
              </w:rPr>
            </w:pPr>
            <w:r w:rsidRPr="00AA304C">
              <w:rPr>
                <w:rFonts w:ascii="Arial" w:hAnsi="Arial" w:cs="Arial"/>
                <w:b/>
                <w:sz w:val="16"/>
                <w:szCs w:val="16"/>
              </w:rPr>
              <w:t>IFAT</w:t>
            </w:r>
          </w:p>
        </w:tc>
        <w:tc>
          <w:tcPr>
            <w:tcW w:w="1276" w:type="dxa"/>
            <w:tcBorders>
              <w:top w:val="single" w:sz="6" w:space="0" w:color="auto"/>
              <w:left w:val="single" w:sz="6" w:space="0" w:color="auto"/>
            </w:tcBorders>
            <w:vAlign w:val="center"/>
          </w:tcPr>
          <w:p w14:paraId="663E0BA5" w14:textId="77777777" w:rsidR="008C7B72" w:rsidRPr="00AA304C" w:rsidRDefault="001174A3" w:rsidP="00760DE2">
            <w:pPr>
              <w:pStyle w:val="Tabletext"/>
              <w:rPr>
                <w:sz w:val="16"/>
                <w:szCs w:val="16"/>
                <w:lang w:val="en-GB"/>
              </w:rPr>
            </w:pPr>
            <w:r w:rsidRPr="00AA304C">
              <w:rPr>
                <w:sz w:val="16"/>
                <w:szCs w:val="16"/>
                <w:lang w:val="en-GB"/>
              </w:rPr>
              <w:t>++</w:t>
            </w:r>
          </w:p>
        </w:tc>
        <w:tc>
          <w:tcPr>
            <w:tcW w:w="1276" w:type="dxa"/>
            <w:tcBorders>
              <w:top w:val="single" w:sz="6" w:space="0" w:color="auto"/>
              <w:left w:val="single" w:sz="6" w:space="0" w:color="auto"/>
            </w:tcBorders>
            <w:vAlign w:val="center"/>
          </w:tcPr>
          <w:p w14:paraId="663E0BA6" w14:textId="77777777" w:rsidR="008C7B72" w:rsidRPr="00AA304C" w:rsidRDefault="001174A3" w:rsidP="00760DE2">
            <w:pPr>
              <w:pStyle w:val="Tabletext"/>
              <w:rPr>
                <w:sz w:val="16"/>
                <w:szCs w:val="16"/>
                <w:lang w:val="en-GB"/>
              </w:rPr>
            </w:pPr>
            <w:r w:rsidRPr="00AA304C">
              <w:rPr>
                <w:sz w:val="16"/>
                <w:szCs w:val="16"/>
                <w:lang w:val="en-GB"/>
              </w:rPr>
              <w:t>+</w:t>
            </w:r>
            <w:r w:rsidR="008C7B72" w:rsidRPr="00AA304C">
              <w:rPr>
                <w:sz w:val="16"/>
                <w:szCs w:val="16"/>
                <w:lang w:val="en-GB"/>
              </w:rPr>
              <w:t>+</w:t>
            </w:r>
          </w:p>
        </w:tc>
        <w:tc>
          <w:tcPr>
            <w:tcW w:w="1274" w:type="dxa"/>
            <w:tcBorders>
              <w:top w:val="single" w:sz="6" w:space="0" w:color="auto"/>
              <w:left w:val="single" w:sz="6" w:space="0" w:color="auto"/>
            </w:tcBorders>
            <w:vAlign w:val="center"/>
          </w:tcPr>
          <w:p w14:paraId="663E0BA7" w14:textId="77777777" w:rsidR="008C7B72" w:rsidRPr="00AA304C" w:rsidRDefault="001174A3" w:rsidP="00760DE2">
            <w:pPr>
              <w:pStyle w:val="Tabletext"/>
              <w:rPr>
                <w:sz w:val="16"/>
                <w:szCs w:val="16"/>
                <w:lang w:val="en-GB"/>
              </w:rPr>
            </w:pPr>
            <w:r w:rsidRPr="00AA304C">
              <w:rPr>
                <w:sz w:val="16"/>
                <w:szCs w:val="16"/>
                <w:lang w:val="en-GB"/>
              </w:rPr>
              <w:t>++</w:t>
            </w:r>
          </w:p>
        </w:tc>
        <w:tc>
          <w:tcPr>
            <w:tcW w:w="1134" w:type="dxa"/>
            <w:tcBorders>
              <w:top w:val="single" w:sz="6" w:space="0" w:color="auto"/>
              <w:left w:val="single" w:sz="6" w:space="0" w:color="auto"/>
            </w:tcBorders>
            <w:vAlign w:val="center"/>
          </w:tcPr>
          <w:p w14:paraId="663E0BA8" w14:textId="2BFDE755" w:rsidR="008C7B72" w:rsidRPr="00505A1B" w:rsidRDefault="001174A3" w:rsidP="00760DE2">
            <w:pPr>
              <w:pStyle w:val="Tabletext"/>
              <w:rPr>
                <w:strike/>
                <w:sz w:val="16"/>
                <w:szCs w:val="16"/>
                <w:lang w:val="en-GB"/>
              </w:rPr>
            </w:pPr>
            <w:r w:rsidRPr="00FA6272">
              <w:rPr>
                <w:strike/>
                <w:sz w:val="16"/>
                <w:szCs w:val="16"/>
                <w:highlight w:val="yellow"/>
                <w:lang w:val="en-GB"/>
              </w:rPr>
              <w:t>+++</w:t>
            </w:r>
            <w:r w:rsidR="00FA6272" w:rsidRPr="00FA6272">
              <w:rPr>
                <w:strike/>
                <w:sz w:val="16"/>
                <w:szCs w:val="16"/>
                <w:highlight w:val="yellow"/>
                <w:lang w:val="en-GB"/>
              </w:rPr>
              <w:t xml:space="preserve"> </w:t>
            </w:r>
            <w:r w:rsidR="00FA6272" w:rsidRPr="00FA6272">
              <w:rPr>
                <w:sz w:val="16"/>
                <w:szCs w:val="16"/>
                <w:highlight w:val="yellow"/>
                <w:u w:val="double"/>
                <w:lang w:val="en-GB"/>
              </w:rPr>
              <w:t>–</w:t>
            </w:r>
          </w:p>
        </w:tc>
        <w:tc>
          <w:tcPr>
            <w:tcW w:w="1276" w:type="dxa"/>
            <w:tcBorders>
              <w:top w:val="single" w:sz="6" w:space="0" w:color="auto"/>
              <w:left w:val="single" w:sz="6" w:space="0" w:color="auto"/>
            </w:tcBorders>
            <w:vAlign w:val="center"/>
          </w:tcPr>
          <w:p w14:paraId="663E0BA9" w14:textId="77777777" w:rsidR="008C7B72" w:rsidRPr="006E3F3A" w:rsidRDefault="001174A3" w:rsidP="00760DE2">
            <w:pPr>
              <w:pStyle w:val="Tabletext"/>
              <w:rPr>
                <w:sz w:val="16"/>
                <w:szCs w:val="16"/>
                <w:lang w:val="en-GB"/>
              </w:rPr>
            </w:pPr>
            <w:r w:rsidRPr="006E3F3A">
              <w:rPr>
                <w:sz w:val="16"/>
                <w:szCs w:val="16"/>
                <w:lang w:val="en-GB"/>
              </w:rPr>
              <w:t>++</w:t>
            </w:r>
          </w:p>
        </w:tc>
        <w:tc>
          <w:tcPr>
            <w:tcW w:w="1546" w:type="dxa"/>
            <w:tcBorders>
              <w:top w:val="single" w:sz="6" w:space="0" w:color="auto"/>
              <w:left w:val="single" w:sz="6" w:space="0" w:color="auto"/>
              <w:right w:val="single" w:sz="6" w:space="0" w:color="auto"/>
            </w:tcBorders>
            <w:vAlign w:val="center"/>
          </w:tcPr>
          <w:p w14:paraId="663E0BAA" w14:textId="77777777" w:rsidR="008C7B72" w:rsidRPr="00F54E81" w:rsidRDefault="00704D65" w:rsidP="00760DE2">
            <w:pPr>
              <w:pStyle w:val="Tabletext"/>
              <w:rPr>
                <w:sz w:val="16"/>
                <w:szCs w:val="16"/>
                <w:highlight w:val="yellow"/>
                <w:lang w:val="en-GB"/>
              </w:rPr>
            </w:pPr>
            <w:r w:rsidRPr="00F54E81">
              <w:rPr>
                <w:sz w:val="16"/>
                <w:szCs w:val="16"/>
                <w:highlight w:val="yellow"/>
                <w:u w:val="double"/>
                <w:lang w:val="en-GB"/>
              </w:rPr>
              <w:t>–</w:t>
            </w:r>
            <w:r w:rsidRPr="00F54E81">
              <w:rPr>
                <w:strike/>
                <w:sz w:val="16"/>
                <w:szCs w:val="16"/>
                <w:highlight w:val="yellow"/>
                <w:lang w:val="en-GB"/>
              </w:rPr>
              <w:t xml:space="preserve"> </w:t>
            </w:r>
            <w:r w:rsidRPr="00F54E81">
              <w:rPr>
                <w:strike/>
                <w:sz w:val="16"/>
                <w:highlight w:val="yellow"/>
                <w:lang w:val="en-GB"/>
              </w:rPr>
              <w:t>n/a</w:t>
            </w:r>
          </w:p>
        </w:tc>
      </w:tr>
      <w:tr w:rsidR="00AE0527" w:rsidRPr="006E3F3A" w14:paraId="663E0BB3" w14:textId="77777777">
        <w:trPr>
          <w:trHeight w:val="402"/>
          <w:jc w:val="center"/>
        </w:trPr>
        <w:tc>
          <w:tcPr>
            <w:tcW w:w="1265" w:type="dxa"/>
            <w:tcBorders>
              <w:top w:val="single" w:sz="6" w:space="0" w:color="auto"/>
              <w:left w:val="single" w:sz="6" w:space="0" w:color="auto"/>
              <w:bottom w:val="single" w:sz="6" w:space="0" w:color="auto"/>
            </w:tcBorders>
          </w:tcPr>
          <w:p w14:paraId="663E0BAC" w14:textId="77777777" w:rsidR="00AE0527" w:rsidRPr="00AA304C" w:rsidRDefault="001A53E6" w:rsidP="00760DE2">
            <w:pPr>
              <w:spacing w:before="120" w:after="120"/>
              <w:jc w:val="center"/>
              <w:rPr>
                <w:rFonts w:ascii="Arial" w:hAnsi="Arial" w:cs="Arial"/>
                <w:b/>
                <w:sz w:val="16"/>
                <w:szCs w:val="16"/>
              </w:rPr>
            </w:pPr>
            <w:r w:rsidRPr="00AA304C">
              <w:rPr>
                <w:rFonts w:ascii="Arial" w:hAnsi="Arial" w:cs="Arial"/>
                <w:b/>
                <w:sz w:val="16"/>
                <w:szCs w:val="16"/>
              </w:rPr>
              <w:t>C-ELISA</w:t>
            </w:r>
          </w:p>
        </w:tc>
        <w:tc>
          <w:tcPr>
            <w:tcW w:w="1276" w:type="dxa"/>
            <w:tcBorders>
              <w:top w:val="single" w:sz="6" w:space="0" w:color="auto"/>
              <w:left w:val="single" w:sz="6" w:space="0" w:color="auto"/>
              <w:bottom w:val="single" w:sz="6" w:space="0" w:color="auto"/>
            </w:tcBorders>
            <w:vAlign w:val="center"/>
          </w:tcPr>
          <w:p w14:paraId="663E0BAD" w14:textId="77777777" w:rsidR="00AE0527" w:rsidRPr="00AA304C" w:rsidRDefault="001174A3" w:rsidP="00760DE2">
            <w:pPr>
              <w:pStyle w:val="Tabletext"/>
              <w:rPr>
                <w:sz w:val="16"/>
                <w:szCs w:val="16"/>
                <w:lang w:val="en-GB"/>
              </w:rPr>
            </w:pPr>
            <w:r w:rsidRPr="00AA304C">
              <w:rPr>
                <w:sz w:val="16"/>
                <w:szCs w:val="16"/>
                <w:lang w:val="en-GB"/>
              </w:rPr>
              <w:t>+++</w:t>
            </w:r>
          </w:p>
        </w:tc>
        <w:tc>
          <w:tcPr>
            <w:tcW w:w="1276" w:type="dxa"/>
            <w:tcBorders>
              <w:top w:val="single" w:sz="6" w:space="0" w:color="auto"/>
              <w:left w:val="single" w:sz="6" w:space="0" w:color="auto"/>
              <w:bottom w:val="single" w:sz="6" w:space="0" w:color="auto"/>
            </w:tcBorders>
            <w:vAlign w:val="center"/>
          </w:tcPr>
          <w:p w14:paraId="663E0BAE" w14:textId="77777777" w:rsidR="00AE0527" w:rsidRPr="00AA304C" w:rsidRDefault="008C7B72" w:rsidP="00760DE2">
            <w:pPr>
              <w:pStyle w:val="Tabletext"/>
              <w:rPr>
                <w:sz w:val="16"/>
                <w:szCs w:val="16"/>
                <w:lang w:val="en-GB"/>
              </w:rPr>
            </w:pPr>
            <w:r w:rsidRPr="00AA304C">
              <w:rPr>
                <w:sz w:val="16"/>
                <w:szCs w:val="16"/>
                <w:lang w:val="en-GB"/>
              </w:rPr>
              <w:t>++</w:t>
            </w:r>
            <w:r w:rsidRPr="00A81C71">
              <w:rPr>
                <w:strike/>
                <w:sz w:val="16"/>
                <w:szCs w:val="16"/>
                <w:highlight w:val="yellow"/>
                <w:lang w:val="en-GB"/>
              </w:rPr>
              <w:t>+</w:t>
            </w:r>
          </w:p>
        </w:tc>
        <w:tc>
          <w:tcPr>
            <w:tcW w:w="1274" w:type="dxa"/>
            <w:tcBorders>
              <w:top w:val="single" w:sz="6" w:space="0" w:color="auto"/>
              <w:left w:val="single" w:sz="6" w:space="0" w:color="auto"/>
              <w:bottom w:val="single" w:sz="6" w:space="0" w:color="auto"/>
            </w:tcBorders>
            <w:vAlign w:val="center"/>
          </w:tcPr>
          <w:p w14:paraId="663E0BAF" w14:textId="77777777" w:rsidR="00AE0527" w:rsidRPr="00AA304C" w:rsidRDefault="001174A3" w:rsidP="00760DE2">
            <w:pPr>
              <w:pStyle w:val="Tabletext"/>
              <w:rPr>
                <w:sz w:val="16"/>
                <w:szCs w:val="16"/>
                <w:lang w:val="en-GB"/>
              </w:rPr>
            </w:pPr>
            <w:r w:rsidRPr="00AA304C">
              <w:rPr>
                <w:sz w:val="16"/>
                <w:szCs w:val="16"/>
                <w:lang w:val="en-GB"/>
              </w:rPr>
              <w:t>+++</w:t>
            </w:r>
          </w:p>
        </w:tc>
        <w:tc>
          <w:tcPr>
            <w:tcW w:w="1134" w:type="dxa"/>
            <w:tcBorders>
              <w:top w:val="single" w:sz="6" w:space="0" w:color="auto"/>
              <w:left w:val="single" w:sz="6" w:space="0" w:color="auto"/>
              <w:bottom w:val="single" w:sz="6" w:space="0" w:color="auto"/>
            </w:tcBorders>
            <w:vAlign w:val="center"/>
          </w:tcPr>
          <w:p w14:paraId="663E0BB0" w14:textId="797ECB48" w:rsidR="00AE0527" w:rsidRPr="00505A1B" w:rsidRDefault="001174A3" w:rsidP="00760DE2">
            <w:pPr>
              <w:pStyle w:val="Tabletext"/>
              <w:rPr>
                <w:strike/>
                <w:sz w:val="16"/>
                <w:szCs w:val="16"/>
                <w:lang w:val="en-GB"/>
              </w:rPr>
            </w:pPr>
            <w:r w:rsidRPr="00FA6272">
              <w:rPr>
                <w:strike/>
                <w:sz w:val="16"/>
                <w:szCs w:val="16"/>
                <w:highlight w:val="yellow"/>
                <w:lang w:val="en-GB"/>
              </w:rPr>
              <w:t>+++</w:t>
            </w:r>
            <w:r w:rsidR="00FA6272" w:rsidRPr="00FA6272">
              <w:rPr>
                <w:strike/>
                <w:sz w:val="16"/>
                <w:szCs w:val="16"/>
                <w:highlight w:val="yellow"/>
                <w:lang w:val="en-GB"/>
              </w:rPr>
              <w:t xml:space="preserve"> </w:t>
            </w:r>
            <w:r w:rsidR="00FA6272" w:rsidRPr="00FA6272">
              <w:rPr>
                <w:sz w:val="16"/>
                <w:szCs w:val="16"/>
                <w:highlight w:val="yellow"/>
                <w:u w:val="double"/>
                <w:lang w:val="en-GB"/>
              </w:rPr>
              <w:t>–</w:t>
            </w:r>
          </w:p>
        </w:tc>
        <w:tc>
          <w:tcPr>
            <w:tcW w:w="1276" w:type="dxa"/>
            <w:tcBorders>
              <w:top w:val="single" w:sz="6" w:space="0" w:color="auto"/>
              <w:left w:val="single" w:sz="6" w:space="0" w:color="auto"/>
              <w:bottom w:val="single" w:sz="6" w:space="0" w:color="auto"/>
            </w:tcBorders>
            <w:vAlign w:val="center"/>
          </w:tcPr>
          <w:p w14:paraId="663E0BB1" w14:textId="77777777" w:rsidR="00AE0527" w:rsidRPr="006E3F3A" w:rsidRDefault="001174A3" w:rsidP="00760DE2">
            <w:pPr>
              <w:pStyle w:val="Tabletext"/>
              <w:rPr>
                <w:sz w:val="16"/>
                <w:szCs w:val="16"/>
                <w:lang w:val="en-GB"/>
              </w:rPr>
            </w:pPr>
            <w:r w:rsidRPr="006E3F3A">
              <w:rPr>
                <w:sz w:val="16"/>
                <w:szCs w:val="16"/>
                <w:lang w:val="en-GB"/>
              </w:rPr>
              <w:t>+++</w:t>
            </w:r>
          </w:p>
        </w:tc>
        <w:tc>
          <w:tcPr>
            <w:tcW w:w="1546" w:type="dxa"/>
            <w:tcBorders>
              <w:top w:val="single" w:sz="6" w:space="0" w:color="auto"/>
              <w:left w:val="single" w:sz="6" w:space="0" w:color="auto"/>
              <w:bottom w:val="single" w:sz="6" w:space="0" w:color="auto"/>
              <w:right w:val="single" w:sz="6" w:space="0" w:color="auto"/>
            </w:tcBorders>
            <w:vAlign w:val="center"/>
          </w:tcPr>
          <w:p w14:paraId="663E0BB2" w14:textId="77777777" w:rsidR="00AE0527" w:rsidRPr="00F54E81" w:rsidRDefault="00704D65" w:rsidP="00760DE2">
            <w:pPr>
              <w:pStyle w:val="Tabletext"/>
              <w:rPr>
                <w:sz w:val="16"/>
                <w:szCs w:val="16"/>
                <w:highlight w:val="yellow"/>
                <w:lang w:val="en-GB"/>
              </w:rPr>
            </w:pPr>
            <w:r w:rsidRPr="00F54E81">
              <w:rPr>
                <w:sz w:val="16"/>
                <w:szCs w:val="16"/>
                <w:highlight w:val="yellow"/>
                <w:u w:val="double"/>
                <w:lang w:val="en-GB"/>
              </w:rPr>
              <w:t>–</w:t>
            </w:r>
            <w:r w:rsidRPr="00F54E81">
              <w:rPr>
                <w:strike/>
                <w:sz w:val="16"/>
                <w:szCs w:val="16"/>
                <w:highlight w:val="yellow"/>
                <w:lang w:val="en-GB"/>
              </w:rPr>
              <w:t xml:space="preserve"> </w:t>
            </w:r>
            <w:r w:rsidRPr="00F54E81">
              <w:rPr>
                <w:strike/>
                <w:sz w:val="16"/>
                <w:highlight w:val="yellow"/>
                <w:lang w:val="en-GB"/>
              </w:rPr>
              <w:t>n/a</w:t>
            </w:r>
          </w:p>
        </w:tc>
      </w:tr>
      <w:tr w:rsidR="00A63D68" w:rsidRPr="007F2837" w14:paraId="663E0BBB" w14:textId="77777777">
        <w:trPr>
          <w:trHeight w:val="402"/>
          <w:jc w:val="center"/>
        </w:trPr>
        <w:tc>
          <w:tcPr>
            <w:tcW w:w="1265" w:type="dxa"/>
            <w:tcBorders>
              <w:top w:val="single" w:sz="6" w:space="0" w:color="auto"/>
              <w:left w:val="single" w:sz="6" w:space="0" w:color="auto"/>
              <w:bottom w:val="single" w:sz="4" w:space="0" w:color="auto"/>
            </w:tcBorders>
          </w:tcPr>
          <w:p w14:paraId="663E0BB4" w14:textId="77777777" w:rsidR="00A63D68" w:rsidRPr="00D53E6C" w:rsidRDefault="001A53E6" w:rsidP="00760DE2">
            <w:pPr>
              <w:spacing w:before="120" w:after="120"/>
              <w:jc w:val="center"/>
              <w:rPr>
                <w:rFonts w:ascii="Arial" w:hAnsi="Arial" w:cs="Arial"/>
                <w:b/>
                <w:strike/>
                <w:sz w:val="16"/>
                <w:szCs w:val="16"/>
                <w:highlight w:val="yellow"/>
              </w:rPr>
            </w:pPr>
            <w:r w:rsidRPr="00D53E6C">
              <w:rPr>
                <w:rFonts w:ascii="Arial" w:hAnsi="Arial" w:cs="Arial"/>
                <w:b/>
                <w:strike/>
                <w:sz w:val="16"/>
                <w:szCs w:val="16"/>
                <w:highlight w:val="yellow"/>
              </w:rPr>
              <w:t>CFT</w:t>
            </w:r>
          </w:p>
        </w:tc>
        <w:tc>
          <w:tcPr>
            <w:tcW w:w="1276" w:type="dxa"/>
            <w:tcBorders>
              <w:top w:val="single" w:sz="6" w:space="0" w:color="auto"/>
              <w:left w:val="single" w:sz="6" w:space="0" w:color="auto"/>
              <w:bottom w:val="single" w:sz="4" w:space="0" w:color="auto"/>
            </w:tcBorders>
            <w:vAlign w:val="center"/>
          </w:tcPr>
          <w:p w14:paraId="663E0BB5" w14:textId="77777777" w:rsidR="00A63D68" w:rsidRPr="00D53E6C" w:rsidRDefault="001174A3" w:rsidP="00760DE2">
            <w:pPr>
              <w:pStyle w:val="Tabletext"/>
              <w:rPr>
                <w:strike/>
                <w:sz w:val="16"/>
                <w:szCs w:val="16"/>
                <w:highlight w:val="yellow"/>
                <w:lang w:val="en-GB"/>
              </w:rPr>
            </w:pPr>
            <w:r w:rsidRPr="00D53E6C">
              <w:rPr>
                <w:strike/>
                <w:sz w:val="16"/>
                <w:szCs w:val="16"/>
                <w:highlight w:val="yellow"/>
                <w:lang w:val="en-GB"/>
              </w:rPr>
              <w:t>+</w:t>
            </w:r>
          </w:p>
        </w:tc>
        <w:tc>
          <w:tcPr>
            <w:tcW w:w="1276" w:type="dxa"/>
            <w:tcBorders>
              <w:top w:val="single" w:sz="6" w:space="0" w:color="auto"/>
              <w:left w:val="single" w:sz="6" w:space="0" w:color="auto"/>
              <w:bottom w:val="single" w:sz="4" w:space="0" w:color="auto"/>
            </w:tcBorders>
            <w:vAlign w:val="center"/>
          </w:tcPr>
          <w:p w14:paraId="663E0BB6" w14:textId="77777777" w:rsidR="00A63D68" w:rsidRPr="00D53E6C" w:rsidRDefault="001174A3" w:rsidP="00760DE2">
            <w:pPr>
              <w:pStyle w:val="Tabletext"/>
              <w:rPr>
                <w:strike/>
                <w:sz w:val="16"/>
                <w:szCs w:val="16"/>
                <w:highlight w:val="yellow"/>
                <w:lang w:val="en-GB"/>
              </w:rPr>
            </w:pPr>
            <w:r w:rsidRPr="00D53E6C">
              <w:rPr>
                <w:strike/>
                <w:sz w:val="16"/>
                <w:szCs w:val="16"/>
                <w:highlight w:val="yellow"/>
                <w:lang w:val="en-GB"/>
              </w:rPr>
              <w:t>+</w:t>
            </w:r>
          </w:p>
        </w:tc>
        <w:tc>
          <w:tcPr>
            <w:tcW w:w="1274" w:type="dxa"/>
            <w:tcBorders>
              <w:top w:val="single" w:sz="6" w:space="0" w:color="auto"/>
              <w:left w:val="single" w:sz="6" w:space="0" w:color="auto"/>
              <w:bottom w:val="single" w:sz="4" w:space="0" w:color="auto"/>
            </w:tcBorders>
            <w:vAlign w:val="center"/>
          </w:tcPr>
          <w:p w14:paraId="663E0BB7" w14:textId="77777777" w:rsidR="00A63D68" w:rsidRPr="00D53E6C" w:rsidRDefault="001174A3" w:rsidP="00760DE2">
            <w:pPr>
              <w:pStyle w:val="Tabletext"/>
              <w:rPr>
                <w:strike/>
                <w:sz w:val="16"/>
                <w:szCs w:val="16"/>
                <w:highlight w:val="yellow"/>
                <w:lang w:val="en-GB"/>
              </w:rPr>
            </w:pPr>
            <w:r w:rsidRPr="00D53E6C">
              <w:rPr>
                <w:strike/>
                <w:sz w:val="16"/>
                <w:szCs w:val="16"/>
                <w:highlight w:val="yellow"/>
                <w:lang w:val="en-GB"/>
              </w:rPr>
              <w:t>+</w:t>
            </w:r>
          </w:p>
        </w:tc>
        <w:tc>
          <w:tcPr>
            <w:tcW w:w="1134" w:type="dxa"/>
            <w:tcBorders>
              <w:top w:val="single" w:sz="6" w:space="0" w:color="auto"/>
              <w:left w:val="single" w:sz="6" w:space="0" w:color="auto"/>
              <w:bottom w:val="single" w:sz="4" w:space="0" w:color="auto"/>
            </w:tcBorders>
            <w:vAlign w:val="center"/>
          </w:tcPr>
          <w:p w14:paraId="663E0BB8" w14:textId="77777777" w:rsidR="00A63D68" w:rsidRPr="00D53E6C" w:rsidRDefault="001174A3" w:rsidP="00760DE2">
            <w:pPr>
              <w:pStyle w:val="Tabletext"/>
              <w:rPr>
                <w:strike/>
                <w:sz w:val="16"/>
                <w:szCs w:val="16"/>
                <w:highlight w:val="yellow"/>
                <w:lang w:val="en-GB"/>
              </w:rPr>
            </w:pPr>
            <w:r w:rsidRPr="00D53E6C">
              <w:rPr>
                <w:strike/>
                <w:sz w:val="16"/>
                <w:szCs w:val="16"/>
                <w:highlight w:val="yellow"/>
                <w:lang w:val="en-GB"/>
              </w:rPr>
              <w:t>+</w:t>
            </w:r>
          </w:p>
        </w:tc>
        <w:tc>
          <w:tcPr>
            <w:tcW w:w="1276" w:type="dxa"/>
            <w:tcBorders>
              <w:top w:val="single" w:sz="6" w:space="0" w:color="auto"/>
              <w:left w:val="single" w:sz="6" w:space="0" w:color="auto"/>
              <w:bottom w:val="single" w:sz="4" w:space="0" w:color="auto"/>
            </w:tcBorders>
            <w:vAlign w:val="center"/>
          </w:tcPr>
          <w:p w14:paraId="663E0BB9" w14:textId="77777777" w:rsidR="00A63D68" w:rsidRPr="00D53E6C" w:rsidRDefault="001174A3" w:rsidP="00760DE2">
            <w:pPr>
              <w:pStyle w:val="Tabletext"/>
              <w:rPr>
                <w:strike/>
                <w:sz w:val="16"/>
                <w:szCs w:val="16"/>
                <w:highlight w:val="yellow"/>
                <w:lang w:val="en-GB"/>
              </w:rPr>
            </w:pPr>
            <w:r w:rsidRPr="00D53E6C">
              <w:rPr>
                <w:strike/>
                <w:sz w:val="16"/>
                <w:szCs w:val="16"/>
                <w:highlight w:val="yellow"/>
                <w:lang w:val="en-GB"/>
              </w:rPr>
              <w:t>+</w:t>
            </w:r>
          </w:p>
        </w:tc>
        <w:tc>
          <w:tcPr>
            <w:tcW w:w="1546" w:type="dxa"/>
            <w:tcBorders>
              <w:top w:val="single" w:sz="6" w:space="0" w:color="auto"/>
              <w:left w:val="single" w:sz="6" w:space="0" w:color="auto"/>
              <w:bottom w:val="single" w:sz="4" w:space="0" w:color="auto"/>
              <w:right w:val="single" w:sz="6" w:space="0" w:color="auto"/>
            </w:tcBorders>
            <w:vAlign w:val="center"/>
          </w:tcPr>
          <w:p w14:paraId="663E0BBA" w14:textId="77777777" w:rsidR="00A63D68" w:rsidRPr="00F54E81" w:rsidRDefault="00704D65" w:rsidP="00760DE2">
            <w:pPr>
              <w:pStyle w:val="Tabletext"/>
              <w:rPr>
                <w:strike/>
                <w:sz w:val="16"/>
                <w:szCs w:val="16"/>
                <w:highlight w:val="yellow"/>
                <w:lang w:val="en-GB"/>
              </w:rPr>
            </w:pPr>
            <w:r w:rsidRPr="00F54E81">
              <w:rPr>
                <w:strike/>
                <w:sz w:val="16"/>
                <w:szCs w:val="16"/>
                <w:highlight w:val="yellow"/>
                <w:u w:val="double"/>
                <w:lang w:val="en-GB"/>
              </w:rPr>
              <w:t>–</w:t>
            </w:r>
            <w:r w:rsidRPr="00F54E81">
              <w:rPr>
                <w:strike/>
                <w:sz w:val="16"/>
                <w:szCs w:val="16"/>
                <w:highlight w:val="yellow"/>
                <w:lang w:val="en-GB"/>
              </w:rPr>
              <w:t xml:space="preserve"> </w:t>
            </w:r>
            <w:r w:rsidRPr="00F54E81">
              <w:rPr>
                <w:strike/>
                <w:sz w:val="16"/>
                <w:highlight w:val="yellow"/>
                <w:lang w:val="en-GB"/>
              </w:rPr>
              <w:t>n/a</w:t>
            </w:r>
          </w:p>
        </w:tc>
      </w:tr>
    </w:tbl>
    <w:p w14:paraId="663E0BBC" w14:textId="0106B28A" w:rsidR="00AE0527" w:rsidRPr="006A39D3" w:rsidRDefault="00704D65" w:rsidP="00AE0527">
      <w:pPr>
        <w:pStyle w:val="Textebrut"/>
        <w:spacing w:before="120" w:after="240"/>
        <w:jc w:val="center"/>
        <w:rPr>
          <w:rFonts w:ascii="Arial" w:eastAsiaTheme="minorEastAsia" w:hAnsi="Arial" w:cs="Arial"/>
          <w:sz w:val="16"/>
          <w:szCs w:val="16"/>
          <w:u w:val="double"/>
          <w:lang w:eastAsia="ja-JP"/>
        </w:rPr>
      </w:pPr>
      <w:r w:rsidRPr="00340631">
        <w:rPr>
          <w:rFonts w:ascii="Arial" w:hAnsi="Arial" w:cs="Arial"/>
          <w:color w:val="000000"/>
          <w:sz w:val="16"/>
          <w:szCs w:val="16"/>
        </w:rPr>
        <w:t xml:space="preserve">Key: +++ = recommended </w:t>
      </w:r>
      <w:r w:rsidRPr="00340631">
        <w:rPr>
          <w:rFonts w:ascii="Arial" w:hAnsi="Arial" w:cs="Arial"/>
          <w:color w:val="000000"/>
          <w:sz w:val="16"/>
          <w:szCs w:val="16"/>
          <w:u w:val="double"/>
        </w:rPr>
        <w:t>for this purpose</w:t>
      </w:r>
      <w:r w:rsidRPr="00340631">
        <w:rPr>
          <w:rFonts w:ascii="Arial" w:hAnsi="Arial" w:cs="Arial"/>
          <w:strike/>
          <w:color w:val="000000"/>
          <w:sz w:val="16"/>
          <w:szCs w:val="16"/>
        </w:rPr>
        <w:t xml:space="preserve"> </w:t>
      </w:r>
      <w:r w:rsidRPr="004D7007">
        <w:rPr>
          <w:rFonts w:ascii="Arial" w:hAnsi="Arial"/>
          <w:strike/>
          <w:color w:val="000000"/>
          <w:sz w:val="16"/>
        </w:rPr>
        <w:t>method</w:t>
      </w:r>
      <w:r w:rsidRPr="00340631">
        <w:rPr>
          <w:rFonts w:ascii="Arial" w:hAnsi="Arial" w:cs="Arial"/>
          <w:color w:val="000000"/>
          <w:sz w:val="16"/>
          <w:szCs w:val="16"/>
        </w:rPr>
        <w:t xml:space="preserve">; ++ </w:t>
      </w:r>
      <w:r w:rsidRPr="00340631">
        <w:rPr>
          <w:rFonts w:ascii="Arial" w:hAnsi="Arial" w:cs="Arial"/>
          <w:color w:val="000000"/>
          <w:sz w:val="16"/>
          <w:szCs w:val="16"/>
          <w:u w:val="double"/>
        </w:rPr>
        <w:t>recommended but has limitations</w:t>
      </w:r>
      <w:r w:rsidRPr="004D7007">
        <w:rPr>
          <w:rFonts w:ascii="Arial" w:hAnsi="Arial"/>
          <w:strike/>
          <w:color w:val="000000"/>
          <w:sz w:val="16"/>
        </w:rPr>
        <w:t xml:space="preserve"> suitable method</w:t>
      </w:r>
      <w:r w:rsidRPr="00340631">
        <w:rPr>
          <w:rFonts w:ascii="Arial" w:hAnsi="Arial" w:cs="Arial"/>
          <w:color w:val="000000"/>
          <w:sz w:val="16"/>
          <w:szCs w:val="16"/>
        </w:rPr>
        <w:t xml:space="preserve">; </w:t>
      </w:r>
      <w:r w:rsidRPr="00340631">
        <w:rPr>
          <w:rFonts w:ascii="Arial" w:hAnsi="Arial" w:cs="Arial"/>
          <w:color w:val="000000"/>
          <w:sz w:val="16"/>
          <w:szCs w:val="16"/>
        </w:rPr>
        <w:br/>
        <w:t xml:space="preserve">+ = </w:t>
      </w:r>
      <w:r w:rsidRPr="00340631">
        <w:rPr>
          <w:rFonts w:ascii="Arial" w:hAnsi="Arial" w:cs="Arial"/>
          <w:color w:val="000000"/>
          <w:sz w:val="16"/>
          <w:szCs w:val="16"/>
          <w:u w:val="double"/>
        </w:rPr>
        <w:t>suitable in very limited circumstances</w:t>
      </w:r>
      <w:r w:rsidRPr="004D7007">
        <w:rPr>
          <w:rFonts w:ascii="Arial" w:hAnsi="Arial"/>
          <w:strike/>
          <w:color w:val="000000"/>
          <w:sz w:val="16"/>
        </w:rPr>
        <w:t xml:space="preserve"> may be used </w:t>
      </w:r>
      <w:r w:rsidRPr="004D7007">
        <w:rPr>
          <w:rFonts w:ascii="Arial" w:hAnsi="Arial"/>
          <w:strike/>
          <w:sz w:val="16"/>
        </w:rPr>
        <w:t>in some situations, but cost, reliability, or other factors severely limits its application</w:t>
      </w:r>
      <w:r w:rsidRPr="00340631">
        <w:rPr>
          <w:rFonts w:ascii="Arial" w:hAnsi="Arial" w:cs="Arial"/>
          <w:sz w:val="16"/>
          <w:szCs w:val="16"/>
        </w:rPr>
        <w:t xml:space="preserve">; </w:t>
      </w:r>
      <w:r w:rsidRPr="00340631">
        <w:rPr>
          <w:rFonts w:ascii="Arial" w:hAnsi="Arial" w:cs="Arial"/>
          <w:color w:val="000000"/>
          <w:sz w:val="16"/>
          <w:szCs w:val="16"/>
        </w:rPr>
        <w:t>– = not appropriate for this purpose</w:t>
      </w:r>
      <w:r w:rsidRPr="004D7007">
        <w:rPr>
          <w:rFonts w:ascii="Arial" w:hAnsi="Arial"/>
          <w:strike/>
          <w:color w:val="000000"/>
          <w:sz w:val="16"/>
        </w:rPr>
        <w:t>; n/a = not applicable</w:t>
      </w:r>
      <w:r w:rsidRPr="00340631">
        <w:rPr>
          <w:rFonts w:ascii="Arial" w:hAnsi="Arial" w:cs="Arial"/>
          <w:color w:val="000000"/>
          <w:sz w:val="16"/>
          <w:szCs w:val="16"/>
        </w:rPr>
        <w:t>.</w:t>
      </w:r>
      <w:r w:rsidRPr="00340631">
        <w:rPr>
          <w:rFonts w:ascii="Arial" w:hAnsi="Arial" w:cs="Arial"/>
          <w:color w:val="000000"/>
          <w:sz w:val="16"/>
          <w:szCs w:val="16"/>
        </w:rPr>
        <w:br/>
      </w:r>
      <w:r w:rsidRPr="004D7007">
        <w:rPr>
          <w:rFonts w:ascii="Arial" w:hAnsi="Arial"/>
          <w:strike/>
          <w:sz w:val="16"/>
          <w:lang w:val="en-IE"/>
        </w:rPr>
        <w:t>Although not all of the tests listed as category +++ or ++ have undergone formal validation, their routine nature and the fact that they have been used widely without dubious results, makes them acceptable.</w:t>
      </w:r>
      <w:r w:rsidR="001A53E6" w:rsidRPr="006E3F3A">
        <w:rPr>
          <w:rFonts w:ascii="Arial" w:hAnsi="Arial" w:cs="Arial"/>
          <w:sz w:val="16"/>
          <w:szCs w:val="16"/>
        </w:rPr>
        <w:br/>
        <w:t xml:space="preserve">PCR = polymerase chain reaction; IFAT = indirect fluorescent antibody test; </w:t>
      </w:r>
      <w:r w:rsidR="001A53E6" w:rsidRPr="006E3F3A">
        <w:rPr>
          <w:rFonts w:ascii="Arial" w:hAnsi="Arial" w:cs="Arial"/>
          <w:sz w:val="16"/>
          <w:szCs w:val="16"/>
        </w:rPr>
        <w:br/>
        <w:t xml:space="preserve">C-ELISA = competitive enzyme-linked immunosorbent assay; </w:t>
      </w:r>
      <w:r w:rsidR="001A53E6" w:rsidRPr="00726966">
        <w:rPr>
          <w:rFonts w:ascii="Arial" w:hAnsi="Arial" w:cs="Arial"/>
          <w:strike/>
          <w:sz w:val="16"/>
          <w:szCs w:val="16"/>
          <w:highlight w:val="yellow"/>
        </w:rPr>
        <w:t>CFT = complement fixation test.</w:t>
      </w:r>
    </w:p>
    <w:p w14:paraId="6CD16183" w14:textId="5D7FE2BD" w:rsidR="00066F36" w:rsidRPr="00066F36" w:rsidRDefault="00066F36" w:rsidP="00066F36">
      <w:pPr>
        <w:pStyle w:val="Textebrut"/>
        <w:spacing w:before="120" w:after="240"/>
        <w:jc w:val="both"/>
        <w:rPr>
          <w:rFonts w:ascii="Arial" w:eastAsiaTheme="minorEastAsia" w:hAnsi="Arial" w:cs="Arial"/>
          <w:b/>
          <w:sz w:val="16"/>
          <w:szCs w:val="16"/>
          <w:lang w:eastAsia="ja-JP"/>
        </w:rPr>
      </w:pPr>
      <w:r w:rsidRPr="006A39D3">
        <w:rPr>
          <w:rFonts w:ascii="Arial" w:hAnsi="Arial" w:cs="Arial"/>
          <w:sz w:val="18"/>
          <w:szCs w:val="18"/>
          <w:u w:val="double"/>
        </w:rPr>
        <w:t xml:space="preserve">Negative results </w:t>
      </w:r>
      <w:r w:rsidR="00D810E6" w:rsidRPr="006A39D3">
        <w:rPr>
          <w:rFonts w:ascii="Arial" w:eastAsiaTheme="minorEastAsia" w:hAnsi="Arial" w:cs="Arial" w:hint="eastAsia"/>
          <w:sz w:val="18"/>
          <w:szCs w:val="18"/>
          <w:u w:val="double"/>
          <w:lang w:eastAsia="ja-JP"/>
        </w:rPr>
        <w:t>in</w:t>
      </w:r>
      <w:r w:rsidRPr="006A39D3">
        <w:rPr>
          <w:rFonts w:ascii="Arial" w:hAnsi="Arial" w:cs="Arial"/>
          <w:sz w:val="18"/>
          <w:szCs w:val="18"/>
          <w:u w:val="double"/>
        </w:rPr>
        <w:t xml:space="preserve"> agent identification or serological tests do not necessarily mean that the animals are free from infections. In persistently infected carrier animals, the parasites may be sequestered in organs such as spleen and bone marrow, while the parasites and their genetic materials are undetectable in the general circulation (</w:t>
      </w:r>
      <w:proofErr w:type="spellStart"/>
      <w:r w:rsidRPr="006A39D3">
        <w:rPr>
          <w:rFonts w:ascii="Arial" w:hAnsi="Arial" w:cs="Arial"/>
          <w:sz w:val="18"/>
          <w:szCs w:val="18"/>
          <w:u w:val="double"/>
        </w:rPr>
        <w:t>Pitel</w:t>
      </w:r>
      <w:proofErr w:type="spellEnd"/>
      <w:r w:rsidRPr="006A39D3">
        <w:rPr>
          <w:rFonts w:ascii="Arial" w:hAnsi="Arial" w:cs="Arial"/>
          <w:sz w:val="18"/>
          <w:szCs w:val="18"/>
          <w:u w:val="double"/>
        </w:rPr>
        <w:t xml:space="preserve"> </w:t>
      </w:r>
      <w:r w:rsidRPr="006A39D3">
        <w:rPr>
          <w:rFonts w:ascii="Arial" w:hAnsi="Arial" w:cs="Arial"/>
          <w:i/>
          <w:sz w:val="18"/>
          <w:szCs w:val="18"/>
          <w:u w:val="double"/>
        </w:rPr>
        <w:t>et al</w:t>
      </w:r>
      <w:r w:rsidRPr="006A39D3">
        <w:rPr>
          <w:rFonts w:ascii="Arial" w:hAnsi="Arial" w:cs="Arial"/>
          <w:sz w:val="18"/>
          <w:szCs w:val="18"/>
          <w:u w:val="double"/>
        </w:rPr>
        <w:t xml:space="preserve">., 2010; Ribeiro </w:t>
      </w:r>
      <w:r w:rsidRPr="006A39D3">
        <w:rPr>
          <w:rFonts w:ascii="Arial" w:hAnsi="Arial" w:cs="Arial"/>
          <w:i/>
          <w:sz w:val="18"/>
          <w:szCs w:val="18"/>
          <w:u w:val="double"/>
        </w:rPr>
        <w:t>et al</w:t>
      </w:r>
      <w:r w:rsidRPr="006A39D3">
        <w:rPr>
          <w:rFonts w:ascii="Arial" w:hAnsi="Arial" w:cs="Arial"/>
          <w:sz w:val="18"/>
          <w:szCs w:val="18"/>
          <w:u w:val="double"/>
        </w:rPr>
        <w:t xml:space="preserve">., 2013). Similarly, during the early stage of the infections, horses may be seronegative until the antibodies reach the levels detectable by the </w:t>
      </w:r>
      <w:proofErr w:type="spellStart"/>
      <w:r w:rsidRPr="006A39D3">
        <w:rPr>
          <w:rFonts w:ascii="Arial" w:hAnsi="Arial" w:cs="Arial"/>
          <w:sz w:val="18"/>
          <w:szCs w:val="18"/>
          <w:u w:val="double"/>
        </w:rPr>
        <w:t>serodiagnostic</w:t>
      </w:r>
      <w:proofErr w:type="spellEnd"/>
      <w:r w:rsidRPr="006A39D3">
        <w:rPr>
          <w:rFonts w:ascii="Arial" w:hAnsi="Arial" w:cs="Arial"/>
          <w:sz w:val="18"/>
          <w:szCs w:val="18"/>
          <w:u w:val="double"/>
        </w:rPr>
        <w:t xml:space="preserve"> tools, while </w:t>
      </w:r>
      <w:r w:rsidR="00BD66F1" w:rsidRPr="006A39D3">
        <w:rPr>
          <w:rFonts w:ascii="Arial" w:eastAsiaTheme="minorEastAsia" w:hAnsi="Arial" w:cs="Arial" w:hint="eastAsia"/>
          <w:sz w:val="18"/>
          <w:szCs w:val="18"/>
          <w:u w:val="double"/>
          <w:lang w:eastAsia="ja-JP"/>
        </w:rPr>
        <w:t>such</w:t>
      </w:r>
      <w:r w:rsidRPr="006A39D3">
        <w:rPr>
          <w:rFonts w:ascii="Arial" w:hAnsi="Arial" w:cs="Arial"/>
          <w:sz w:val="18"/>
          <w:szCs w:val="18"/>
          <w:u w:val="double"/>
        </w:rPr>
        <w:t xml:space="preserve"> animals may be positive by </w:t>
      </w:r>
      <w:r w:rsidR="00BD66F1" w:rsidRPr="006A39D3">
        <w:rPr>
          <w:rFonts w:ascii="Arial" w:eastAsiaTheme="minorEastAsia" w:hAnsi="Arial" w:cs="Arial" w:hint="eastAsia"/>
          <w:sz w:val="18"/>
          <w:szCs w:val="18"/>
          <w:u w:val="double"/>
          <w:lang w:eastAsia="ja-JP"/>
        </w:rPr>
        <w:t>PCR assays</w:t>
      </w:r>
      <w:r w:rsidRPr="006A39D3">
        <w:rPr>
          <w:rFonts w:ascii="Arial" w:hAnsi="Arial" w:cs="Arial"/>
          <w:sz w:val="18"/>
          <w:szCs w:val="18"/>
          <w:u w:val="double"/>
        </w:rPr>
        <w:t xml:space="preserve"> (Abedi </w:t>
      </w:r>
      <w:r w:rsidRPr="006A39D3">
        <w:rPr>
          <w:rFonts w:ascii="Arial" w:hAnsi="Arial" w:cs="Arial"/>
          <w:i/>
          <w:sz w:val="18"/>
          <w:szCs w:val="18"/>
          <w:u w:val="double"/>
        </w:rPr>
        <w:t>et al</w:t>
      </w:r>
      <w:r w:rsidRPr="006A39D3">
        <w:rPr>
          <w:rFonts w:ascii="Arial" w:hAnsi="Arial" w:cs="Arial"/>
          <w:sz w:val="18"/>
          <w:szCs w:val="18"/>
          <w:u w:val="double"/>
        </w:rPr>
        <w:t>., 2014; Posada-Guzm</w:t>
      </w:r>
      <w:r w:rsidR="008414C0">
        <w:rPr>
          <w:rFonts w:ascii="Arial" w:hAnsi="Arial" w:cs="Arial"/>
          <w:sz w:val="18"/>
          <w:szCs w:val="18"/>
          <w:u w:val="double"/>
        </w:rPr>
        <w:t>a</w:t>
      </w:r>
      <w:r w:rsidRPr="006A39D3">
        <w:rPr>
          <w:rFonts w:ascii="Arial" w:hAnsi="Arial" w:cs="Arial"/>
          <w:sz w:val="18"/>
          <w:szCs w:val="18"/>
          <w:u w:val="double"/>
        </w:rPr>
        <w:t xml:space="preserve">n </w:t>
      </w:r>
      <w:r w:rsidRPr="006A39D3">
        <w:rPr>
          <w:rFonts w:ascii="Arial" w:hAnsi="Arial" w:cs="Arial"/>
          <w:i/>
          <w:sz w:val="18"/>
          <w:szCs w:val="18"/>
          <w:u w:val="double"/>
        </w:rPr>
        <w:t>et al</w:t>
      </w:r>
      <w:r w:rsidRPr="006A39D3">
        <w:rPr>
          <w:rFonts w:ascii="Arial" w:hAnsi="Arial" w:cs="Arial"/>
          <w:sz w:val="18"/>
          <w:szCs w:val="18"/>
          <w:u w:val="double"/>
        </w:rPr>
        <w:t>., 201</w:t>
      </w:r>
      <w:r w:rsidR="008414C0">
        <w:rPr>
          <w:rFonts w:ascii="Arial" w:hAnsi="Arial" w:cs="Arial"/>
          <w:sz w:val="18"/>
          <w:szCs w:val="18"/>
          <w:u w:val="double"/>
        </w:rPr>
        <w:t>5</w:t>
      </w:r>
      <w:r w:rsidRPr="006A39D3">
        <w:rPr>
          <w:rFonts w:ascii="Arial" w:hAnsi="Arial" w:cs="Arial"/>
          <w:sz w:val="18"/>
          <w:szCs w:val="18"/>
          <w:u w:val="double"/>
        </w:rPr>
        <w:t xml:space="preserve">). Therefore, a combination of </w:t>
      </w:r>
      <w:r w:rsidR="00BD66F1" w:rsidRPr="006A39D3">
        <w:rPr>
          <w:rFonts w:ascii="Arial" w:eastAsiaTheme="minorEastAsia" w:hAnsi="Arial" w:cs="Arial" w:hint="eastAsia"/>
          <w:sz w:val="18"/>
          <w:szCs w:val="18"/>
          <w:u w:val="double"/>
          <w:lang w:eastAsia="ja-JP"/>
        </w:rPr>
        <w:t>PCR</w:t>
      </w:r>
      <w:r w:rsidRPr="006A39D3">
        <w:rPr>
          <w:rFonts w:ascii="Arial" w:hAnsi="Arial" w:cs="Arial"/>
          <w:sz w:val="18"/>
          <w:szCs w:val="18"/>
          <w:u w:val="double"/>
        </w:rPr>
        <w:t xml:space="preserve"> and serological tests is essential to determine whether an animal is actually free from infection</w:t>
      </w:r>
      <w:r w:rsidRPr="00726966">
        <w:rPr>
          <w:rFonts w:ascii="Arial" w:hAnsi="Arial" w:cs="Arial"/>
          <w:strike/>
          <w:sz w:val="18"/>
          <w:szCs w:val="18"/>
          <w:highlight w:val="yellow"/>
        </w:rPr>
        <w:t>s</w:t>
      </w:r>
      <w:r w:rsidRPr="006A39D3">
        <w:rPr>
          <w:rFonts w:ascii="Arial" w:hAnsi="Arial" w:cs="Arial"/>
          <w:sz w:val="18"/>
          <w:szCs w:val="18"/>
          <w:u w:val="double"/>
        </w:rPr>
        <w:t>.</w:t>
      </w:r>
    </w:p>
    <w:p w14:paraId="663E0BBD" w14:textId="77777777" w:rsidR="00FC674A" w:rsidRPr="006E3F3A" w:rsidRDefault="00FC674A" w:rsidP="00C5786E">
      <w:pPr>
        <w:pStyle w:val="1"/>
        <w:rPr>
          <w:lang w:val="en-IE"/>
        </w:rPr>
      </w:pPr>
      <w:r w:rsidRPr="006E3F3A">
        <w:rPr>
          <w:lang w:val="en-IE"/>
        </w:rPr>
        <w:t>1.</w:t>
      </w:r>
      <w:r w:rsidRPr="006E3F3A">
        <w:rPr>
          <w:lang w:val="en-IE"/>
        </w:rPr>
        <w:tab/>
        <w:t>Identification of the agent</w:t>
      </w:r>
    </w:p>
    <w:p w14:paraId="49BC3E64" w14:textId="6E0A7DA5" w:rsidR="00544291" w:rsidRPr="00B94B2A" w:rsidRDefault="00A96CB7" w:rsidP="00B94B2A">
      <w:pPr>
        <w:pStyle w:val="11"/>
        <w:rPr>
          <w:u w:val="double"/>
        </w:rPr>
      </w:pPr>
      <w:r w:rsidRPr="00B94B2A">
        <w:rPr>
          <w:u w:val="double"/>
        </w:rPr>
        <w:t>1.1</w:t>
      </w:r>
      <w:r w:rsidR="00B94B2A" w:rsidRPr="00B94B2A">
        <w:rPr>
          <w:u w:val="double"/>
        </w:rPr>
        <w:t>.</w:t>
      </w:r>
      <w:r w:rsidR="00B94B2A" w:rsidRPr="00B94B2A">
        <w:rPr>
          <w:u w:val="double"/>
        </w:rPr>
        <w:tab/>
      </w:r>
      <w:r w:rsidRPr="00B94B2A">
        <w:rPr>
          <w:u w:val="double"/>
        </w:rPr>
        <w:t>Microscopic examination</w:t>
      </w:r>
    </w:p>
    <w:p w14:paraId="663E0BBE" w14:textId="4EDB2F8E" w:rsidR="00FC674A" w:rsidRPr="006E3F3A" w:rsidRDefault="00FC674A" w:rsidP="00B94B2A">
      <w:pPr>
        <w:pStyle w:val="11Para"/>
        <w:rPr>
          <w:lang w:val="en-IE"/>
        </w:rPr>
      </w:pPr>
      <w:r w:rsidRPr="006E3F3A">
        <w:rPr>
          <w:lang w:val="en-IE"/>
        </w:rPr>
        <w:t>Infected horses may be identified by demonstrating the parasites in stained blood</w:t>
      </w:r>
      <w:r w:rsidR="00FF3766" w:rsidRPr="006E3F3A">
        <w:rPr>
          <w:lang w:val="en-IE"/>
        </w:rPr>
        <w:t xml:space="preserve">, optimally collected from superficial skin capillaries, </w:t>
      </w:r>
      <w:r w:rsidRPr="006E3F3A">
        <w:rPr>
          <w:lang w:val="en-IE"/>
        </w:rPr>
        <w:t xml:space="preserve">or organ smears during the acute phase of the disease. </w:t>
      </w:r>
      <w:proofErr w:type="spellStart"/>
      <w:r w:rsidRPr="006E3F3A">
        <w:rPr>
          <w:lang w:val="en-IE"/>
        </w:rPr>
        <w:t>Romanovsky</w:t>
      </w:r>
      <w:proofErr w:type="spellEnd"/>
      <w:r w:rsidRPr="006E3F3A">
        <w:rPr>
          <w:lang w:val="en-IE"/>
        </w:rPr>
        <w:t>-type staining methods, such as the Giemsa method, usually give the best results.</w:t>
      </w:r>
      <w:r w:rsidR="002718BC" w:rsidRPr="006E3F3A">
        <w:rPr>
          <w:lang w:val="en-IE"/>
        </w:rPr>
        <w:t xml:space="preserve"> </w:t>
      </w:r>
      <w:r w:rsidRPr="006E3F3A">
        <w:rPr>
          <w:lang w:val="en-IE"/>
        </w:rPr>
        <w:t xml:space="preserve">However, even in acute clinical cases of </w:t>
      </w:r>
      <w:r w:rsidR="00C021CD" w:rsidRPr="006E3F3A">
        <w:rPr>
          <w:i/>
          <w:lang w:val="en-IE"/>
        </w:rPr>
        <w:t>B. </w:t>
      </w:r>
      <w:proofErr w:type="spellStart"/>
      <w:r w:rsidR="00C021CD" w:rsidRPr="006E3F3A">
        <w:rPr>
          <w:i/>
          <w:lang w:val="en-IE"/>
        </w:rPr>
        <w:t>caballi</w:t>
      </w:r>
      <w:proofErr w:type="spellEnd"/>
      <w:r w:rsidRPr="006E3F3A">
        <w:rPr>
          <w:lang w:val="en-IE"/>
        </w:rPr>
        <w:t xml:space="preserve"> infection, the parasitaemia is very low and difficult to detect. Experienced workers sometimes use a thick blood smear technique to detect very low parasitaemia. Thick films are made by placing a small drop (approximately 50</w:t>
      </w:r>
      <w:r w:rsidR="00BA13FE" w:rsidRPr="006E3F3A">
        <w:rPr>
          <w:lang w:val="en-IE"/>
        </w:rPr>
        <w:t> </w:t>
      </w:r>
      <w:r w:rsidRPr="006E3F3A">
        <w:rPr>
          <w:lang w:val="en-IE"/>
        </w:rPr>
        <w:t>µl) of blood on to a clean glass slide</w:t>
      </w:r>
      <w:r w:rsidR="00F15F21" w:rsidRPr="006E3F3A">
        <w:rPr>
          <w:lang w:val="en-IE"/>
        </w:rPr>
        <w:t>,</w:t>
      </w:r>
      <w:r w:rsidRPr="006E3F3A">
        <w:rPr>
          <w:lang w:val="en-IE"/>
        </w:rPr>
        <w:t xml:space="preserve"> which is then air-dried, heat</w:t>
      </w:r>
      <w:r w:rsidR="00F15F21" w:rsidRPr="006E3F3A">
        <w:rPr>
          <w:lang w:val="en-IE"/>
        </w:rPr>
        <w:t>-</w:t>
      </w:r>
      <w:r w:rsidRPr="006E3F3A">
        <w:rPr>
          <w:lang w:val="en-IE"/>
        </w:rPr>
        <w:t>fixed at 80°C for 5 minutes, and stained in 5% Giemsa for 20–30</w:t>
      </w:r>
      <w:r w:rsidR="00BA13FE" w:rsidRPr="006E3F3A">
        <w:rPr>
          <w:lang w:val="en-IE"/>
        </w:rPr>
        <w:t> </w:t>
      </w:r>
      <w:r w:rsidRPr="006E3F3A">
        <w:rPr>
          <w:lang w:val="en-IE"/>
        </w:rPr>
        <w:t>minutes.</w:t>
      </w:r>
    </w:p>
    <w:p w14:paraId="663E0BBF" w14:textId="77777777" w:rsidR="00FC674A" w:rsidRPr="006E3F3A" w:rsidRDefault="00FC674A" w:rsidP="00B94B2A">
      <w:pPr>
        <w:pStyle w:val="11Para"/>
        <w:rPr>
          <w:lang w:val="en-IE"/>
        </w:rPr>
      </w:pPr>
      <w:r w:rsidRPr="006E3F3A">
        <w:rPr>
          <w:lang w:val="en-IE"/>
        </w:rPr>
        <w:t xml:space="preserve">An accurate identification of the </w:t>
      </w:r>
      <w:r w:rsidR="00F15F21" w:rsidRPr="006E3F3A">
        <w:rPr>
          <w:lang w:val="en-IE"/>
        </w:rPr>
        <w:t xml:space="preserve">parasite </w:t>
      </w:r>
      <w:r w:rsidRPr="006E3F3A">
        <w:rPr>
          <w:lang w:val="en-IE"/>
        </w:rPr>
        <w:t xml:space="preserve">species is sometimes desirable, as mixed infections of </w:t>
      </w:r>
      <w:r w:rsidR="003C4A96" w:rsidRPr="006E3F3A">
        <w:rPr>
          <w:i/>
          <w:lang w:val="en-IE"/>
        </w:rPr>
        <w:t xml:space="preserve">T. </w:t>
      </w:r>
      <w:proofErr w:type="spellStart"/>
      <w:r w:rsidR="003C4A96" w:rsidRPr="006E3F3A">
        <w:rPr>
          <w:i/>
          <w:lang w:val="en-IE"/>
        </w:rPr>
        <w:t>equi</w:t>
      </w:r>
      <w:proofErr w:type="spellEnd"/>
      <w:r w:rsidRPr="006E3F3A">
        <w:rPr>
          <w:lang w:val="en-IE"/>
        </w:rPr>
        <w:t xml:space="preserve"> and </w:t>
      </w:r>
      <w:r w:rsidR="00C021CD" w:rsidRPr="006E3F3A">
        <w:rPr>
          <w:i/>
          <w:lang w:val="en-IE"/>
        </w:rPr>
        <w:t>B. </w:t>
      </w:r>
      <w:proofErr w:type="spellStart"/>
      <w:r w:rsidR="00C021CD" w:rsidRPr="006E3F3A">
        <w:rPr>
          <w:i/>
          <w:lang w:val="en-IE"/>
        </w:rPr>
        <w:t>caballi</w:t>
      </w:r>
      <w:proofErr w:type="spellEnd"/>
      <w:r w:rsidRPr="006E3F3A">
        <w:rPr>
          <w:lang w:val="en-IE"/>
        </w:rPr>
        <w:t xml:space="preserve"> probably occur frequently.</w:t>
      </w:r>
    </w:p>
    <w:p w14:paraId="663E0BC0" w14:textId="77777777" w:rsidR="00335546" w:rsidRPr="006E3F3A" w:rsidRDefault="00FC674A" w:rsidP="00B94B2A">
      <w:pPr>
        <w:pStyle w:val="11Para"/>
      </w:pPr>
      <w:r w:rsidRPr="006E3F3A">
        <w:rPr>
          <w:lang w:val="en-IE"/>
        </w:rPr>
        <w:t xml:space="preserve">Identification of equine piroplasmosis in carrier animals by blood smear examination is not only very difficult but also inaccurate and therefore serological methods are preferred (see below). </w:t>
      </w:r>
      <w:r w:rsidR="00F15F21" w:rsidRPr="006E3F3A">
        <w:rPr>
          <w:lang w:val="en-IE"/>
        </w:rPr>
        <w:t>Serological tests h</w:t>
      </w:r>
      <w:r w:rsidRPr="006E3F3A">
        <w:rPr>
          <w:lang w:val="en-IE"/>
        </w:rPr>
        <w:t xml:space="preserve">owever, </w:t>
      </w:r>
      <w:r w:rsidR="00F15F21" w:rsidRPr="006E3F3A">
        <w:rPr>
          <w:lang w:val="en-IE"/>
        </w:rPr>
        <w:t xml:space="preserve">may give </w:t>
      </w:r>
      <w:r w:rsidRPr="006E3F3A">
        <w:rPr>
          <w:lang w:val="en-IE"/>
        </w:rPr>
        <w:t>false-negative or false-positive reactions (</w:t>
      </w:r>
      <w:proofErr w:type="spellStart"/>
      <w:r w:rsidR="00E143C3" w:rsidRPr="006E3F3A">
        <w:rPr>
          <w:lang w:val="en-IE"/>
        </w:rPr>
        <w:t>Tenter</w:t>
      </w:r>
      <w:proofErr w:type="spellEnd"/>
      <w:r w:rsidR="00E143C3" w:rsidRPr="006E3F3A">
        <w:rPr>
          <w:lang w:val="en-IE"/>
        </w:rPr>
        <w:t xml:space="preserve"> &amp; </w:t>
      </w:r>
      <w:proofErr w:type="spellStart"/>
      <w:r w:rsidR="00E143C3" w:rsidRPr="006E3F3A">
        <w:rPr>
          <w:lang w:val="en-IE"/>
        </w:rPr>
        <w:t>Freidhoff</w:t>
      </w:r>
      <w:proofErr w:type="spellEnd"/>
      <w:r w:rsidR="00E143C3" w:rsidRPr="006E3F3A">
        <w:rPr>
          <w:lang w:val="en-IE"/>
        </w:rPr>
        <w:t>, 1986</w:t>
      </w:r>
      <w:r w:rsidRPr="006E3F3A">
        <w:rPr>
          <w:lang w:val="en-IE"/>
        </w:rPr>
        <w:t xml:space="preserve">). </w:t>
      </w:r>
      <w:r w:rsidR="00335546" w:rsidRPr="00726966">
        <w:rPr>
          <w:strike/>
          <w:highlight w:val="yellow"/>
          <w:lang w:val="en-IE"/>
        </w:rPr>
        <w:t xml:space="preserve">In such cases, the </w:t>
      </w:r>
      <w:r w:rsidR="00E8139D" w:rsidRPr="00726966">
        <w:rPr>
          <w:strike/>
          <w:highlight w:val="yellow"/>
          <w:lang w:val="en-IE"/>
        </w:rPr>
        <w:t>passage of whole blood to a naïve horse or tick feeding on a suspect animal has</w:t>
      </w:r>
      <w:r w:rsidR="00335546" w:rsidRPr="00726966">
        <w:rPr>
          <w:strike/>
          <w:highlight w:val="yellow"/>
          <w:lang w:val="en-IE"/>
        </w:rPr>
        <w:t xml:space="preserve"> been </w:t>
      </w:r>
      <w:r w:rsidR="00335546" w:rsidRPr="00726966">
        <w:rPr>
          <w:strike/>
          <w:highlight w:val="yellow"/>
          <w:lang w:val="en-IE"/>
        </w:rPr>
        <w:lastRenderedPageBreak/>
        <w:t xml:space="preserve">suggested </w:t>
      </w:r>
      <w:r w:rsidR="00100909" w:rsidRPr="00726966">
        <w:rPr>
          <w:strike/>
          <w:highlight w:val="yellow"/>
          <w:lang w:val="en-IE"/>
        </w:rPr>
        <w:t>as adjunct diagnostic procedures</w:t>
      </w:r>
      <w:r w:rsidR="00335546" w:rsidRPr="00726966">
        <w:rPr>
          <w:strike/>
          <w:highlight w:val="yellow"/>
          <w:lang w:val="en-IE"/>
        </w:rPr>
        <w:t>. However, these techniques are cumbersome, time-</w:t>
      </w:r>
      <w:r w:rsidR="00100909" w:rsidRPr="00726966">
        <w:rPr>
          <w:strike/>
          <w:highlight w:val="yellow"/>
          <w:lang w:val="en-IE"/>
        </w:rPr>
        <w:t>consuming</w:t>
      </w:r>
      <w:r w:rsidR="00335546" w:rsidRPr="00726966">
        <w:rPr>
          <w:strike/>
          <w:highlight w:val="yellow"/>
          <w:lang w:val="en-IE"/>
        </w:rPr>
        <w:t xml:space="preserve"> and expensive. Furthermo</w:t>
      </w:r>
      <w:r w:rsidR="007556C2" w:rsidRPr="00726966">
        <w:rPr>
          <w:strike/>
          <w:highlight w:val="yellow"/>
          <w:lang w:val="en-IE"/>
        </w:rPr>
        <w:t>r</w:t>
      </w:r>
      <w:r w:rsidR="00335546" w:rsidRPr="00726966">
        <w:rPr>
          <w:strike/>
          <w:highlight w:val="yellow"/>
          <w:lang w:val="en-IE"/>
        </w:rPr>
        <w:t>e</w:t>
      </w:r>
      <w:r w:rsidR="00335546" w:rsidRPr="00726966">
        <w:rPr>
          <w:strike/>
          <w:highlight w:val="yellow"/>
        </w:rPr>
        <w:t xml:space="preserve"> </w:t>
      </w:r>
      <w:r w:rsidR="007E264B" w:rsidRPr="00726966">
        <w:rPr>
          <w:strike/>
          <w:highlight w:val="yellow"/>
        </w:rPr>
        <w:t>and importantly</w:t>
      </w:r>
      <w:r w:rsidR="00F15F21" w:rsidRPr="00726966">
        <w:rPr>
          <w:strike/>
          <w:highlight w:val="yellow"/>
        </w:rPr>
        <w:t>,</w:t>
      </w:r>
      <w:r w:rsidR="007E264B" w:rsidRPr="00726966">
        <w:rPr>
          <w:strike/>
          <w:highlight w:val="yellow"/>
        </w:rPr>
        <w:t xml:space="preserve"> animal welfare concerns must </w:t>
      </w:r>
      <w:r w:rsidR="00F15F21" w:rsidRPr="00726966">
        <w:rPr>
          <w:strike/>
          <w:highlight w:val="yellow"/>
        </w:rPr>
        <w:t xml:space="preserve">be </w:t>
      </w:r>
      <w:r w:rsidR="007E264B" w:rsidRPr="00726966">
        <w:rPr>
          <w:strike/>
          <w:highlight w:val="yellow"/>
        </w:rPr>
        <w:t>weighed against the necessity of the diagnostic information.</w:t>
      </w:r>
    </w:p>
    <w:p w14:paraId="602836B9" w14:textId="204136AF" w:rsidR="00A24C92" w:rsidRPr="00B94B2A" w:rsidRDefault="00A24C92" w:rsidP="00B94B2A">
      <w:pPr>
        <w:pStyle w:val="11"/>
        <w:rPr>
          <w:u w:val="double"/>
          <w:lang w:val="en-IE"/>
        </w:rPr>
      </w:pPr>
      <w:r w:rsidRPr="00B94B2A">
        <w:rPr>
          <w:u w:val="double"/>
          <w:lang w:val="en-IE"/>
        </w:rPr>
        <w:t>1.2</w:t>
      </w:r>
      <w:r w:rsidR="00B94B2A" w:rsidRPr="00B94B2A">
        <w:rPr>
          <w:u w:val="double"/>
          <w:lang w:val="en-IE"/>
        </w:rPr>
        <w:t>.</w:t>
      </w:r>
      <w:r w:rsidR="00B94B2A" w:rsidRPr="00B94B2A">
        <w:rPr>
          <w:u w:val="double"/>
          <w:lang w:val="en-IE"/>
        </w:rPr>
        <w:tab/>
      </w:r>
      <w:r w:rsidRPr="00B94B2A">
        <w:rPr>
          <w:i/>
          <w:iCs/>
          <w:u w:val="double"/>
          <w:lang w:val="en-IE"/>
        </w:rPr>
        <w:t>In</w:t>
      </w:r>
      <w:r w:rsidR="00B94B2A" w:rsidRPr="00B94B2A">
        <w:rPr>
          <w:i/>
          <w:iCs/>
          <w:u w:val="double"/>
          <w:lang w:val="en-IE"/>
        </w:rPr>
        <w:t>-</w:t>
      </w:r>
      <w:r w:rsidRPr="00B94B2A">
        <w:rPr>
          <w:i/>
          <w:iCs/>
          <w:u w:val="double"/>
          <w:lang w:val="en-IE"/>
        </w:rPr>
        <w:t>vitro</w:t>
      </w:r>
      <w:r w:rsidRPr="00B94B2A">
        <w:rPr>
          <w:u w:val="double"/>
          <w:lang w:val="en-IE"/>
        </w:rPr>
        <w:t xml:space="preserve"> culture</w:t>
      </w:r>
    </w:p>
    <w:p w14:paraId="663E0BC1" w14:textId="17C449A2" w:rsidR="00FC674A" w:rsidRPr="006E3F3A" w:rsidRDefault="00FC674A" w:rsidP="00B94B2A">
      <w:pPr>
        <w:pStyle w:val="11Para"/>
        <w:rPr>
          <w:lang w:val="en-IE"/>
        </w:rPr>
      </w:pPr>
      <w:r w:rsidRPr="006E3F3A">
        <w:rPr>
          <w:lang w:val="en-IE"/>
        </w:rPr>
        <w:t xml:space="preserve">Success in the establishment of </w:t>
      </w:r>
      <w:r w:rsidRPr="006E3F3A">
        <w:rPr>
          <w:i/>
          <w:lang w:val="en-IE"/>
        </w:rPr>
        <w:t xml:space="preserve">in-vitro </w:t>
      </w:r>
      <w:r w:rsidRPr="006E3F3A">
        <w:rPr>
          <w:lang w:val="en-IE"/>
        </w:rPr>
        <w:t xml:space="preserve">cultures of </w:t>
      </w:r>
      <w:r w:rsidR="003C4A96" w:rsidRPr="006E3F3A">
        <w:rPr>
          <w:i/>
          <w:lang w:val="en-IE"/>
        </w:rPr>
        <w:t xml:space="preserve">T. </w:t>
      </w:r>
      <w:proofErr w:type="spellStart"/>
      <w:r w:rsidR="003C4A96" w:rsidRPr="006E3F3A">
        <w:rPr>
          <w:i/>
          <w:lang w:val="en-IE"/>
        </w:rPr>
        <w:t>equi</w:t>
      </w:r>
      <w:proofErr w:type="spellEnd"/>
      <w:r w:rsidRPr="006E3F3A">
        <w:rPr>
          <w:i/>
          <w:lang w:val="en-IE"/>
        </w:rPr>
        <w:t xml:space="preserve"> </w:t>
      </w:r>
      <w:r w:rsidRPr="006E3F3A">
        <w:rPr>
          <w:lang w:val="en-IE"/>
        </w:rPr>
        <w:t xml:space="preserve">and </w:t>
      </w:r>
      <w:r w:rsidR="00C021CD" w:rsidRPr="006E3F3A">
        <w:rPr>
          <w:i/>
          <w:lang w:val="en-IE"/>
        </w:rPr>
        <w:t>B. </w:t>
      </w:r>
      <w:proofErr w:type="spellStart"/>
      <w:r w:rsidR="00C021CD" w:rsidRPr="006E3F3A">
        <w:rPr>
          <w:i/>
          <w:lang w:val="en-IE"/>
        </w:rPr>
        <w:t>caballi</w:t>
      </w:r>
      <w:proofErr w:type="spellEnd"/>
      <w:r w:rsidRPr="006E3F3A">
        <w:rPr>
          <w:i/>
          <w:lang w:val="en-IE"/>
        </w:rPr>
        <w:t xml:space="preserve"> </w:t>
      </w:r>
      <w:r w:rsidRPr="006E3F3A">
        <w:rPr>
          <w:lang w:val="en-IE"/>
        </w:rPr>
        <w:t xml:space="preserve">may be one alternative to supplement the methods described above, in order to identify carriers of the parasites. </w:t>
      </w:r>
      <w:r w:rsidRPr="006E3F3A">
        <w:rPr>
          <w:i/>
          <w:lang w:val="en-IE"/>
        </w:rPr>
        <w:t xml:space="preserve">Babesia </w:t>
      </w:r>
      <w:proofErr w:type="spellStart"/>
      <w:r w:rsidRPr="006E3F3A">
        <w:rPr>
          <w:i/>
          <w:lang w:val="en-IE"/>
        </w:rPr>
        <w:t>caballi</w:t>
      </w:r>
      <w:proofErr w:type="spellEnd"/>
      <w:r w:rsidRPr="006E3F3A">
        <w:rPr>
          <w:i/>
          <w:lang w:val="en-IE"/>
        </w:rPr>
        <w:t xml:space="preserve"> </w:t>
      </w:r>
      <w:r w:rsidRPr="006E3F3A">
        <w:rPr>
          <w:lang w:val="en-IE"/>
        </w:rPr>
        <w:t xml:space="preserve">parasites were successfully cultured from the blood of two horses that tested negative by the complement fixation </w:t>
      </w:r>
      <w:r w:rsidR="0045050E" w:rsidRPr="006E3F3A">
        <w:rPr>
          <w:lang w:val="en-IE"/>
        </w:rPr>
        <w:t xml:space="preserve">test </w:t>
      </w:r>
      <w:r w:rsidRPr="006E3F3A">
        <w:rPr>
          <w:lang w:val="en-IE"/>
        </w:rPr>
        <w:t>(CF</w:t>
      </w:r>
      <w:r w:rsidR="0045050E">
        <w:rPr>
          <w:lang w:val="en-IE"/>
        </w:rPr>
        <w:t>T</w:t>
      </w:r>
      <w:r w:rsidRPr="006E3F3A">
        <w:rPr>
          <w:lang w:val="en-IE"/>
        </w:rPr>
        <w:t>) (</w:t>
      </w:r>
      <w:r w:rsidR="00E565F4" w:rsidRPr="006E3F3A">
        <w:rPr>
          <w:lang w:val="en-IE"/>
        </w:rPr>
        <w:t xml:space="preserve">Holman </w:t>
      </w:r>
      <w:r w:rsidR="009F5073" w:rsidRPr="006E3F3A">
        <w:rPr>
          <w:i/>
          <w:lang w:val="en-IE"/>
        </w:rPr>
        <w:t>et al</w:t>
      </w:r>
      <w:r w:rsidR="00E565F4" w:rsidRPr="006E3F3A">
        <w:rPr>
          <w:lang w:val="en-IE"/>
        </w:rPr>
        <w:t>., 1993</w:t>
      </w:r>
      <w:r w:rsidRPr="006E3F3A">
        <w:rPr>
          <w:lang w:val="en-IE"/>
        </w:rPr>
        <w:t xml:space="preserve">). Similarly, </w:t>
      </w:r>
      <w:r w:rsidR="003C4A96" w:rsidRPr="006E3F3A">
        <w:rPr>
          <w:i/>
          <w:lang w:val="en-IE"/>
        </w:rPr>
        <w:t xml:space="preserve">T. </w:t>
      </w:r>
      <w:proofErr w:type="spellStart"/>
      <w:r w:rsidR="003C4A96" w:rsidRPr="006E3F3A">
        <w:rPr>
          <w:i/>
          <w:lang w:val="en-IE"/>
        </w:rPr>
        <w:t>equi</w:t>
      </w:r>
      <w:proofErr w:type="spellEnd"/>
      <w:r w:rsidRPr="006E3F3A">
        <w:rPr>
          <w:i/>
          <w:lang w:val="en-IE"/>
        </w:rPr>
        <w:t xml:space="preserve"> </w:t>
      </w:r>
      <w:r w:rsidRPr="006E3F3A">
        <w:rPr>
          <w:lang w:val="en-IE"/>
        </w:rPr>
        <w:t>could be cultured from horses that did not show any patent parasitaemia at the time of the initiation of the cultures (</w:t>
      </w:r>
      <w:proofErr w:type="spellStart"/>
      <w:r w:rsidR="00291CD5" w:rsidRPr="006E3F3A">
        <w:rPr>
          <w:lang w:val="en-IE"/>
        </w:rPr>
        <w:t>Zweygarth</w:t>
      </w:r>
      <w:proofErr w:type="spellEnd"/>
      <w:r w:rsidR="00291CD5" w:rsidRPr="006E3F3A">
        <w:rPr>
          <w:lang w:val="en-IE"/>
        </w:rPr>
        <w:t xml:space="preserve"> </w:t>
      </w:r>
      <w:r w:rsidR="009F5073" w:rsidRPr="006E3F3A">
        <w:rPr>
          <w:i/>
          <w:lang w:val="en-IE"/>
        </w:rPr>
        <w:t>et al</w:t>
      </w:r>
      <w:r w:rsidR="00291CD5" w:rsidRPr="006E3F3A">
        <w:rPr>
          <w:lang w:val="en-IE"/>
        </w:rPr>
        <w:t>., 1997</w:t>
      </w:r>
      <w:r w:rsidRPr="006E3F3A">
        <w:rPr>
          <w:lang w:val="en-IE"/>
        </w:rPr>
        <w:t>).</w:t>
      </w:r>
      <w:r w:rsidR="001D51FB" w:rsidRPr="006E3F3A">
        <w:rPr>
          <w:lang w:val="en-IE"/>
        </w:rPr>
        <w:t xml:space="preserve"> </w:t>
      </w:r>
      <w:r w:rsidR="00705FE2" w:rsidRPr="00726966">
        <w:rPr>
          <w:highlight w:val="yellow"/>
          <w:u w:val="double"/>
          <w:lang w:val="en-IE"/>
        </w:rPr>
        <w:t>This technique is largely superseded by molecular methods</w:t>
      </w:r>
      <w:r w:rsidR="00E95087" w:rsidRPr="00726966">
        <w:rPr>
          <w:highlight w:val="yellow"/>
          <w:u w:val="double"/>
          <w:lang w:val="en-IE"/>
        </w:rPr>
        <w:t>.</w:t>
      </w:r>
    </w:p>
    <w:p w14:paraId="2E9BB82F" w14:textId="7C8611FF" w:rsidR="00A24C92" w:rsidRPr="00B94B2A" w:rsidRDefault="00A24C92" w:rsidP="00B94B2A">
      <w:pPr>
        <w:pStyle w:val="11"/>
        <w:rPr>
          <w:u w:val="double"/>
        </w:rPr>
      </w:pPr>
      <w:r w:rsidRPr="00B94B2A">
        <w:rPr>
          <w:u w:val="double"/>
        </w:rPr>
        <w:t>1.3</w:t>
      </w:r>
      <w:r w:rsidR="00B94B2A" w:rsidRPr="00B94B2A">
        <w:rPr>
          <w:u w:val="double"/>
        </w:rPr>
        <w:t>.</w:t>
      </w:r>
      <w:r w:rsidR="00B94B2A" w:rsidRPr="00B94B2A">
        <w:rPr>
          <w:u w:val="double"/>
        </w:rPr>
        <w:tab/>
      </w:r>
      <w:r w:rsidRPr="00B94B2A">
        <w:rPr>
          <w:u w:val="double"/>
        </w:rPr>
        <w:t>Molecular methods</w:t>
      </w:r>
    </w:p>
    <w:p w14:paraId="663E0BC2" w14:textId="30289F12" w:rsidR="00FC674A" w:rsidRPr="006E3F3A" w:rsidRDefault="00FC674A" w:rsidP="00B94B2A">
      <w:pPr>
        <w:pStyle w:val="11Para"/>
        <w:rPr>
          <w:lang w:val="en-IE"/>
        </w:rPr>
      </w:pPr>
      <w:r w:rsidRPr="006E3F3A">
        <w:rPr>
          <w:lang w:val="en-IE"/>
        </w:rPr>
        <w:t xml:space="preserve">Molecular techniques for the detection of </w:t>
      </w:r>
      <w:r w:rsidR="003C4A96" w:rsidRPr="006E3F3A">
        <w:rPr>
          <w:i/>
          <w:lang w:val="en-IE"/>
        </w:rPr>
        <w:t xml:space="preserve">T. </w:t>
      </w:r>
      <w:proofErr w:type="spellStart"/>
      <w:r w:rsidR="003C4A96" w:rsidRPr="006E3F3A">
        <w:rPr>
          <w:i/>
          <w:lang w:val="en-IE"/>
        </w:rPr>
        <w:t>equi</w:t>
      </w:r>
      <w:proofErr w:type="spellEnd"/>
      <w:r w:rsidRPr="006E3F3A">
        <w:rPr>
          <w:i/>
          <w:lang w:val="en-IE"/>
        </w:rPr>
        <w:t xml:space="preserve"> </w:t>
      </w:r>
      <w:r w:rsidRPr="006E3F3A">
        <w:rPr>
          <w:lang w:val="en-IE"/>
        </w:rPr>
        <w:t xml:space="preserve">and </w:t>
      </w:r>
      <w:r w:rsidR="00C021CD" w:rsidRPr="006E3F3A">
        <w:rPr>
          <w:i/>
          <w:lang w:val="en-IE"/>
        </w:rPr>
        <w:t>B. </w:t>
      </w:r>
      <w:proofErr w:type="spellStart"/>
      <w:r w:rsidR="00C021CD" w:rsidRPr="006E3F3A">
        <w:rPr>
          <w:i/>
          <w:lang w:val="en-IE"/>
        </w:rPr>
        <w:t>caballi</w:t>
      </w:r>
      <w:proofErr w:type="spellEnd"/>
      <w:r w:rsidRPr="006E3F3A">
        <w:rPr>
          <w:i/>
          <w:lang w:val="en-IE"/>
        </w:rPr>
        <w:t xml:space="preserve"> </w:t>
      </w:r>
      <w:r w:rsidRPr="006E3F3A">
        <w:rPr>
          <w:lang w:val="en-IE"/>
        </w:rPr>
        <w:t xml:space="preserve">have been described. These methods are based on species-specific </w:t>
      </w:r>
      <w:r w:rsidR="00BA13FE" w:rsidRPr="006E3F3A">
        <w:rPr>
          <w:lang w:val="en-IE"/>
        </w:rPr>
        <w:t>polymerase chain reaction (</w:t>
      </w:r>
      <w:r w:rsidRPr="006E3F3A">
        <w:rPr>
          <w:lang w:val="en-IE"/>
        </w:rPr>
        <w:t>PCR</w:t>
      </w:r>
      <w:r w:rsidR="00BA13FE" w:rsidRPr="006E3F3A">
        <w:rPr>
          <w:lang w:val="en-IE"/>
        </w:rPr>
        <w:t>)</w:t>
      </w:r>
      <w:r w:rsidRPr="006E3F3A">
        <w:rPr>
          <w:lang w:val="en-IE"/>
        </w:rPr>
        <w:t xml:space="preserve"> assays, which mainly target the 1</w:t>
      </w:r>
      <w:r w:rsidR="00EE2346" w:rsidRPr="006E3F3A">
        <w:rPr>
          <w:color w:val="000000" w:themeColor="text1"/>
          <w:lang w:val="en-IE"/>
        </w:rPr>
        <w:t>8</w:t>
      </w:r>
      <w:r w:rsidRPr="006E3F3A">
        <w:rPr>
          <w:lang w:val="en-IE"/>
        </w:rPr>
        <w:t>S rRNA gene</w:t>
      </w:r>
      <w:r w:rsidRPr="00FD2D2A">
        <w:rPr>
          <w:strike/>
          <w:lang w:val="en-IE"/>
        </w:rPr>
        <w:t xml:space="preserve"> (</w:t>
      </w:r>
      <w:proofErr w:type="spellStart"/>
      <w:r w:rsidR="00E565F4" w:rsidRPr="00FD2D2A">
        <w:rPr>
          <w:strike/>
          <w:lang w:val="en-IE"/>
        </w:rPr>
        <w:t>Criado-Fornelio</w:t>
      </w:r>
      <w:proofErr w:type="spellEnd"/>
      <w:r w:rsidR="00E565F4" w:rsidRPr="00FD2D2A">
        <w:rPr>
          <w:strike/>
          <w:lang w:val="en-IE"/>
        </w:rPr>
        <w:t xml:space="preserve"> </w:t>
      </w:r>
      <w:r w:rsidR="009F5073" w:rsidRPr="00FD2D2A">
        <w:rPr>
          <w:i/>
          <w:strike/>
          <w:lang w:val="en-IE"/>
        </w:rPr>
        <w:t>et al</w:t>
      </w:r>
      <w:r w:rsidR="00E565F4" w:rsidRPr="00FD2D2A">
        <w:rPr>
          <w:strike/>
          <w:lang w:val="en-IE"/>
        </w:rPr>
        <w:t>., 2003</w:t>
      </w:r>
      <w:r w:rsidRPr="00FD2D2A">
        <w:rPr>
          <w:strike/>
          <w:lang w:val="en-IE"/>
        </w:rPr>
        <w:t>)</w:t>
      </w:r>
      <w:r w:rsidRPr="006E3F3A">
        <w:rPr>
          <w:lang w:val="en-IE"/>
        </w:rPr>
        <w:t xml:space="preserve">. </w:t>
      </w:r>
      <w:r w:rsidR="00FD2D2A" w:rsidRPr="00FD2D2A">
        <w:rPr>
          <w:u w:val="double"/>
          <w:lang w:val="en-IE"/>
        </w:rPr>
        <w:t xml:space="preserve">PCR assays for the specific detection of </w:t>
      </w:r>
      <w:r w:rsidR="00FD2D2A" w:rsidRPr="00FD2D2A">
        <w:rPr>
          <w:i/>
          <w:u w:val="double"/>
          <w:lang w:val="en-IE"/>
        </w:rPr>
        <w:t>T</w:t>
      </w:r>
      <w:r w:rsidR="00FD2D2A" w:rsidRPr="00FD2D2A">
        <w:rPr>
          <w:u w:val="double"/>
          <w:lang w:val="en-IE"/>
        </w:rPr>
        <w:t xml:space="preserve">. </w:t>
      </w:r>
      <w:proofErr w:type="spellStart"/>
      <w:r w:rsidR="00FD2D2A" w:rsidRPr="00FD2D2A">
        <w:rPr>
          <w:i/>
          <w:u w:val="double"/>
          <w:lang w:val="en-IE"/>
        </w:rPr>
        <w:t>equi</w:t>
      </w:r>
      <w:proofErr w:type="spellEnd"/>
      <w:r w:rsidR="00FD2D2A" w:rsidRPr="00FD2D2A">
        <w:rPr>
          <w:u w:val="double"/>
          <w:lang w:val="en-IE"/>
        </w:rPr>
        <w:t xml:space="preserve"> (forward primer: CAT</w:t>
      </w:r>
      <w:r w:rsidR="00FD2D2A">
        <w:rPr>
          <w:u w:val="double"/>
          <w:lang w:val="en-IE"/>
        </w:rPr>
        <w:t>-</w:t>
      </w:r>
      <w:r w:rsidR="00FD2D2A" w:rsidRPr="00FD2D2A">
        <w:rPr>
          <w:u w:val="double"/>
          <w:lang w:val="en-IE"/>
        </w:rPr>
        <w:t>CGT</w:t>
      </w:r>
      <w:r w:rsidR="00FD2D2A">
        <w:rPr>
          <w:u w:val="double"/>
          <w:lang w:val="en-IE"/>
        </w:rPr>
        <w:t>-</w:t>
      </w:r>
      <w:r w:rsidR="00FD2D2A" w:rsidRPr="00FD2D2A">
        <w:rPr>
          <w:u w:val="double"/>
          <w:lang w:val="en-IE"/>
        </w:rPr>
        <w:t>TGC</w:t>
      </w:r>
      <w:r w:rsidR="00FD2D2A">
        <w:rPr>
          <w:u w:val="double"/>
          <w:lang w:val="en-IE"/>
        </w:rPr>
        <w:t>-</w:t>
      </w:r>
      <w:r w:rsidR="00FD2D2A" w:rsidRPr="00FD2D2A">
        <w:rPr>
          <w:u w:val="double"/>
          <w:lang w:val="en-IE"/>
        </w:rPr>
        <w:t>GGC</w:t>
      </w:r>
      <w:r w:rsidR="00FD2D2A">
        <w:rPr>
          <w:u w:val="double"/>
          <w:lang w:val="en-IE"/>
        </w:rPr>
        <w:t>-</w:t>
      </w:r>
      <w:r w:rsidR="00FD2D2A" w:rsidRPr="00FD2D2A">
        <w:rPr>
          <w:u w:val="double"/>
          <w:lang w:val="en-IE"/>
        </w:rPr>
        <w:t>TTG</w:t>
      </w:r>
      <w:r w:rsidR="00FD2D2A">
        <w:rPr>
          <w:u w:val="double"/>
          <w:lang w:val="en-IE"/>
        </w:rPr>
        <w:t>-</w:t>
      </w:r>
      <w:r w:rsidR="00FD2D2A" w:rsidRPr="00FD2D2A">
        <w:rPr>
          <w:u w:val="double"/>
          <w:lang w:val="en-IE"/>
        </w:rPr>
        <w:t>GTT</w:t>
      </w:r>
      <w:r w:rsidR="00FD2D2A">
        <w:rPr>
          <w:u w:val="double"/>
          <w:lang w:val="en-IE"/>
        </w:rPr>
        <w:t>-</w:t>
      </w:r>
      <w:r w:rsidR="00FD2D2A" w:rsidRPr="00FD2D2A">
        <w:rPr>
          <w:u w:val="double"/>
          <w:lang w:val="en-IE"/>
        </w:rPr>
        <w:t>GG; reverse primer: CCA</w:t>
      </w:r>
      <w:r w:rsidR="00FD2D2A">
        <w:rPr>
          <w:u w:val="double"/>
          <w:lang w:val="en-IE"/>
        </w:rPr>
        <w:t>-</w:t>
      </w:r>
      <w:r w:rsidR="00FD2D2A" w:rsidRPr="00FD2D2A">
        <w:rPr>
          <w:u w:val="double"/>
          <w:lang w:val="en-IE"/>
        </w:rPr>
        <w:t>AGT</w:t>
      </w:r>
      <w:r w:rsidR="00FD2D2A">
        <w:rPr>
          <w:u w:val="double"/>
          <w:lang w:val="en-IE"/>
        </w:rPr>
        <w:t>-</w:t>
      </w:r>
      <w:r w:rsidR="00FD2D2A" w:rsidRPr="00FD2D2A">
        <w:rPr>
          <w:u w:val="double"/>
          <w:lang w:val="en-IE"/>
        </w:rPr>
        <w:t>CTC</w:t>
      </w:r>
      <w:r w:rsidR="00FD2D2A">
        <w:rPr>
          <w:u w:val="double"/>
          <w:lang w:val="en-IE"/>
        </w:rPr>
        <w:t>-</w:t>
      </w:r>
      <w:r w:rsidR="00FD2D2A" w:rsidRPr="00FD2D2A">
        <w:rPr>
          <w:u w:val="double"/>
          <w:lang w:val="en-IE"/>
        </w:rPr>
        <w:t>ACA</w:t>
      </w:r>
      <w:r w:rsidR="00FD2D2A">
        <w:rPr>
          <w:u w:val="double"/>
          <w:lang w:val="en-IE"/>
        </w:rPr>
        <w:t>-</w:t>
      </w:r>
      <w:r w:rsidR="00FD2D2A" w:rsidRPr="00FD2D2A">
        <w:rPr>
          <w:u w:val="double"/>
          <w:lang w:val="en-IE"/>
        </w:rPr>
        <w:t>CCC</w:t>
      </w:r>
      <w:r w:rsidR="00FD2D2A">
        <w:rPr>
          <w:u w:val="double"/>
          <w:lang w:val="en-IE"/>
        </w:rPr>
        <w:t>-</w:t>
      </w:r>
      <w:r w:rsidR="00FD2D2A" w:rsidRPr="00FD2D2A">
        <w:rPr>
          <w:u w:val="double"/>
          <w:lang w:val="en-IE"/>
        </w:rPr>
        <w:t>TAT</w:t>
      </w:r>
      <w:r w:rsidR="00FD2D2A">
        <w:rPr>
          <w:u w:val="double"/>
          <w:lang w:val="en-IE"/>
        </w:rPr>
        <w:t>-</w:t>
      </w:r>
      <w:r w:rsidR="00FD2D2A" w:rsidRPr="00FD2D2A">
        <w:rPr>
          <w:u w:val="double"/>
          <w:lang w:val="en-IE"/>
        </w:rPr>
        <w:t xml:space="preserve">TT) and </w:t>
      </w:r>
      <w:r w:rsidR="00FD2D2A" w:rsidRPr="00FD2D2A">
        <w:rPr>
          <w:i/>
          <w:u w:val="double"/>
          <w:lang w:val="en-IE"/>
        </w:rPr>
        <w:t>B</w:t>
      </w:r>
      <w:r w:rsidR="00FD2D2A" w:rsidRPr="00FD2D2A">
        <w:rPr>
          <w:u w:val="double"/>
          <w:lang w:val="en-IE"/>
        </w:rPr>
        <w:t>.</w:t>
      </w:r>
      <w:r w:rsidR="00FD2D2A">
        <w:rPr>
          <w:u w:val="double"/>
          <w:lang w:val="en-IE"/>
        </w:rPr>
        <w:t> </w:t>
      </w:r>
      <w:proofErr w:type="spellStart"/>
      <w:r w:rsidR="00FD2D2A" w:rsidRPr="00FD2D2A">
        <w:rPr>
          <w:i/>
          <w:u w:val="double"/>
          <w:lang w:val="en-IE"/>
        </w:rPr>
        <w:t>caballi</w:t>
      </w:r>
      <w:proofErr w:type="spellEnd"/>
      <w:r w:rsidR="00FD2D2A" w:rsidRPr="00FD2D2A">
        <w:rPr>
          <w:u w:val="double"/>
          <w:lang w:val="en-IE"/>
        </w:rPr>
        <w:t xml:space="preserve"> (forward primer: TTC</w:t>
      </w:r>
      <w:r w:rsidR="00FD2D2A">
        <w:rPr>
          <w:u w:val="double"/>
          <w:lang w:val="en-IE"/>
        </w:rPr>
        <w:t>-</w:t>
      </w:r>
      <w:r w:rsidR="00FD2D2A" w:rsidRPr="00FD2D2A">
        <w:rPr>
          <w:u w:val="double"/>
          <w:lang w:val="en-IE"/>
        </w:rPr>
        <w:t>GCT</w:t>
      </w:r>
      <w:r w:rsidR="00FD2D2A">
        <w:rPr>
          <w:u w:val="double"/>
          <w:lang w:val="en-IE"/>
        </w:rPr>
        <w:t>-</w:t>
      </w:r>
      <w:r w:rsidR="00FD2D2A" w:rsidRPr="00FD2D2A">
        <w:rPr>
          <w:u w:val="double"/>
          <w:lang w:val="en-IE"/>
        </w:rPr>
        <w:t>TCG</w:t>
      </w:r>
      <w:r w:rsidR="00FD2D2A">
        <w:rPr>
          <w:u w:val="double"/>
          <w:lang w:val="en-IE"/>
        </w:rPr>
        <w:t>-</w:t>
      </w:r>
      <w:r w:rsidR="00FD2D2A" w:rsidRPr="00FD2D2A">
        <w:rPr>
          <w:u w:val="double"/>
          <w:lang w:val="en-IE"/>
        </w:rPr>
        <w:t>CTT</w:t>
      </w:r>
      <w:r w:rsidR="00FD2D2A">
        <w:rPr>
          <w:u w:val="double"/>
          <w:lang w:val="en-IE"/>
        </w:rPr>
        <w:t>-</w:t>
      </w:r>
      <w:r w:rsidR="00FD2D2A" w:rsidRPr="00FD2D2A">
        <w:rPr>
          <w:u w:val="double"/>
          <w:lang w:val="en-IE"/>
        </w:rPr>
        <w:t>TTT</w:t>
      </w:r>
      <w:r w:rsidR="00FD2D2A">
        <w:rPr>
          <w:u w:val="double"/>
          <w:lang w:val="en-IE"/>
        </w:rPr>
        <w:t>-</w:t>
      </w:r>
      <w:r w:rsidR="00FD2D2A" w:rsidRPr="00FD2D2A">
        <w:rPr>
          <w:u w:val="double"/>
          <w:lang w:val="en-IE"/>
        </w:rPr>
        <w:t>GTT</w:t>
      </w:r>
      <w:r w:rsidR="00FD2D2A">
        <w:rPr>
          <w:u w:val="double"/>
          <w:lang w:val="en-IE"/>
        </w:rPr>
        <w:t>-</w:t>
      </w:r>
      <w:r w:rsidR="00FD2D2A" w:rsidRPr="00FD2D2A">
        <w:rPr>
          <w:u w:val="double"/>
          <w:lang w:val="en-IE"/>
        </w:rPr>
        <w:t>TTT</w:t>
      </w:r>
      <w:r w:rsidR="00FD2D2A">
        <w:rPr>
          <w:u w:val="double"/>
          <w:lang w:val="en-IE"/>
        </w:rPr>
        <w:t>-</w:t>
      </w:r>
      <w:r w:rsidR="00FD2D2A" w:rsidRPr="00FD2D2A">
        <w:rPr>
          <w:u w:val="double"/>
          <w:lang w:val="en-IE"/>
        </w:rPr>
        <w:t>ACT; reverse primer: GTC</w:t>
      </w:r>
      <w:r w:rsidR="00FD2D2A">
        <w:rPr>
          <w:u w:val="double"/>
          <w:lang w:val="en-IE"/>
        </w:rPr>
        <w:t>-</w:t>
      </w:r>
      <w:r w:rsidR="00FD2D2A" w:rsidRPr="00FD2D2A">
        <w:rPr>
          <w:u w:val="double"/>
          <w:lang w:val="en-IE"/>
        </w:rPr>
        <w:t>CCT</w:t>
      </w:r>
      <w:r w:rsidR="00FD2D2A">
        <w:rPr>
          <w:u w:val="double"/>
          <w:lang w:val="en-IE"/>
        </w:rPr>
        <w:t>-</w:t>
      </w:r>
      <w:r w:rsidR="00FD2D2A" w:rsidRPr="00FD2D2A">
        <w:rPr>
          <w:u w:val="double"/>
          <w:lang w:val="en-IE"/>
        </w:rPr>
        <w:t>CTA</w:t>
      </w:r>
      <w:r w:rsidR="00FD2D2A">
        <w:rPr>
          <w:u w:val="double"/>
          <w:lang w:val="en-IE"/>
        </w:rPr>
        <w:t>-</w:t>
      </w:r>
      <w:r w:rsidR="00FD2D2A" w:rsidRPr="00FD2D2A">
        <w:rPr>
          <w:u w:val="double"/>
          <w:lang w:val="en-IE"/>
        </w:rPr>
        <w:t>AGA</w:t>
      </w:r>
      <w:r w:rsidR="00FD2D2A">
        <w:rPr>
          <w:u w:val="double"/>
          <w:lang w:val="en-IE"/>
        </w:rPr>
        <w:t>-</w:t>
      </w:r>
      <w:r w:rsidR="00FD2D2A" w:rsidRPr="00FD2D2A">
        <w:rPr>
          <w:u w:val="double"/>
          <w:lang w:val="en-IE"/>
        </w:rPr>
        <w:t>AGC</w:t>
      </w:r>
      <w:r w:rsidR="00FD2D2A">
        <w:rPr>
          <w:u w:val="double"/>
          <w:lang w:val="en-IE"/>
        </w:rPr>
        <w:t>-</w:t>
      </w:r>
      <w:r w:rsidR="00FD2D2A" w:rsidRPr="00FD2D2A">
        <w:rPr>
          <w:u w:val="double"/>
          <w:lang w:val="en-IE"/>
        </w:rPr>
        <w:t>AAA</w:t>
      </w:r>
      <w:r w:rsidR="00FD2D2A">
        <w:rPr>
          <w:u w:val="double"/>
          <w:lang w:val="en-IE"/>
        </w:rPr>
        <w:t>-</w:t>
      </w:r>
      <w:r w:rsidR="00FD2D2A" w:rsidRPr="00FD2D2A">
        <w:rPr>
          <w:u w:val="double"/>
          <w:lang w:val="en-IE"/>
        </w:rPr>
        <w:t>CCC</w:t>
      </w:r>
      <w:r w:rsidR="00FD2D2A">
        <w:rPr>
          <w:u w:val="double"/>
          <w:lang w:val="en-IE"/>
        </w:rPr>
        <w:t>-</w:t>
      </w:r>
      <w:r w:rsidR="00FD2D2A" w:rsidRPr="00FD2D2A">
        <w:rPr>
          <w:u w:val="double"/>
          <w:lang w:val="en-IE"/>
        </w:rPr>
        <w:t>AA) based on the 18S rRNA gene have previously been described (</w:t>
      </w:r>
      <w:proofErr w:type="spellStart"/>
      <w:r w:rsidR="00FD2D2A" w:rsidRPr="00FD2D2A">
        <w:rPr>
          <w:u w:val="double"/>
          <w:lang w:val="en-IE"/>
        </w:rPr>
        <w:t>Bashiruddin</w:t>
      </w:r>
      <w:proofErr w:type="spellEnd"/>
      <w:r w:rsidR="00FD2D2A" w:rsidRPr="00FD2D2A">
        <w:rPr>
          <w:u w:val="double"/>
          <w:lang w:val="en-IE"/>
        </w:rPr>
        <w:t xml:space="preserve"> </w:t>
      </w:r>
      <w:r w:rsidR="00FD2D2A" w:rsidRPr="00FD2D2A">
        <w:rPr>
          <w:i/>
          <w:u w:val="double"/>
          <w:lang w:val="en-IE"/>
        </w:rPr>
        <w:t>et al.,</w:t>
      </w:r>
      <w:r w:rsidR="00FD2D2A" w:rsidRPr="00FD2D2A">
        <w:rPr>
          <w:u w:val="double"/>
          <w:lang w:val="en-IE"/>
        </w:rPr>
        <w:t xml:space="preserve"> 1999).</w:t>
      </w:r>
      <w:r w:rsidR="00FD2D2A" w:rsidRPr="00FD2D2A">
        <w:rPr>
          <w:rFonts w:eastAsiaTheme="minorEastAsia" w:hint="eastAsia"/>
          <w:u w:val="double"/>
          <w:lang w:val="en-IE" w:eastAsia="ja-JP"/>
        </w:rPr>
        <w:t xml:space="preserve"> </w:t>
      </w:r>
      <w:r w:rsidR="00FD2D2A" w:rsidRPr="00FD2D2A">
        <w:rPr>
          <w:rFonts w:eastAsiaTheme="minorEastAsia"/>
          <w:u w:val="double"/>
          <w:lang w:val="en-IE" w:eastAsia="ja-JP"/>
        </w:rPr>
        <w:t xml:space="preserve">In </w:t>
      </w:r>
      <w:r w:rsidR="008F3233">
        <w:rPr>
          <w:rFonts w:eastAsiaTheme="minorEastAsia"/>
          <w:u w:val="double"/>
          <w:lang w:val="en-IE" w:eastAsia="ja-JP"/>
        </w:rPr>
        <w:t>one</w:t>
      </w:r>
      <w:r w:rsidR="00FD2D2A" w:rsidRPr="00FD2D2A">
        <w:rPr>
          <w:rFonts w:eastAsiaTheme="minorEastAsia"/>
          <w:u w:val="double"/>
          <w:lang w:val="en-IE" w:eastAsia="ja-JP"/>
        </w:rPr>
        <w:t xml:space="preserve"> 18S rRNA-based multiplex PCR, 3 primers including a common forward primer for both </w:t>
      </w:r>
      <w:r w:rsidR="00FD2D2A" w:rsidRPr="00FD2D2A">
        <w:rPr>
          <w:i/>
          <w:u w:val="double"/>
          <w:lang w:val="en-IE"/>
        </w:rPr>
        <w:t>T</w:t>
      </w:r>
      <w:r w:rsidR="00FD2D2A" w:rsidRPr="00FD2D2A">
        <w:rPr>
          <w:u w:val="double"/>
          <w:lang w:val="en-IE"/>
        </w:rPr>
        <w:t xml:space="preserve">. </w:t>
      </w:r>
      <w:proofErr w:type="spellStart"/>
      <w:r w:rsidR="00FD2D2A" w:rsidRPr="00FD2D2A">
        <w:rPr>
          <w:i/>
          <w:u w:val="double"/>
          <w:lang w:val="en-IE"/>
        </w:rPr>
        <w:t>equi</w:t>
      </w:r>
      <w:proofErr w:type="spellEnd"/>
      <w:r w:rsidR="00FD2D2A" w:rsidRPr="00FD2D2A">
        <w:rPr>
          <w:rFonts w:eastAsiaTheme="minorEastAsia"/>
          <w:u w:val="double"/>
          <w:lang w:val="en-IE" w:eastAsia="ja-JP"/>
        </w:rPr>
        <w:t xml:space="preserve"> and </w:t>
      </w:r>
      <w:r w:rsidR="00FD2D2A" w:rsidRPr="00FD2D2A">
        <w:rPr>
          <w:i/>
          <w:u w:val="double"/>
          <w:lang w:val="en-IE"/>
        </w:rPr>
        <w:t>B</w:t>
      </w:r>
      <w:r w:rsidR="00FD2D2A" w:rsidRPr="00FD2D2A">
        <w:rPr>
          <w:u w:val="double"/>
          <w:lang w:val="en-IE"/>
        </w:rPr>
        <w:t xml:space="preserve">. </w:t>
      </w:r>
      <w:proofErr w:type="spellStart"/>
      <w:r w:rsidR="00FD2D2A" w:rsidRPr="00FD2D2A">
        <w:rPr>
          <w:i/>
          <w:u w:val="double"/>
          <w:lang w:val="en-IE"/>
        </w:rPr>
        <w:t>caballi</w:t>
      </w:r>
      <w:proofErr w:type="spellEnd"/>
      <w:r w:rsidR="00FD2D2A" w:rsidRPr="00FD2D2A">
        <w:rPr>
          <w:rFonts w:eastAsiaTheme="minorEastAsia"/>
          <w:u w:val="double"/>
          <w:lang w:val="en-IE" w:eastAsia="ja-JP"/>
        </w:rPr>
        <w:t xml:space="preserve"> (TCG</w:t>
      </w:r>
      <w:r w:rsidR="00FD2D2A">
        <w:rPr>
          <w:rFonts w:eastAsiaTheme="minorEastAsia"/>
          <w:u w:val="double"/>
          <w:lang w:val="en-IE" w:eastAsia="ja-JP"/>
        </w:rPr>
        <w:t>-</w:t>
      </w:r>
      <w:r w:rsidR="00FD2D2A" w:rsidRPr="00FD2D2A">
        <w:rPr>
          <w:rFonts w:eastAsiaTheme="minorEastAsia"/>
          <w:u w:val="double"/>
          <w:lang w:val="en-IE" w:eastAsia="ja-JP"/>
        </w:rPr>
        <w:t>AAG</w:t>
      </w:r>
      <w:r w:rsidR="00FD2D2A">
        <w:rPr>
          <w:rFonts w:eastAsiaTheme="minorEastAsia"/>
          <w:u w:val="double"/>
          <w:lang w:val="en-IE" w:eastAsia="ja-JP"/>
        </w:rPr>
        <w:t>-</w:t>
      </w:r>
      <w:r w:rsidR="00FD2D2A" w:rsidRPr="00FD2D2A">
        <w:rPr>
          <w:rFonts w:eastAsiaTheme="minorEastAsia"/>
          <w:u w:val="double"/>
          <w:lang w:val="en-IE" w:eastAsia="ja-JP"/>
        </w:rPr>
        <w:t>ACG</w:t>
      </w:r>
      <w:r w:rsidR="00FD2D2A">
        <w:rPr>
          <w:rFonts w:eastAsiaTheme="minorEastAsia"/>
          <w:u w:val="double"/>
          <w:lang w:val="en-IE" w:eastAsia="ja-JP"/>
        </w:rPr>
        <w:t>-</w:t>
      </w:r>
      <w:r w:rsidR="00FD2D2A" w:rsidRPr="00FD2D2A">
        <w:rPr>
          <w:rFonts w:eastAsiaTheme="minorEastAsia"/>
          <w:u w:val="double"/>
          <w:lang w:val="en-IE" w:eastAsia="ja-JP"/>
        </w:rPr>
        <w:t>ATC</w:t>
      </w:r>
      <w:r w:rsidR="00FD2D2A">
        <w:rPr>
          <w:rFonts w:eastAsiaTheme="minorEastAsia"/>
          <w:u w:val="double"/>
          <w:lang w:val="en-IE" w:eastAsia="ja-JP"/>
        </w:rPr>
        <w:t>-</w:t>
      </w:r>
      <w:r w:rsidR="00FD2D2A" w:rsidRPr="00FD2D2A">
        <w:rPr>
          <w:rFonts w:eastAsiaTheme="minorEastAsia"/>
          <w:u w:val="double"/>
          <w:lang w:val="en-IE" w:eastAsia="ja-JP"/>
        </w:rPr>
        <w:t>AGA</w:t>
      </w:r>
      <w:r w:rsidR="00FD2D2A">
        <w:rPr>
          <w:rFonts w:eastAsiaTheme="minorEastAsia"/>
          <w:u w:val="double"/>
          <w:lang w:val="en-IE" w:eastAsia="ja-JP"/>
        </w:rPr>
        <w:t>-</w:t>
      </w:r>
      <w:r w:rsidR="00FD2D2A" w:rsidRPr="00FD2D2A">
        <w:rPr>
          <w:rFonts w:eastAsiaTheme="minorEastAsia"/>
          <w:u w:val="double"/>
          <w:lang w:val="en-IE" w:eastAsia="ja-JP"/>
        </w:rPr>
        <w:t>TAC</w:t>
      </w:r>
      <w:r w:rsidR="00FD2D2A">
        <w:rPr>
          <w:rFonts w:eastAsiaTheme="minorEastAsia"/>
          <w:u w:val="double"/>
          <w:lang w:val="en-IE" w:eastAsia="ja-JP"/>
        </w:rPr>
        <w:t>-</w:t>
      </w:r>
      <w:r w:rsidR="00FD2D2A" w:rsidRPr="00FD2D2A">
        <w:rPr>
          <w:rFonts w:eastAsiaTheme="minorEastAsia"/>
          <w:u w:val="double"/>
          <w:lang w:val="en-IE" w:eastAsia="ja-JP"/>
        </w:rPr>
        <w:t>CGT</w:t>
      </w:r>
      <w:r w:rsidR="00FD2D2A">
        <w:rPr>
          <w:rFonts w:eastAsiaTheme="minorEastAsia"/>
          <w:u w:val="double"/>
          <w:lang w:val="en-IE" w:eastAsia="ja-JP"/>
        </w:rPr>
        <w:t>-</w:t>
      </w:r>
      <w:r w:rsidR="00FD2D2A" w:rsidRPr="00FD2D2A">
        <w:rPr>
          <w:rFonts w:eastAsiaTheme="minorEastAsia"/>
          <w:u w:val="double"/>
          <w:lang w:val="en-IE" w:eastAsia="ja-JP"/>
        </w:rPr>
        <w:t xml:space="preserve">CG), a </w:t>
      </w:r>
      <w:r w:rsidR="00FD2D2A" w:rsidRPr="00FD2D2A">
        <w:rPr>
          <w:i/>
          <w:u w:val="double"/>
          <w:lang w:val="en-IE"/>
        </w:rPr>
        <w:t>T</w:t>
      </w:r>
      <w:r w:rsidR="00FD2D2A" w:rsidRPr="00FD2D2A">
        <w:rPr>
          <w:u w:val="double"/>
          <w:lang w:val="en-IE"/>
        </w:rPr>
        <w:t xml:space="preserve">. </w:t>
      </w:r>
      <w:proofErr w:type="spellStart"/>
      <w:r w:rsidR="00FD2D2A" w:rsidRPr="00FD2D2A">
        <w:rPr>
          <w:i/>
          <w:u w:val="double"/>
          <w:lang w:val="en-IE"/>
        </w:rPr>
        <w:t>equi</w:t>
      </w:r>
      <w:proofErr w:type="spellEnd"/>
      <w:r w:rsidR="00FD2D2A" w:rsidRPr="00FD2D2A">
        <w:rPr>
          <w:rFonts w:eastAsiaTheme="minorEastAsia"/>
          <w:u w:val="double"/>
          <w:lang w:val="en-IE" w:eastAsia="ja-JP"/>
        </w:rPr>
        <w:t>-specific reverse primer (TGC</w:t>
      </w:r>
      <w:r w:rsidR="00FD2D2A">
        <w:rPr>
          <w:rFonts w:eastAsiaTheme="minorEastAsia"/>
          <w:u w:val="double"/>
          <w:lang w:val="en-IE" w:eastAsia="ja-JP"/>
        </w:rPr>
        <w:t>-</w:t>
      </w:r>
      <w:r w:rsidR="00FD2D2A" w:rsidRPr="00FD2D2A">
        <w:rPr>
          <w:rFonts w:eastAsiaTheme="minorEastAsia"/>
          <w:u w:val="double"/>
          <w:lang w:val="en-IE" w:eastAsia="ja-JP"/>
        </w:rPr>
        <w:t>CTT</w:t>
      </w:r>
      <w:r w:rsidR="00FD2D2A">
        <w:rPr>
          <w:rFonts w:eastAsiaTheme="minorEastAsia"/>
          <w:u w:val="double"/>
          <w:lang w:val="en-IE" w:eastAsia="ja-JP"/>
        </w:rPr>
        <w:t>-</w:t>
      </w:r>
      <w:r w:rsidR="00FD2D2A" w:rsidRPr="00FD2D2A">
        <w:rPr>
          <w:rFonts w:eastAsiaTheme="minorEastAsia"/>
          <w:u w:val="double"/>
          <w:lang w:val="en-IE" w:eastAsia="ja-JP"/>
        </w:rPr>
        <w:t>AAA</w:t>
      </w:r>
      <w:r w:rsidR="00FD2D2A">
        <w:rPr>
          <w:rFonts w:eastAsiaTheme="minorEastAsia"/>
          <w:u w:val="double"/>
          <w:lang w:val="en-IE" w:eastAsia="ja-JP"/>
        </w:rPr>
        <w:t>-</w:t>
      </w:r>
      <w:r w:rsidR="00FD2D2A" w:rsidRPr="00FD2D2A">
        <w:rPr>
          <w:rFonts w:eastAsiaTheme="minorEastAsia"/>
          <w:u w:val="double"/>
          <w:lang w:val="en-IE" w:eastAsia="ja-JP"/>
        </w:rPr>
        <w:t>CTT</w:t>
      </w:r>
      <w:r w:rsidR="00FD2D2A">
        <w:rPr>
          <w:rFonts w:eastAsiaTheme="minorEastAsia"/>
          <w:u w:val="double"/>
          <w:lang w:val="en-IE" w:eastAsia="ja-JP"/>
        </w:rPr>
        <w:t>-</w:t>
      </w:r>
      <w:r w:rsidR="00FD2D2A" w:rsidRPr="00FD2D2A">
        <w:rPr>
          <w:rFonts w:eastAsiaTheme="minorEastAsia"/>
          <w:u w:val="double"/>
          <w:lang w:val="en-IE" w:eastAsia="ja-JP"/>
        </w:rPr>
        <w:t>CCT</w:t>
      </w:r>
      <w:r w:rsidR="00FD2D2A">
        <w:rPr>
          <w:rFonts w:eastAsiaTheme="minorEastAsia"/>
          <w:u w:val="double"/>
          <w:lang w:val="en-IE" w:eastAsia="ja-JP"/>
        </w:rPr>
        <w:t>-</w:t>
      </w:r>
      <w:r w:rsidR="00FD2D2A" w:rsidRPr="00FD2D2A">
        <w:rPr>
          <w:rFonts w:eastAsiaTheme="minorEastAsia"/>
          <w:u w:val="double"/>
          <w:lang w:val="en-IE" w:eastAsia="ja-JP"/>
        </w:rPr>
        <w:t>TGC</w:t>
      </w:r>
      <w:r w:rsidR="00FD2D2A">
        <w:rPr>
          <w:rFonts w:eastAsiaTheme="minorEastAsia"/>
          <w:u w:val="double"/>
          <w:lang w:val="en-IE" w:eastAsia="ja-JP"/>
        </w:rPr>
        <w:t>-</w:t>
      </w:r>
      <w:r w:rsidR="00FD2D2A" w:rsidRPr="00FD2D2A">
        <w:rPr>
          <w:rFonts w:eastAsiaTheme="minorEastAsia"/>
          <w:u w:val="double"/>
          <w:lang w:val="en-IE" w:eastAsia="ja-JP"/>
        </w:rPr>
        <w:t xml:space="preserve">GAT), and a </w:t>
      </w:r>
      <w:r w:rsidR="00FD2D2A" w:rsidRPr="00FD2D2A">
        <w:rPr>
          <w:i/>
          <w:u w:val="double"/>
          <w:lang w:val="en-IE"/>
        </w:rPr>
        <w:t>B</w:t>
      </w:r>
      <w:r w:rsidR="00FD2D2A" w:rsidRPr="00FD2D2A">
        <w:rPr>
          <w:u w:val="double"/>
          <w:lang w:val="en-IE"/>
        </w:rPr>
        <w:t xml:space="preserve">. </w:t>
      </w:r>
      <w:proofErr w:type="spellStart"/>
      <w:r w:rsidR="00FD2D2A" w:rsidRPr="00FD2D2A">
        <w:rPr>
          <w:i/>
          <w:u w:val="double"/>
          <w:lang w:val="en-IE"/>
        </w:rPr>
        <w:t>caballi</w:t>
      </w:r>
      <w:proofErr w:type="spellEnd"/>
      <w:r w:rsidR="00FD2D2A" w:rsidRPr="00FD2D2A">
        <w:rPr>
          <w:rFonts w:eastAsiaTheme="minorEastAsia"/>
          <w:u w:val="double"/>
          <w:lang w:val="en-IE" w:eastAsia="ja-JP"/>
        </w:rPr>
        <w:t>-specific reverse primer (CTC</w:t>
      </w:r>
      <w:r w:rsidR="00FD2D2A">
        <w:rPr>
          <w:rFonts w:eastAsiaTheme="minorEastAsia"/>
          <w:u w:val="double"/>
          <w:lang w:val="en-IE" w:eastAsia="ja-JP"/>
        </w:rPr>
        <w:t>-</w:t>
      </w:r>
      <w:r w:rsidR="00FD2D2A" w:rsidRPr="00FD2D2A">
        <w:rPr>
          <w:rFonts w:eastAsiaTheme="minorEastAsia"/>
          <w:u w:val="double"/>
          <w:lang w:val="en-IE" w:eastAsia="ja-JP"/>
        </w:rPr>
        <w:t>GTT</w:t>
      </w:r>
      <w:r w:rsidR="00FD2D2A">
        <w:rPr>
          <w:rFonts w:eastAsiaTheme="minorEastAsia"/>
          <w:u w:val="double"/>
          <w:lang w:val="en-IE" w:eastAsia="ja-JP"/>
        </w:rPr>
        <w:t>-</w:t>
      </w:r>
      <w:r w:rsidR="00FD2D2A" w:rsidRPr="00FD2D2A">
        <w:rPr>
          <w:rFonts w:eastAsiaTheme="minorEastAsia"/>
          <w:u w:val="double"/>
          <w:lang w:val="en-IE" w:eastAsia="ja-JP"/>
        </w:rPr>
        <w:t>CAT</w:t>
      </w:r>
      <w:r w:rsidR="00FD2D2A">
        <w:rPr>
          <w:rFonts w:eastAsiaTheme="minorEastAsia"/>
          <w:u w:val="double"/>
          <w:lang w:val="en-IE" w:eastAsia="ja-JP"/>
        </w:rPr>
        <w:t>-</w:t>
      </w:r>
      <w:r w:rsidR="00FD2D2A" w:rsidRPr="00FD2D2A">
        <w:rPr>
          <w:rFonts w:eastAsiaTheme="minorEastAsia"/>
          <w:u w:val="double"/>
          <w:lang w:val="en-IE" w:eastAsia="ja-JP"/>
        </w:rPr>
        <w:t>GAT</w:t>
      </w:r>
      <w:r w:rsidR="00FD2D2A">
        <w:rPr>
          <w:rFonts w:eastAsiaTheme="minorEastAsia"/>
          <w:u w:val="double"/>
          <w:lang w:val="en-IE" w:eastAsia="ja-JP"/>
        </w:rPr>
        <w:t>-</w:t>
      </w:r>
      <w:r w:rsidR="00FD2D2A" w:rsidRPr="00FD2D2A">
        <w:rPr>
          <w:rFonts w:eastAsiaTheme="minorEastAsia"/>
          <w:u w:val="double"/>
          <w:lang w:val="en-IE" w:eastAsia="ja-JP"/>
        </w:rPr>
        <w:t>TTA</w:t>
      </w:r>
      <w:r w:rsidR="00FD2D2A">
        <w:rPr>
          <w:rFonts w:eastAsiaTheme="minorEastAsia"/>
          <w:u w:val="double"/>
          <w:lang w:val="en-IE" w:eastAsia="ja-JP"/>
        </w:rPr>
        <w:t>-</w:t>
      </w:r>
      <w:r w:rsidR="00FD2D2A" w:rsidRPr="00FD2D2A">
        <w:rPr>
          <w:rFonts w:eastAsiaTheme="minorEastAsia"/>
          <w:u w:val="double"/>
          <w:lang w:val="en-IE" w:eastAsia="ja-JP"/>
        </w:rPr>
        <w:t>GAA</w:t>
      </w:r>
      <w:r w:rsidR="00FD2D2A">
        <w:rPr>
          <w:rFonts w:eastAsiaTheme="minorEastAsia"/>
          <w:u w:val="double"/>
          <w:lang w:val="en-IE" w:eastAsia="ja-JP"/>
        </w:rPr>
        <w:t>-</w:t>
      </w:r>
      <w:r w:rsidR="00FD2D2A" w:rsidRPr="00FD2D2A">
        <w:rPr>
          <w:rFonts w:eastAsiaTheme="minorEastAsia"/>
          <w:u w:val="double"/>
          <w:lang w:val="en-IE" w:eastAsia="ja-JP"/>
        </w:rPr>
        <w:t>TTG</w:t>
      </w:r>
      <w:r w:rsidR="00FD2D2A">
        <w:rPr>
          <w:rFonts w:eastAsiaTheme="minorEastAsia"/>
          <w:u w:val="double"/>
          <w:lang w:val="en-IE" w:eastAsia="ja-JP"/>
        </w:rPr>
        <w:t>-</w:t>
      </w:r>
      <w:r w:rsidR="00FD2D2A" w:rsidRPr="00FD2D2A">
        <w:rPr>
          <w:rFonts w:eastAsiaTheme="minorEastAsia"/>
          <w:u w:val="double"/>
          <w:lang w:val="en-IE" w:eastAsia="ja-JP"/>
        </w:rPr>
        <w:t xml:space="preserve">CT) were used for simultaneous detection and identification of </w:t>
      </w:r>
      <w:r w:rsidR="00FD2D2A" w:rsidRPr="00FD2D2A">
        <w:rPr>
          <w:i/>
          <w:u w:val="double"/>
          <w:lang w:val="en-IE"/>
        </w:rPr>
        <w:t>T</w:t>
      </w:r>
      <w:r w:rsidR="00FD2D2A" w:rsidRPr="00FD2D2A">
        <w:rPr>
          <w:u w:val="double"/>
          <w:lang w:val="en-IE"/>
        </w:rPr>
        <w:t>.</w:t>
      </w:r>
      <w:r w:rsidR="00FD2D2A">
        <w:rPr>
          <w:u w:val="double"/>
          <w:lang w:val="en-IE"/>
        </w:rPr>
        <w:t> </w:t>
      </w:r>
      <w:proofErr w:type="spellStart"/>
      <w:r w:rsidR="00FD2D2A" w:rsidRPr="00FD2D2A">
        <w:rPr>
          <w:i/>
          <w:u w:val="double"/>
          <w:lang w:val="en-IE"/>
        </w:rPr>
        <w:t>equi</w:t>
      </w:r>
      <w:proofErr w:type="spellEnd"/>
      <w:r w:rsidR="00FD2D2A" w:rsidRPr="00FD2D2A">
        <w:rPr>
          <w:rFonts w:eastAsiaTheme="minorEastAsia"/>
          <w:u w:val="double"/>
          <w:lang w:val="en-IE" w:eastAsia="ja-JP"/>
        </w:rPr>
        <w:t xml:space="preserve"> and </w:t>
      </w:r>
      <w:r w:rsidR="00FD2D2A" w:rsidRPr="00FD2D2A">
        <w:rPr>
          <w:i/>
          <w:u w:val="double"/>
          <w:lang w:val="en-IE"/>
        </w:rPr>
        <w:t>B</w:t>
      </w:r>
      <w:r w:rsidR="00FD2D2A" w:rsidRPr="00FD2D2A">
        <w:rPr>
          <w:u w:val="double"/>
          <w:lang w:val="en-IE"/>
        </w:rPr>
        <w:t xml:space="preserve">. </w:t>
      </w:r>
      <w:proofErr w:type="spellStart"/>
      <w:r w:rsidR="00FD2D2A" w:rsidRPr="00FD2D2A">
        <w:rPr>
          <w:i/>
          <w:u w:val="double"/>
          <w:lang w:val="en-IE"/>
        </w:rPr>
        <w:t>caballi</w:t>
      </w:r>
      <w:proofErr w:type="spellEnd"/>
      <w:r w:rsidR="00FD2D2A" w:rsidRPr="00FD2D2A">
        <w:rPr>
          <w:rFonts w:eastAsiaTheme="minorEastAsia"/>
          <w:u w:val="double"/>
          <w:lang w:val="en-IE" w:eastAsia="ja-JP"/>
        </w:rPr>
        <w:t xml:space="preserve"> (Alhassan </w:t>
      </w:r>
      <w:r w:rsidR="00FD2D2A" w:rsidRPr="00FD2D2A">
        <w:rPr>
          <w:rFonts w:eastAsiaTheme="minorEastAsia"/>
          <w:i/>
          <w:u w:val="double"/>
          <w:lang w:val="en-IE" w:eastAsia="ja-JP"/>
        </w:rPr>
        <w:t>et al.,</w:t>
      </w:r>
      <w:r w:rsidR="00FD2D2A" w:rsidRPr="00FD2D2A">
        <w:rPr>
          <w:rFonts w:eastAsiaTheme="minorEastAsia"/>
          <w:u w:val="double"/>
          <w:lang w:val="en-IE" w:eastAsia="ja-JP"/>
        </w:rPr>
        <w:t xml:space="preserve"> 2005)</w:t>
      </w:r>
      <w:r w:rsidR="00FD2D2A" w:rsidRPr="00FD2D2A">
        <w:rPr>
          <w:rFonts w:eastAsiaTheme="minorEastAsia" w:hint="eastAsia"/>
          <w:u w:val="double"/>
          <w:lang w:val="en-IE" w:eastAsia="ja-JP"/>
        </w:rPr>
        <w:t xml:space="preserve">. </w:t>
      </w:r>
      <w:r w:rsidR="00FD2D2A" w:rsidRPr="00FD2D2A">
        <w:rPr>
          <w:rFonts w:hint="eastAsia"/>
          <w:u w:val="double"/>
          <w:lang w:val="en-IE"/>
        </w:rPr>
        <w:t xml:space="preserve">In addition to the PCR assays, other molecular </w:t>
      </w:r>
      <w:r w:rsidR="00FD2D2A" w:rsidRPr="00FD2D2A">
        <w:rPr>
          <w:rFonts w:eastAsiaTheme="minorEastAsia" w:hint="eastAsia"/>
          <w:u w:val="double"/>
          <w:lang w:val="en-IE" w:eastAsia="ja-JP"/>
        </w:rPr>
        <w:t xml:space="preserve">diagnostic </w:t>
      </w:r>
      <w:r w:rsidR="00FD2D2A" w:rsidRPr="00FD2D2A">
        <w:rPr>
          <w:rFonts w:hint="eastAsia"/>
          <w:u w:val="double"/>
          <w:lang w:val="en-IE"/>
        </w:rPr>
        <w:t>tests such as highly sensitive</w:t>
      </w:r>
      <w:r w:rsidR="00FD2D2A">
        <w:rPr>
          <w:rFonts w:hint="eastAsia"/>
          <w:lang w:val="en-IE"/>
        </w:rPr>
        <w:t xml:space="preserve"> </w:t>
      </w:r>
      <w:r w:rsidRPr="006E3F3A">
        <w:rPr>
          <w:lang w:val="en-IE"/>
        </w:rPr>
        <w:t>F</w:t>
      </w:r>
      <w:r w:rsidRPr="00FD2D2A">
        <w:rPr>
          <w:strike/>
          <w:lang w:val="en-IE"/>
        </w:rPr>
        <w:t>urther refinements to the technique includes nested PCR (</w:t>
      </w:r>
      <w:proofErr w:type="spellStart"/>
      <w:r w:rsidR="00291CD5" w:rsidRPr="00FD2D2A">
        <w:rPr>
          <w:strike/>
          <w:lang w:val="en-IE"/>
        </w:rPr>
        <w:t>Rampersad</w:t>
      </w:r>
      <w:proofErr w:type="spellEnd"/>
      <w:r w:rsidR="00291CD5" w:rsidRPr="00FD2D2A">
        <w:rPr>
          <w:strike/>
          <w:lang w:val="en-IE"/>
        </w:rPr>
        <w:t xml:space="preserve"> </w:t>
      </w:r>
      <w:r w:rsidR="009F5073" w:rsidRPr="00FD2D2A">
        <w:rPr>
          <w:i/>
          <w:strike/>
          <w:lang w:val="en-IE"/>
        </w:rPr>
        <w:t>et al</w:t>
      </w:r>
      <w:r w:rsidR="00291CD5" w:rsidRPr="00FD2D2A">
        <w:rPr>
          <w:strike/>
          <w:lang w:val="en-IE"/>
        </w:rPr>
        <w:t>., 2003</w:t>
      </w:r>
      <w:r w:rsidRPr="00FD2D2A">
        <w:rPr>
          <w:strike/>
          <w:lang w:val="en-IE"/>
        </w:rPr>
        <w:t>)</w:t>
      </w:r>
      <w:r w:rsidR="00FC3CF4" w:rsidRPr="00FD2D2A">
        <w:rPr>
          <w:strike/>
          <w:lang w:val="en-IE"/>
        </w:rPr>
        <w:t xml:space="preserve">, </w:t>
      </w:r>
      <w:r w:rsidR="00BD79FB" w:rsidRPr="006E3F3A">
        <w:rPr>
          <w:lang w:val="en-IE"/>
        </w:rPr>
        <w:t>l</w:t>
      </w:r>
      <w:proofErr w:type="spellStart"/>
      <w:r w:rsidR="007B0249" w:rsidRPr="006E3F3A">
        <w:t>oop</w:t>
      </w:r>
      <w:proofErr w:type="spellEnd"/>
      <w:r w:rsidR="007B0249" w:rsidRPr="006E3F3A">
        <w:t xml:space="preserve">-mediated isothermal amplification (LAMP) </w:t>
      </w:r>
      <w:r w:rsidR="00FD2D2A" w:rsidRPr="00FD2D2A">
        <w:rPr>
          <w:u w:val="double"/>
        </w:rPr>
        <w:t>have been reported</w:t>
      </w:r>
      <w:r w:rsidR="00FD2D2A">
        <w:t xml:space="preserve"> </w:t>
      </w:r>
      <w:r w:rsidR="00F3023E" w:rsidRPr="006E3F3A">
        <w:t>(</w:t>
      </w:r>
      <w:r w:rsidR="00E565F4" w:rsidRPr="00704D65">
        <w:rPr>
          <w:lang w:val="en-IE"/>
        </w:rPr>
        <w:t xml:space="preserve">Alhassan </w:t>
      </w:r>
      <w:r w:rsidR="009F5073" w:rsidRPr="00704D65">
        <w:rPr>
          <w:i/>
          <w:lang w:val="en-IE"/>
        </w:rPr>
        <w:t>et al</w:t>
      </w:r>
      <w:r w:rsidR="00E565F4" w:rsidRPr="00704D65">
        <w:rPr>
          <w:lang w:val="en-IE"/>
        </w:rPr>
        <w:t>., 2007</w:t>
      </w:r>
      <w:r w:rsidR="00F3023E" w:rsidRPr="006E3F3A">
        <w:t>)</w:t>
      </w:r>
      <w:r w:rsidR="00F3023E" w:rsidRPr="00FD2D2A">
        <w:rPr>
          <w:strike/>
        </w:rPr>
        <w:t xml:space="preserve"> </w:t>
      </w:r>
      <w:r w:rsidRPr="00FD2D2A">
        <w:rPr>
          <w:strike/>
          <w:lang w:val="en-IE"/>
        </w:rPr>
        <w:t>with reported increased sensitivity</w:t>
      </w:r>
      <w:r w:rsidR="00F15F21" w:rsidRPr="00FD2D2A">
        <w:rPr>
          <w:strike/>
          <w:lang w:val="en-IE"/>
        </w:rPr>
        <w:t>,</w:t>
      </w:r>
      <w:r w:rsidRPr="00FD2D2A">
        <w:rPr>
          <w:strike/>
          <w:lang w:val="en-IE"/>
        </w:rPr>
        <w:t xml:space="preserve"> a highly sensitive reverse line blot assay (RLB) and multiplex PCR for simultaneous detection and identification of </w:t>
      </w:r>
      <w:proofErr w:type="spellStart"/>
      <w:r w:rsidRPr="00FD2D2A">
        <w:rPr>
          <w:i/>
          <w:iCs/>
          <w:strike/>
          <w:lang w:val="en-IE"/>
        </w:rPr>
        <w:t>Theileria</w:t>
      </w:r>
      <w:proofErr w:type="spellEnd"/>
      <w:r w:rsidRPr="00FD2D2A">
        <w:rPr>
          <w:i/>
          <w:iCs/>
          <w:strike/>
          <w:lang w:val="en-IE"/>
        </w:rPr>
        <w:t xml:space="preserve"> </w:t>
      </w:r>
      <w:r w:rsidRPr="00FD2D2A">
        <w:rPr>
          <w:strike/>
          <w:lang w:val="en-IE"/>
        </w:rPr>
        <w:t xml:space="preserve">and </w:t>
      </w:r>
      <w:r w:rsidRPr="00FD2D2A">
        <w:rPr>
          <w:i/>
          <w:iCs/>
          <w:strike/>
          <w:lang w:val="en-IE"/>
        </w:rPr>
        <w:t xml:space="preserve">Babesia </w:t>
      </w:r>
      <w:r w:rsidRPr="00FD2D2A">
        <w:rPr>
          <w:strike/>
          <w:lang w:val="en-IE"/>
        </w:rPr>
        <w:t>species in horses (</w:t>
      </w:r>
      <w:r w:rsidR="00E565F4" w:rsidRPr="00FD2D2A">
        <w:rPr>
          <w:strike/>
          <w:lang w:val="en-IE"/>
        </w:rPr>
        <w:t xml:space="preserve">Alhassan </w:t>
      </w:r>
      <w:r w:rsidR="009F5073" w:rsidRPr="00FD2D2A">
        <w:rPr>
          <w:i/>
          <w:strike/>
          <w:lang w:val="en-IE"/>
        </w:rPr>
        <w:t>et al</w:t>
      </w:r>
      <w:r w:rsidR="00E565F4" w:rsidRPr="00FD2D2A">
        <w:rPr>
          <w:strike/>
          <w:lang w:val="en-IE"/>
        </w:rPr>
        <w:t>., 2005</w:t>
      </w:r>
      <w:r w:rsidRPr="00FD2D2A">
        <w:rPr>
          <w:strike/>
          <w:lang w:val="en-IE"/>
        </w:rPr>
        <w:t>)</w:t>
      </w:r>
      <w:r w:rsidRPr="006E3F3A">
        <w:rPr>
          <w:lang w:val="en-IE"/>
        </w:rPr>
        <w:t>.</w:t>
      </w:r>
      <w:r w:rsidR="007E264B" w:rsidRPr="006E3F3A">
        <w:rPr>
          <w:lang w:val="en-IE"/>
        </w:rPr>
        <w:t xml:space="preserve"> The acquisition of the </w:t>
      </w:r>
      <w:r w:rsidR="007E264B" w:rsidRPr="006E3F3A">
        <w:rPr>
          <w:i/>
          <w:lang w:val="en-IE"/>
        </w:rPr>
        <w:t xml:space="preserve">T. </w:t>
      </w:r>
      <w:proofErr w:type="spellStart"/>
      <w:r w:rsidR="007E264B" w:rsidRPr="006E3F3A">
        <w:rPr>
          <w:i/>
          <w:lang w:val="en-IE"/>
        </w:rPr>
        <w:t>equi</w:t>
      </w:r>
      <w:proofErr w:type="spellEnd"/>
      <w:r w:rsidR="007E264B" w:rsidRPr="006E3F3A">
        <w:rPr>
          <w:lang w:val="en-IE"/>
        </w:rPr>
        <w:t xml:space="preserve"> genome provides additional opportunities to improve and broaden diagnostic modalities for this parasite (</w:t>
      </w:r>
      <w:proofErr w:type="spellStart"/>
      <w:r w:rsidR="00E64927" w:rsidRPr="006E3F3A">
        <w:rPr>
          <w:lang w:val="en-IE"/>
        </w:rPr>
        <w:t>Kappmeyer</w:t>
      </w:r>
      <w:proofErr w:type="spellEnd"/>
      <w:r w:rsidR="007E264B" w:rsidRPr="006E3F3A">
        <w:rPr>
          <w:lang w:val="en-IE"/>
        </w:rPr>
        <w:t xml:space="preserve"> </w:t>
      </w:r>
      <w:r w:rsidR="007E264B" w:rsidRPr="006E3F3A">
        <w:rPr>
          <w:i/>
          <w:lang w:val="en-IE"/>
        </w:rPr>
        <w:t xml:space="preserve">et al., </w:t>
      </w:r>
      <w:r w:rsidR="007E264B" w:rsidRPr="006E3F3A">
        <w:rPr>
          <w:lang w:val="en-IE"/>
        </w:rPr>
        <w:t>2012).</w:t>
      </w:r>
      <w:r w:rsidR="00FD2D2A">
        <w:rPr>
          <w:lang w:val="en-IE"/>
        </w:rPr>
        <w:t xml:space="preserve"> </w:t>
      </w:r>
      <w:r w:rsidR="00766AB1" w:rsidRPr="00726966">
        <w:rPr>
          <w:highlight w:val="yellow"/>
          <w:u w:val="double"/>
          <w:lang w:val="en-AU"/>
        </w:rPr>
        <w:t xml:space="preserve">As mentioned above, there is significant sequence heterogenicity within both </w:t>
      </w:r>
      <w:r w:rsidR="00766AB1" w:rsidRPr="00726966">
        <w:rPr>
          <w:i/>
          <w:highlight w:val="yellow"/>
          <w:u w:val="double"/>
          <w:lang w:val="en-AU"/>
        </w:rPr>
        <w:t xml:space="preserve">T. </w:t>
      </w:r>
      <w:proofErr w:type="spellStart"/>
      <w:r w:rsidR="00766AB1" w:rsidRPr="00726966">
        <w:rPr>
          <w:i/>
          <w:highlight w:val="yellow"/>
          <w:u w:val="double"/>
          <w:lang w:val="en-AU"/>
        </w:rPr>
        <w:t>equi</w:t>
      </w:r>
      <w:proofErr w:type="spellEnd"/>
      <w:r w:rsidR="00766AB1" w:rsidRPr="00726966">
        <w:rPr>
          <w:i/>
          <w:highlight w:val="yellow"/>
          <w:u w:val="double"/>
          <w:lang w:val="en-AU"/>
        </w:rPr>
        <w:t xml:space="preserve"> </w:t>
      </w:r>
      <w:r w:rsidR="00766AB1" w:rsidRPr="00726966">
        <w:rPr>
          <w:highlight w:val="yellow"/>
          <w:u w:val="double"/>
          <w:lang w:val="en-AU"/>
        </w:rPr>
        <w:t xml:space="preserve">and </w:t>
      </w:r>
      <w:r w:rsidR="00766AB1" w:rsidRPr="00726966">
        <w:rPr>
          <w:i/>
          <w:highlight w:val="yellow"/>
          <w:u w:val="double"/>
          <w:lang w:val="en-AU"/>
        </w:rPr>
        <w:t xml:space="preserve">B. </w:t>
      </w:r>
      <w:proofErr w:type="spellStart"/>
      <w:r w:rsidR="00766AB1" w:rsidRPr="00726966">
        <w:rPr>
          <w:i/>
          <w:highlight w:val="yellow"/>
          <w:u w:val="double"/>
          <w:lang w:val="en-AU"/>
        </w:rPr>
        <w:t>caballi</w:t>
      </w:r>
      <w:proofErr w:type="spellEnd"/>
      <w:r w:rsidR="00766AB1" w:rsidRPr="00726966">
        <w:rPr>
          <w:i/>
          <w:highlight w:val="yellow"/>
          <w:u w:val="double"/>
          <w:lang w:val="en-AU"/>
        </w:rPr>
        <w:t xml:space="preserve">. </w:t>
      </w:r>
      <w:r w:rsidR="00766AB1" w:rsidRPr="00726966">
        <w:rPr>
          <w:highlight w:val="yellow"/>
          <w:u w:val="double"/>
          <w:lang w:val="en-AU"/>
        </w:rPr>
        <w:t>As a result, molecular assays designed to detect some isolates may have reduced sensitivity for the detection of heterogenous isolates.</w:t>
      </w:r>
    </w:p>
    <w:p w14:paraId="663E0BC3" w14:textId="77777777" w:rsidR="00FC674A" w:rsidRPr="006E3F3A" w:rsidRDefault="00FC674A" w:rsidP="00BA13FE">
      <w:pPr>
        <w:pStyle w:val="1"/>
        <w:rPr>
          <w:lang w:val="en-IE"/>
        </w:rPr>
      </w:pPr>
      <w:r w:rsidRPr="006E3F3A">
        <w:rPr>
          <w:lang w:val="en-IE"/>
        </w:rPr>
        <w:t>2.</w:t>
      </w:r>
      <w:r w:rsidRPr="006E3F3A">
        <w:rPr>
          <w:lang w:val="en-IE"/>
        </w:rPr>
        <w:tab/>
        <w:t>Serological tests</w:t>
      </w:r>
    </w:p>
    <w:p w14:paraId="663E0BC4" w14:textId="77777777" w:rsidR="00FC674A" w:rsidRPr="006E3F3A" w:rsidRDefault="00FC674A" w:rsidP="00C5786E">
      <w:pPr>
        <w:pStyle w:val="para1"/>
        <w:rPr>
          <w:lang w:val="en-IE"/>
        </w:rPr>
      </w:pPr>
      <w:r w:rsidRPr="006E3F3A">
        <w:rPr>
          <w:lang w:val="en-IE"/>
        </w:rPr>
        <w:t>It is extremely difficult to diagnose the organisms in carrier animals by means of the microscopic examination of blood smears. Furthermore, it is by no means practical on a large scale. The serological testing of animals is therefore recommended as a preferred method of diagnosis, especially when horses are destined to be imported into countries where the disease does not occur, but the vector is present.</w:t>
      </w:r>
    </w:p>
    <w:p w14:paraId="663E0BC5" w14:textId="77777777" w:rsidR="00FC674A" w:rsidRPr="006E3F3A" w:rsidRDefault="00FC674A" w:rsidP="00C5786E">
      <w:pPr>
        <w:pStyle w:val="para1"/>
        <w:rPr>
          <w:lang w:val="en-IE"/>
        </w:rPr>
      </w:pPr>
      <w:r w:rsidRPr="006E3F3A">
        <w:rPr>
          <w:lang w:val="en-IE"/>
        </w:rPr>
        <w:t>Sera should be collected and dispatched to diagnostic laboratories in accordance with the specifications of that laboratory. Horses for export that have been subjected to serological tests and shown to be free from infection, should be kept free of ticks to prevent accidental infections.</w:t>
      </w:r>
    </w:p>
    <w:p w14:paraId="663E0BC6" w14:textId="77777777" w:rsidR="00FC674A" w:rsidRPr="006E3F3A" w:rsidRDefault="00FC674A" w:rsidP="00E34261">
      <w:pPr>
        <w:pStyle w:val="para1"/>
        <w:rPr>
          <w:lang w:val="en-IE"/>
        </w:rPr>
      </w:pPr>
      <w:r w:rsidRPr="006E3F3A">
        <w:rPr>
          <w:lang w:val="en-IE"/>
        </w:rPr>
        <w:t xml:space="preserve">A number of serological techniques have been used in the diagnosis of piroplasmosis, such as the </w:t>
      </w:r>
      <w:r w:rsidR="00357ECA" w:rsidRPr="006E3F3A">
        <w:rPr>
          <w:lang w:val="en-IE"/>
        </w:rPr>
        <w:t>CFT</w:t>
      </w:r>
      <w:r w:rsidRPr="006E3F3A">
        <w:rPr>
          <w:lang w:val="en-IE"/>
        </w:rPr>
        <w:t>,</w:t>
      </w:r>
      <w:r w:rsidRPr="006E3F3A" w:rsidDel="009F0B76">
        <w:rPr>
          <w:lang w:val="en-IE"/>
        </w:rPr>
        <w:t xml:space="preserve"> </w:t>
      </w:r>
      <w:r w:rsidRPr="006E3F3A">
        <w:rPr>
          <w:lang w:val="en-IE"/>
        </w:rPr>
        <w:t xml:space="preserve">the indirect fluorescent antibody </w:t>
      </w:r>
      <w:r w:rsidR="00357ECA" w:rsidRPr="006E3F3A">
        <w:rPr>
          <w:lang w:val="en-IE"/>
        </w:rPr>
        <w:t xml:space="preserve">test </w:t>
      </w:r>
      <w:r w:rsidRPr="006E3F3A">
        <w:rPr>
          <w:lang w:val="en-IE"/>
        </w:rPr>
        <w:t>(IFA</w:t>
      </w:r>
      <w:r w:rsidR="00357ECA" w:rsidRPr="006E3F3A">
        <w:rPr>
          <w:lang w:val="en-IE"/>
        </w:rPr>
        <w:t>T</w:t>
      </w:r>
      <w:r w:rsidRPr="006E3F3A">
        <w:rPr>
          <w:lang w:val="en-IE"/>
        </w:rPr>
        <w:t xml:space="preserve">) and the enzyme-linked immunosorbent assay (ELISA). </w:t>
      </w:r>
      <w:r w:rsidRPr="00726966">
        <w:rPr>
          <w:strike/>
          <w:highlight w:val="yellow"/>
          <w:lang w:val="en-IE"/>
        </w:rPr>
        <w:t>In addition, a simple and rapid immunoch</w:t>
      </w:r>
      <w:r w:rsidR="00E9025C" w:rsidRPr="00726966">
        <w:rPr>
          <w:strike/>
          <w:highlight w:val="yellow"/>
          <w:lang w:val="en-IE"/>
        </w:rPr>
        <w:t>r</w:t>
      </w:r>
      <w:r w:rsidRPr="00726966">
        <w:rPr>
          <w:strike/>
          <w:highlight w:val="yellow"/>
          <w:lang w:val="en-IE"/>
        </w:rPr>
        <w:t xml:space="preserve">omatographic test for </w:t>
      </w:r>
      <w:r w:rsidR="003C4A96" w:rsidRPr="00726966">
        <w:rPr>
          <w:i/>
          <w:strike/>
          <w:highlight w:val="yellow"/>
          <w:lang w:val="en-IE"/>
        </w:rPr>
        <w:t xml:space="preserve">T. </w:t>
      </w:r>
      <w:proofErr w:type="spellStart"/>
      <w:r w:rsidR="003C4A96" w:rsidRPr="00726966">
        <w:rPr>
          <w:i/>
          <w:strike/>
          <w:highlight w:val="yellow"/>
          <w:lang w:val="en-IE"/>
        </w:rPr>
        <w:t>equi</w:t>
      </w:r>
      <w:proofErr w:type="spellEnd"/>
      <w:r w:rsidRPr="00726966">
        <w:rPr>
          <w:strike/>
          <w:highlight w:val="yellow"/>
          <w:lang w:val="en-IE"/>
        </w:rPr>
        <w:t xml:space="preserve"> has also recently been described </w:t>
      </w:r>
      <w:r w:rsidR="004431A2" w:rsidRPr="00726966">
        <w:rPr>
          <w:strike/>
          <w:highlight w:val="yellow"/>
          <w:lang w:val="en-IE"/>
        </w:rPr>
        <w:t>and</w:t>
      </w:r>
      <w:r w:rsidRPr="00726966">
        <w:rPr>
          <w:strike/>
          <w:highlight w:val="yellow"/>
          <w:lang w:val="en-IE"/>
        </w:rPr>
        <w:t xml:space="preserve"> might be a very useful test for the mass screening of serum samples (</w:t>
      </w:r>
      <w:r w:rsidR="00E565F4" w:rsidRPr="00726966">
        <w:rPr>
          <w:strike/>
          <w:highlight w:val="yellow"/>
          <w:lang w:val="en-IE"/>
        </w:rPr>
        <w:t xml:space="preserve">Huang </w:t>
      </w:r>
      <w:r w:rsidR="009F5073" w:rsidRPr="00726966">
        <w:rPr>
          <w:i/>
          <w:strike/>
          <w:highlight w:val="yellow"/>
          <w:lang w:val="en-IE"/>
        </w:rPr>
        <w:t>et al</w:t>
      </w:r>
      <w:r w:rsidR="00E565F4" w:rsidRPr="00726966">
        <w:rPr>
          <w:strike/>
          <w:highlight w:val="yellow"/>
          <w:lang w:val="en-IE"/>
        </w:rPr>
        <w:t>., 2004</w:t>
      </w:r>
      <w:r w:rsidRPr="00726966">
        <w:rPr>
          <w:strike/>
          <w:highlight w:val="yellow"/>
          <w:lang w:val="en-IE"/>
        </w:rPr>
        <w:t>).</w:t>
      </w:r>
      <w:r w:rsidRPr="00726966">
        <w:rPr>
          <w:strike/>
          <w:lang w:val="en-IE"/>
        </w:rPr>
        <w:t xml:space="preserve"> </w:t>
      </w:r>
    </w:p>
    <w:p w14:paraId="663E0BC7" w14:textId="77777777" w:rsidR="00FC674A" w:rsidRPr="00AA304C" w:rsidRDefault="00E70E3D" w:rsidP="00E70E3D">
      <w:pPr>
        <w:pStyle w:val="11"/>
        <w:rPr>
          <w:lang w:val="en-IE"/>
        </w:rPr>
      </w:pPr>
      <w:r w:rsidRPr="00AA304C">
        <w:rPr>
          <w:lang w:val="en-IE"/>
        </w:rPr>
        <w:t>2.1.</w:t>
      </w:r>
      <w:r w:rsidR="00FC674A" w:rsidRPr="00AA304C">
        <w:rPr>
          <w:lang w:val="en-IE"/>
        </w:rPr>
        <w:tab/>
        <w:t xml:space="preserve">Indirect fluorescent antibody test </w:t>
      </w:r>
    </w:p>
    <w:p w14:paraId="663E0BC8" w14:textId="6781D4EF" w:rsidR="00FC674A" w:rsidRPr="00AA304C" w:rsidRDefault="00FC674A" w:rsidP="00E70E3D">
      <w:pPr>
        <w:pStyle w:val="11Para"/>
        <w:rPr>
          <w:lang w:val="en-IE"/>
        </w:rPr>
      </w:pPr>
      <w:r w:rsidRPr="00AA304C">
        <w:rPr>
          <w:lang w:val="en-IE"/>
        </w:rPr>
        <w:t xml:space="preserve">The </w:t>
      </w:r>
      <w:r w:rsidR="00357ECA" w:rsidRPr="00AA304C">
        <w:rPr>
          <w:lang w:val="en-IE"/>
        </w:rPr>
        <w:t>IFAT</w:t>
      </w:r>
      <w:r w:rsidRPr="00AA304C">
        <w:rPr>
          <w:lang w:val="en-IE"/>
        </w:rPr>
        <w:t xml:space="preserve"> has been successfully applied to the differential diagnosis of </w:t>
      </w:r>
      <w:r w:rsidR="003C4A96" w:rsidRPr="00AA304C">
        <w:rPr>
          <w:i/>
          <w:lang w:val="en-IE"/>
        </w:rPr>
        <w:t xml:space="preserve">T. </w:t>
      </w:r>
      <w:proofErr w:type="spellStart"/>
      <w:r w:rsidR="003C4A96" w:rsidRPr="00AA304C">
        <w:rPr>
          <w:i/>
          <w:lang w:val="en-IE"/>
        </w:rPr>
        <w:t>equi</w:t>
      </w:r>
      <w:proofErr w:type="spellEnd"/>
      <w:r w:rsidRPr="00AA304C">
        <w:rPr>
          <w:lang w:val="en-IE"/>
        </w:rPr>
        <w:t xml:space="preserve"> and </w:t>
      </w:r>
      <w:r w:rsidR="00C021CD" w:rsidRPr="00AA304C">
        <w:rPr>
          <w:i/>
          <w:lang w:val="en-IE"/>
        </w:rPr>
        <w:t>B. </w:t>
      </w:r>
      <w:proofErr w:type="spellStart"/>
      <w:r w:rsidR="00C021CD" w:rsidRPr="00AA304C">
        <w:rPr>
          <w:i/>
          <w:lang w:val="en-IE"/>
        </w:rPr>
        <w:t>caballi</w:t>
      </w:r>
      <w:proofErr w:type="spellEnd"/>
      <w:r w:rsidRPr="00AA304C">
        <w:rPr>
          <w:lang w:val="en-IE"/>
        </w:rPr>
        <w:t xml:space="preserve"> infections (</w:t>
      </w:r>
      <w:r w:rsidR="00E565F4" w:rsidRPr="00AA304C">
        <w:rPr>
          <w:lang w:val="en-IE"/>
        </w:rPr>
        <w:t>Madden &amp; Holbrook, 1968</w:t>
      </w:r>
      <w:r w:rsidRPr="00AA304C">
        <w:rPr>
          <w:lang w:val="en-IE"/>
        </w:rPr>
        <w:t xml:space="preserve">). The recognition of a strong positive reaction is relatively simple, but any differentiation between weak positive and negative reactions requires considerable experience in interpretation. A detailed description of the protocol of the </w:t>
      </w:r>
      <w:r w:rsidR="00357ECA" w:rsidRPr="00AA304C">
        <w:rPr>
          <w:lang w:val="en-IE"/>
        </w:rPr>
        <w:t>IFAT</w:t>
      </w:r>
      <w:r w:rsidRPr="00AA304C">
        <w:rPr>
          <w:lang w:val="en-IE"/>
        </w:rPr>
        <w:t xml:space="preserve"> has been given (</w:t>
      </w:r>
      <w:r w:rsidR="00E565F4" w:rsidRPr="00AA304C">
        <w:rPr>
          <w:lang w:val="en-IE"/>
        </w:rPr>
        <w:t>Madden &amp; Holbrook, 1968</w:t>
      </w:r>
      <w:r w:rsidRPr="00AA304C">
        <w:rPr>
          <w:lang w:val="en-IE"/>
        </w:rPr>
        <w:t>).</w:t>
      </w:r>
      <w:r w:rsidR="00E64927" w:rsidRPr="00AA304C">
        <w:rPr>
          <w:lang w:val="en-IE"/>
        </w:rPr>
        <w:t xml:space="preserve"> One challenge </w:t>
      </w:r>
      <w:r w:rsidR="00F15F21" w:rsidRPr="00AA304C">
        <w:rPr>
          <w:lang w:val="en-IE"/>
        </w:rPr>
        <w:t>with</w:t>
      </w:r>
      <w:r w:rsidR="00E64927" w:rsidRPr="00AA304C">
        <w:rPr>
          <w:lang w:val="en-IE"/>
        </w:rPr>
        <w:t xml:space="preserve"> the IFA</w:t>
      </w:r>
      <w:r w:rsidR="00F15F21" w:rsidRPr="00AA304C">
        <w:rPr>
          <w:lang w:val="en-IE"/>
        </w:rPr>
        <w:t>T</w:t>
      </w:r>
      <w:r w:rsidR="00E64927" w:rsidRPr="00AA304C">
        <w:rPr>
          <w:lang w:val="en-IE"/>
        </w:rPr>
        <w:t xml:space="preserve"> is the need to dilute sera to reduce </w:t>
      </w:r>
      <w:r w:rsidR="00C84C5D" w:rsidRPr="00AA304C">
        <w:rPr>
          <w:lang w:val="en-IE"/>
        </w:rPr>
        <w:t xml:space="preserve">non-specific </w:t>
      </w:r>
      <w:r w:rsidR="00E64927" w:rsidRPr="00AA304C">
        <w:rPr>
          <w:lang w:val="en-IE"/>
        </w:rPr>
        <w:t>binding and subsequent background</w:t>
      </w:r>
      <w:r w:rsidR="00F15F21" w:rsidRPr="00AA304C">
        <w:rPr>
          <w:lang w:val="en-IE"/>
        </w:rPr>
        <w:t>,</w:t>
      </w:r>
      <w:r w:rsidR="00E64927" w:rsidRPr="00AA304C">
        <w:rPr>
          <w:lang w:val="en-IE"/>
        </w:rPr>
        <w:t xml:space="preserve"> which may preclude </w:t>
      </w:r>
      <w:r w:rsidR="00D5597F" w:rsidRPr="00D5597F">
        <w:rPr>
          <w:u w:val="double"/>
          <w:lang w:val="en-IE"/>
        </w:rPr>
        <w:t>binding</w:t>
      </w:r>
      <w:r w:rsidR="00D5597F">
        <w:rPr>
          <w:lang w:val="en-IE"/>
        </w:rPr>
        <w:t xml:space="preserve"> </w:t>
      </w:r>
      <w:r w:rsidR="00E64927" w:rsidRPr="00D5597F">
        <w:rPr>
          <w:strike/>
          <w:lang w:val="en-IE"/>
        </w:rPr>
        <w:t>identification</w:t>
      </w:r>
      <w:r w:rsidR="00E64927" w:rsidRPr="00AA304C">
        <w:rPr>
          <w:lang w:val="en-IE"/>
        </w:rPr>
        <w:t xml:space="preserve"> of the intra-eryth</w:t>
      </w:r>
      <w:r w:rsidR="00D5597F">
        <w:rPr>
          <w:lang w:val="en-IE"/>
        </w:rPr>
        <w:t>r</w:t>
      </w:r>
      <w:r w:rsidR="00E64927" w:rsidRPr="00AA304C">
        <w:rPr>
          <w:lang w:val="en-IE"/>
        </w:rPr>
        <w:t>ocytic parasites. Sera dilutions to enhance specificity lead to a decrease in sensitivity</w:t>
      </w:r>
      <w:r w:rsidR="00F15F21" w:rsidRPr="00AA304C">
        <w:rPr>
          <w:lang w:val="en-IE"/>
        </w:rPr>
        <w:t xml:space="preserve"> of the IFAT</w:t>
      </w:r>
      <w:r w:rsidR="00E64927" w:rsidRPr="00AA304C">
        <w:rPr>
          <w:lang w:val="en-IE"/>
        </w:rPr>
        <w:t>.</w:t>
      </w:r>
      <w:r w:rsidR="00AE0527" w:rsidRPr="00AA304C">
        <w:rPr>
          <w:lang w:val="en-IE"/>
        </w:rPr>
        <w:t xml:space="preserve"> </w:t>
      </w:r>
      <w:r w:rsidRPr="00AA304C">
        <w:rPr>
          <w:lang w:val="en-IE"/>
        </w:rPr>
        <w:t>An example of an IFA protocol is given below.</w:t>
      </w:r>
    </w:p>
    <w:p w14:paraId="663E0BC9" w14:textId="77777777" w:rsidR="00FC674A" w:rsidRPr="00AA304C" w:rsidRDefault="00E70E3D" w:rsidP="00E70E3D">
      <w:pPr>
        <w:pStyle w:val="111"/>
        <w:rPr>
          <w:lang w:val="en-IE"/>
        </w:rPr>
      </w:pPr>
      <w:r w:rsidRPr="00AA304C">
        <w:rPr>
          <w:lang w:val="en-IE"/>
        </w:rPr>
        <w:t>2.1.1.</w:t>
      </w:r>
      <w:r w:rsidR="00FC674A" w:rsidRPr="00AA304C">
        <w:rPr>
          <w:lang w:val="en-IE"/>
        </w:rPr>
        <w:tab/>
        <w:t>Antigen production</w:t>
      </w:r>
    </w:p>
    <w:p w14:paraId="663E0BCA" w14:textId="77777777" w:rsidR="00FC674A" w:rsidRPr="00AA304C" w:rsidRDefault="00FC674A" w:rsidP="00E70E3D">
      <w:pPr>
        <w:pStyle w:val="111Para"/>
        <w:rPr>
          <w:lang w:val="en-IE"/>
        </w:rPr>
      </w:pPr>
      <w:r w:rsidRPr="00AA304C">
        <w:rPr>
          <w:lang w:val="en-IE"/>
        </w:rPr>
        <w:lastRenderedPageBreak/>
        <w:t xml:space="preserve">Blood for antigen is obtained from horses with a rising parasitaemia, ideally 2–5%. Carrier animals that have already produced antibodies are not suitable for antigen production. </w:t>
      </w:r>
      <w:r w:rsidR="00A0009D" w:rsidRPr="00AA304C">
        <w:rPr>
          <w:lang w:val="en-IE"/>
        </w:rPr>
        <w:t xml:space="preserve">Alternatively, </w:t>
      </w:r>
      <w:r w:rsidR="00F15F21" w:rsidRPr="00AA304C">
        <w:rPr>
          <w:lang w:val="en-IE"/>
        </w:rPr>
        <w:t xml:space="preserve">parasites </w:t>
      </w:r>
      <w:r w:rsidR="00A0009D" w:rsidRPr="00AA304C">
        <w:rPr>
          <w:lang w:val="en-IE"/>
        </w:rPr>
        <w:t>culture</w:t>
      </w:r>
      <w:r w:rsidR="003D7E57" w:rsidRPr="00AA304C">
        <w:rPr>
          <w:lang w:val="en-IE"/>
        </w:rPr>
        <w:t>d</w:t>
      </w:r>
      <w:r w:rsidR="00A0009D" w:rsidRPr="00AA304C">
        <w:rPr>
          <w:lang w:val="en-IE"/>
        </w:rPr>
        <w:t xml:space="preserve"> </w:t>
      </w:r>
      <w:r w:rsidR="003D7E57" w:rsidRPr="00AA304C">
        <w:rPr>
          <w:i/>
          <w:lang w:val="en-IE"/>
        </w:rPr>
        <w:t>in vitro</w:t>
      </w:r>
      <w:r w:rsidR="003D7E57" w:rsidRPr="00AA304C">
        <w:rPr>
          <w:lang w:val="en-IE"/>
        </w:rPr>
        <w:t xml:space="preserve"> </w:t>
      </w:r>
      <w:r w:rsidR="00A0009D" w:rsidRPr="00AA304C">
        <w:rPr>
          <w:lang w:val="en-IE"/>
        </w:rPr>
        <w:t xml:space="preserve">can be used for the preparation of slide antigens to avoid contamination of antibodies to </w:t>
      </w:r>
      <w:r w:rsidR="00E8139D" w:rsidRPr="00AA304C">
        <w:rPr>
          <w:lang w:val="en-IE"/>
        </w:rPr>
        <w:t>infected</w:t>
      </w:r>
      <w:r w:rsidR="00A0009D" w:rsidRPr="00AA304C">
        <w:rPr>
          <w:lang w:val="en-IE"/>
        </w:rPr>
        <w:t xml:space="preserve"> RBC</w:t>
      </w:r>
      <w:r w:rsidR="00F15F21" w:rsidRPr="00AA304C">
        <w:rPr>
          <w:lang w:val="en-IE"/>
        </w:rPr>
        <w:t>s</w:t>
      </w:r>
      <w:r w:rsidR="00A0009D" w:rsidRPr="00AA304C">
        <w:rPr>
          <w:lang w:val="en-IE"/>
        </w:rPr>
        <w:t xml:space="preserve"> and for constant supply of infected RB</w:t>
      </w:r>
      <w:r w:rsidR="003D7E57" w:rsidRPr="00AA304C">
        <w:rPr>
          <w:lang w:val="en-IE"/>
        </w:rPr>
        <w:t>C</w:t>
      </w:r>
      <w:r w:rsidR="00F15F21" w:rsidRPr="00AA304C">
        <w:rPr>
          <w:lang w:val="en-IE"/>
        </w:rPr>
        <w:t>s</w:t>
      </w:r>
      <w:r w:rsidR="00A0009D" w:rsidRPr="00AA304C">
        <w:rPr>
          <w:lang w:val="en-IE"/>
        </w:rPr>
        <w:t xml:space="preserve">, </w:t>
      </w:r>
      <w:r w:rsidR="00E8139D" w:rsidRPr="00AA304C">
        <w:rPr>
          <w:lang w:val="en-IE"/>
        </w:rPr>
        <w:t>especially</w:t>
      </w:r>
      <w:r w:rsidR="00A0009D" w:rsidRPr="00AA304C">
        <w:rPr>
          <w:lang w:val="en-IE"/>
        </w:rPr>
        <w:t xml:space="preserve"> for </w:t>
      </w:r>
      <w:r w:rsidR="00A0009D" w:rsidRPr="00AA304C">
        <w:rPr>
          <w:i/>
          <w:lang w:val="en-IE"/>
        </w:rPr>
        <w:t xml:space="preserve">B. </w:t>
      </w:r>
      <w:proofErr w:type="spellStart"/>
      <w:r w:rsidR="00A0009D" w:rsidRPr="00AA304C">
        <w:rPr>
          <w:i/>
          <w:lang w:val="en-IE"/>
        </w:rPr>
        <w:t>cabalii</w:t>
      </w:r>
      <w:proofErr w:type="spellEnd"/>
      <w:r w:rsidR="00A0009D" w:rsidRPr="00AA304C">
        <w:rPr>
          <w:lang w:val="en-IE"/>
        </w:rPr>
        <w:t>.</w:t>
      </w:r>
      <w:r w:rsidR="003D7E57" w:rsidRPr="00AA304C">
        <w:rPr>
          <w:lang w:val="en-IE"/>
        </w:rPr>
        <w:t xml:space="preserve"> </w:t>
      </w:r>
      <w:r w:rsidRPr="00AA304C">
        <w:rPr>
          <w:lang w:val="en-IE"/>
        </w:rPr>
        <w:t>Blood (about 15</w:t>
      </w:r>
      <w:r w:rsidR="004431A2" w:rsidRPr="00AA304C">
        <w:rPr>
          <w:lang w:val="en-IE"/>
        </w:rPr>
        <w:t> </w:t>
      </w:r>
      <w:r w:rsidRPr="00AA304C">
        <w:rPr>
          <w:lang w:val="en-IE"/>
        </w:rPr>
        <w:t>ml) is collected into 235</w:t>
      </w:r>
      <w:r w:rsidR="004431A2" w:rsidRPr="00AA304C">
        <w:rPr>
          <w:lang w:val="en-IE"/>
        </w:rPr>
        <w:t> </w:t>
      </w:r>
      <w:r w:rsidRPr="00AA304C">
        <w:rPr>
          <w:lang w:val="en-IE"/>
        </w:rPr>
        <w:t>ml of phosphate</w:t>
      </w:r>
      <w:r w:rsidR="00F15F21" w:rsidRPr="00AA304C">
        <w:rPr>
          <w:lang w:val="en-IE"/>
        </w:rPr>
        <w:t>-</w:t>
      </w:r>
      <w:r w:rsidRPr="00AA304C">
        <w:rPr>
          <w:lang w:val="en-IE"/>
        </w:rPr>
        <w:t>buffered saline (PBS), pH</w:t>
      </w:r>
      <w:r w:rsidR="004A44B6" w:rsidRPr="00AA304C">
        <w:rPr>
          <w:lang w:val="en-IE"/>
        </w:rPr>
        <w:t> </w:t>
      </w:r>
      <w:r w:rsidRPr="00AA304C">
        <w:rPr>
          <w:lang w:val="en-IE"/>
        </w:rPr>
        <w:t>7.2. The RBCs are washed three times in cold PBS (1000</w:t>
      </w:r>
      <w:r w:rsidR="004431A2" w:rsidRPr="00AA304C">
        <w:rPr>
          <w:lang w:val="en-IE"/>
        </w:rPr>
        <w:t> </w:t>
      </w:r>
      <w:r w:rsidRPr="00AA304C">
        <w:rPr>
          <w:b/>
          <w:i/>
          <w:iCs/>
          <w:lang w:val="en-IE"/>
        </w:rPr>
        <w:t>g</w:t>
      </w:r>
      <w:r w:rsidRPr="00AA304C">
        <w:rPr>
          <w:lang w:val="en-IE"/>
        </w:rPr>
        <w:t xml:space="preserve"> for 10</w:t>
      </w:r>
      <w:r w:rsidR="004431A2" w:rsidRPr="00AA304C">
        <w:rPr>
          <w:lang w:val="en-IE"/>
        </w:rPr>
        <w:t> </w:t>
      </w:r>
      <w:r w:rsidRPr="00AA304C">
        <w:rPr>
          <w:lang w:val="en-IE"/>
        </w:rPr>
        <w:t>minutes at 4°C). The supernatant fluid and the white cell layer are removed after each wash. After the last wash, the packed RBCs are reconstituted to the initial volume with 4% bovine serum albumin fraction V made up in PBS, i.e. the original packed cell volume = 30% so that one-third consists of RBCs. If the original RBC volume is 15</w:t>
      </w:r>
      <w:r w:rsidR="004431A2" w:rsidRPr="00AA304C">
        <w:rPr>
          <w:lang w:val="en-IE"/>
        </w:rPr>
        <w:t> </w:t>
      </w:r>
      <w:r w:rsidRPr="00AA304C">
        <w:rPr>
          <w:lang w:val="en-IE"/>
        </w:rPr>
        <w:t>ml, then 5 ml of packed RBCs + 10 ml of 4% bovine albumin in PBS constitutes the antigen. After thorough mixing, the antigen is placed on</w:t>
      </w:r>
      <w:r w:rsidR="004431A2" w:rsidRPr="00AA304C">
        <w:rPr>
          <w:lang w:val="en-IE"/>
        </w:rPr>
        <w:t xml:space="preserve"> </w:t>
      </w:r>
      <w:r w:rsidRPr="00AA304C">
        <w:rPr>
          <w:lang w:val="en-IE"/>
        </w:rPr>
        <w:t>to prepared wells on a glass slide using a template or a syringe. Alternatively, the cells can be spread smoothly on to microscope slides, covering the entire slide with an even, moderately thick film. These slides are allowed to dry, wrapped in soft paper and sealed in plastic bags or wrapped in aluminium foil, and stored at –20°C for up to 1</w:t>
      </w:r>
      <w:r w:rsidR="004431A2" w:rsidRPr="00AA304C">
        <w:rPr>
          <w:lang w:val="en-IE"/>
        </w:rPr>
        <w:t> </w:t>
      </w:r>
      <w:r w:rsidRPr="00AA304C">
        <w:rPr>
          <w:lang w:val="en-IE"/>
        </w:rPr>
        <w:t>year.</w:t>
      </w:r>
    </w:p>
    <w:p w14:paraId="663E0BCB" w14:textId="77777777" w:rsidR="00FC674A" w:rsidRPr="00AA304C" w:rsidRDefault="00E70E3D" w:rsidP="00E70E3D">
      <w:pPr>
        <w:pStyle w:val="111"/>
        <w:rPr>
          <w:bCs/>
          <w:lang w:val="en-IE"/>
        </w:rPr>
      </w:pPr>
      <w:r w:rsidRPr="00AA304C">
        <w:rPr>
          <w:bCs/>
          <w:lang w:val="en-IE"/>
        </w:rPr>
        <w:t>2.1.2.</w:t>
      </w:r>
      <w:r w:rsidR="00FC674A" w:rsidRPr="00AA304C">
        <w:rPr>
          <w:bCs/>
          <w:lang w:val="en-IE"/>
        </w:rPr>
        <w:tab/>
        <w:t>Test procedure</w:t>
      </w:r>
    </w:p>
    <w:p w14:paraId="663E0BCC" w14:textId="77777777" w:rsidR="00FC674A" w:rsidRPr="00AA304C" w:rsidRDefault="00FC674A" w:rsidP="00C5786E">
      <w:pPr>
        <w:pStyle w:val="i"/>
        <w:rPr>
          <w:lang w:val="en-IE"/>
        </w:rPr>
      </w:pPr>
      <w:proofErr w:type="spellStart"/>
      <w:r w:rsidRPr="00AA304C">
        <w:rPr>
          <w:lang w:val="en-IE"/>
        </w:rPr>
        <w:t>i</w:t>
      </w:r>
      <w:proofErr w:type="spellEnd"/>
      <w:r w:rsidRPr="00AA304C">
        <w:rPr>
          <w:lang w:val="en-IE"/>
        </w:rPr>
        <w:t>)</w:t>
      </w:r>
      <w:r w:rsidRPr="00AA304C">
        <w:rPr>
          <w:lang w:val="en-IE"/>
        </w:rPr>
        <w:tab/>
        <w:t xml:space="preserve">Each </w:t>
      </w:r>
      <w:r w:rsidR="00F15F21" w:rsidRPr="00AA304C">
        <w:rPr>
          <w:lang w:val="en-IE"/>
        </w:rPr>
        <w:t xml:space="preserve">serum </w:t>
      </w:r>
      <w:r w:rsidRPr="00AA304C">
        <w:rPr>
          <w:lang w:val="en-IE"/>
        </w:rPr>
        <w:t xml:space="preserve">sample is tested against an antigen of </w:t>
      </w:r>
      <w:r w:rsidR="00C021CD" w:rsidRPr="00AA304C">
        <w:rPr>
          <w:i/>
          <w:lang w:val="en-IE"/>
        </w:rPr>
        <w:t>B. </w:t>
      </w:r>
      <w:proofErr w:type="spellStart"/>
      <w:r w:rsidR="00C021CD" w:rsidRPr="00AA304C">
        <w:rPr>
          <w:i/>
          <w:lang w:val="en-IE"/>
        </w:rPr>
        <w:t>caballi</w:t>
      </w:r>
      <w:proofErr w:type="spellEnd"/>
      <w:r w:rsidRPr="00AA304C">
        <w:rPr>
          <w:lang w:val="en-IE"/>
        </w:rPr>
        <w:t xml:space="preserve"> and of </w:t>
      </w:r>
      <w:r w:rsidR="003C4A96" w:rsidRPr="00AA304C">
        <w:rPr>
          <w:i/>
          <w:lang w:val="en-IE"/>
        </w:rPr>
        <w:t xml:space="preserve">T. </w:t>
      </w:r>
      <w:proofErr w:type="spellStart"/>
      <w:r w:rsidR="003C4A96" w:rsidRPr="00AA304C">
        <w:rPr>
          <w:i/>
          <w:lang w:val="en-IE"/>
        </w:rPr>
        <w:t>equi</w:t>
      </w:r>
      <w:proofErr w:type="spellEnd"/>
      <w:r w:rsidRPr="00AA304C">
        <w:rPr>
          <w:lang w:val="en-IE"/>
        </w:rPr>
        <w:t>.</w:t>
      </w:r>
    </w:p>
    <w:p w14:paraId="663E0BCD" w14:textId="77777777" w:rsidR="00FC674A" w:rsidRPr="00AA304C" w:rsidRDefault="00FC674A" w:rsidP="00C5786E">
      <w:pPr>
        <w:pStyle w:val="i"/>
        <w:rPr>
          <w:lang w:val="en-IE"/>
        </w:rPr>
      </w:pPr>
      <w:r w:rsidRPr="00AA304C">
        <w:rPr>
          <w:lang w:val="en-IE"/>
        </w:rPr>
        <w:t>ii)</w:t>
      </w:r>
      <w:r w:rsidRPr="00AA304C">
        <w:rPr>
          <w:lang w:val="en-IE"/>
        </w:rPr>
        <w:tab/>
        <w:t>Prior to use, the frozen antigen slides are removed from storage at –20°C and incubated at 37°C for 10 minutes.</w:t>
      </w:r>
    </w:p>
    <w:p w14:paraId="663E0BCE" w14:textId="77777777" w:rsidR="00FC674A" w:rsidRPr="00AA304C" w:rsidRDefault="00FC674A" w:rsidP="00C5786E">
      <w:pPr>
        <w:pStyle w:val="i"/>
        <w:rPr>
          <w:lang w:val="en-IE"/>
        </w:rPr>
      </w:pPr>
      <w:r w:rsidRPr="00AA304C">
        <w:rPr>
          <w:lang w:val="en-IE"/>
        </w:rPr>
        <w:t>iii)</w:t>
      </w:r>
      <w:r w:rsidRPr="00AA304C">
        <w:rPr>
          <w:lang w:val="en-IE"/>
        </w:rPr>
        <w:tab/>
        <w:t>The antigen smears are then removed from their protective covering and fixed in cold dry acetone (–20°C) for 1</w:t>
      </w:r>
      <w:r w:rsidR="004431A2" w:rsidRPr="00AA304C">
        <w:rPr>
          <w:lang w:val="en-IE"/>
        </w:rPr>
        <w:t> </w:t>
      </w:r>
      <w:r w:rsidRPr="00AA304C">
        <w:rPr>
          <w:lang w:val="en-IE"/>
        </w:rPr>
        <w:t>minute. Commercially produced slides are available that are pre-fixed.</w:t>
      </w:r>
    </w:p>
    <w:p w14:paraId="663E0BCF" w14:textId="622F3DC8" w:rsidR="00FC674A" w:rsidRPr="00AA304C" w:rsidRDefault="00FC674A" w:rsidP="004431A2">
      <w:pPr>
        <w:pStyle w:val="i"/>
        <w:rPr>
          <w:lang w:val="en-IE"/>
        </w:rPr>
      </w:pPr>
      <w:r w:rsidRPr="00AA304C">
        <w:rPr>
          <w:lang w:val="en-IE"/>
        </w:rPr>
        <w:t>iv)</w:t>
      </w:r>
      <w:r w:rsidRPr="00AA304C">
        <w:rPr>
          <w:lang w:val="en-IE"/>
        </w:rPr>
        <w:tab/>
        <w:t>If smears were prepared on the whole slide surface, squares (14–21 in number, i.e. 2–3</w:t>
      </w:r>
      <w:r w:rsidR="004431A2" w:rsidRPr="00AA304C">
        <w:rPr>
          <w:lang w:val="en-IE"/>
        </w:rPr>
        <w:t> </w:t>
      </w:r>
      <w:r w:rsidRPr="00AA304C">
        <w:rPr>
          <w:lang w:val="en-IE"/>
        </w:rPr>
        <w:t>rows of 7</w:t>
      </w:r>
      <w:r w:rsidR="004431A2" w:rsidRPr="00AA304C">
        <w:rPr>
          <w:lang w:val="en-IE"/>
        </w:rPr>
        <w:t> </w:t>
      </w:r>
      <w:r w:rsidRPr="00AA304C">
        <w:rPr>
          <w:lang w:val="en-IE"/>
        </w:rPr>
        <w:t>each) are formed on the antigen smears with nail varnish or rapidly drying mounting medium</w:t>
      </w:r>
      <w:r w:rsidRPr="00B94B2A">
        <w:rPr>
          <w:strike/>
          <w:lang w:val="en-IE"/>
        </w:rPr>
        <w:t xml:space="preserve"> (i.e. </w:t>
      </w:r>
      <w:proofErr w:type="spellStart"/>
      <w:r w:rsidRPr="00B94B2A">
        <w:rPr>
          <w:strike/>
          <w:lang w:val="en-IE"/>
        </w:rPr>
        <w:t>Cystoseal</w:t>
      </w:r>
      <w:proofErr w:type="spellEnd"/>
      <w:r w:rsidRPr="00B94B2A">
        <w:rPr>
          <w:strike/>
          <w:lang w:val="en-IE"/>
        </w:rPr>
        <w:t>)</w:t>
      </w:r>
      <w:r w:rsidRPr="00AA304C">
        <w:rPr>
          <w:lang w:val="en-IE"/>
        </w:rPr>
        <w:t>.</w:t>
      </w:r>
    </w:p>
    <w:p w14:paraId="663E0BD0" w14:textId="77777777" w:rsidR="00FC674A" w:rsidRPr="00AA304C" w:rsidRDefault="00FC674A" w:rsidP="00C5786E">
      <w:pPr>
        <w:pStyle w:val="i"/>
        <w:rPr>
          <w:lang w:val="en-IE"/>
        </w:rPr>
      </w:pPr>
      <w:r w:rsidRPr="00AA304C">
        <w:rPr>
          <w:lang w:val="en-IE"/>
        </w:rPr>
        <w:t>v)</w:t>
      </w:r>
      <w:r w:rsidRPr="00AA304C">
        <w:rPr>
          <w:lang w:val="en-IE"/>
        </w:rPr>
        <w:tab/>
        <w:t>Test, positive and negative control sera are diluted from 1/80 to 1/1280 in PBS. Negative and positive control sera are included in each test.</w:t>
      </w:r>
    </w:p>
    <w:p w14:paraId="663E0BD1" w14:textId="77777777" w:rsidR="00FC674A" w:rsidRPr="00AA304C" w:rsidRDefault="00FC674A" w:rsidP="00C5786E">
      <w:pPr>
        <w:pStyle w:val="i"/>
        <w:rPr>
          <w:lang w:val="en-IE"/>
        </w:rPr>
      </w:pPr>
      <w:r w:rsidRPr="00AA304C">
        <w:rPr>
          <w:lang w:val="en-IE"/>
        </w:rPr>
        <w:t>vi)</w:t>
      </w:r>
      <w:r w:rsidRPr="00AA304C">
        <w:rPr>
          <w:lang w:val="en-IE"/>
        </w:rPr>
        <w:tab/>
        <w:t>Sera are applied (10</w:t>
      </w:r>
      <w:r w:rsidR="004431A2" w:rsidRPr="00AA304C">
        <w:rPr>
          <w:lang w:val="en-IE"/>
        </w:rPr>
        <w:t> </w:t>
      </w:r>
      <w:r w:rsidRPr="00AA304C">
        <w:rPr>
          <w:lang w:val="en-IE"/>
        </w:rPr>
        <w:t>µl each) at appropriate dilutions to the different wells or squares on the antigen smear, incubated at 37°C for 30</w:t>
      </w:r>
      <w:r w:rsidR="004431A2" w:rsidRPr="00AA304C">
        <w:rPr>
          <w:lang w:val="en-IE"/>
        </w:rPr>
        <w:t> </w:t>
      </w:r>
      <w:r w:rsidRPr="00AA304C">
        <w:rPr>
          <w:lang w:val="en-IE"/>
        </w:rPr>
        <w:t>minutes, and washed several times in PBS and once in water.</w:t>
      </w:r>
    </w:p>
    <w:p w14:paraId="663E0BD2" w14:textId="77777777" w:rsidR="00FC674A" w:rsidRPr="00AA304C" w:rsidRDefault="00FC674A" w:rsidP="00C5786E">
      <w:pPr>
        <w:pStyle w:val="i"/>
        <w:rPr>
          <w:lang w:val="en-IE"/>
        </w:rPr>
      </w:pPr>
      <w:r w:rsidRPr="00AA304C">
        <w:rPr>
          <w:lang w:val="en-IE"/>
        </w:rPr>
        <w:t>vii)</w:t>
      </w:r>
      <w:r w:rsidRPr="00AA304C">
        <w:rPr>
          <w:lang w:val="en-IE"/>
        </w:rPr>
        <w:tab/>
        <w:t>An anti-horse immunoglobulin prepared in rabbits and conjugated with fluorescein isothiocyanate (this conjugate is available commercially) is diluted in PBS and applied to the smear, which is then incubated and washed as before.</w:t>
      </w:r>
    </w:p>
    <w:p w14:paraId="663E0BD3" w14:textId="77777777" w:rsidR="00FC674A" w:rsidRPr="00AA304C" w:rsidRDefault="00FC674A" w:rsidP="00C5786E">
      <w:pPr>
        <w:pStyle w:val="i"/>
        <w:rPr>
          <w:lang w:val="en-IE"/>
        </w:rPr>
      </w:pPr>
      <w:r w:rsidRPr="00AA304C">
        <w:rPr>
          <w:lang w:val="en-IE"/>
        </w:rPr>
        <w:t>viii)</w:t>
      </w:r>
      <w:r w:rsidRPr="00AA304C">
        <w:rPr>
          <w:lang w:val="en-IE"/>
        </w:rPr>
        <w:tab/>
        <w:t xml:space="preserve">After the final wash, two drops of a solution containing equal parts of </w:t>
      </w:r>
      <w:proofErr w:type="spellStart"/>
      <w:r w:rsidRPr="00AA304C">
        <w:rPr>
          <w:lang w:val="en-IE"/>
        </w:rPr>
        <w:t>glycerin</w:t>
      </w:r>
      <w:proofErr w:type="spellEnd"/>
      <w:r w:rsidRPr="00AA304C">
        <w:rPr>
          <w:lang w:val="en-IE"/>
        </w:rPr>
        <w:t xml:space="preserve"> a</w:t>
      </w:r>
      <w:r w:rsidR="00F15F21" w:rsidRPr="00AA304C">
        <w:rPr>
          <w:lang w:val="en-IE"/>
        </w:rPr>
        <w:t>nd PBS are placed on each smear</w:t>
      </w:r>
      <w:r w:rsidRPr="00AA304C">
        <w:rPr>
          <w:lang w:val="en-IE"/>
        </w:rPr>
        <w:t xml:space="preserve"> and mounted with a cover-slip.</w:t>
      </w:r>
    </w:p>
    <w:p w14:paraId="663E0BD4" w14:textId="77777777" w:rsidR="00FC674A" w:rsidRPr="00AA304C" w:rsidRDefault="00FC674A" w:rsidP="00C5786E">
      <w:pPr>
        <w:pStyle w:val="iparalast"/>
        <w:spacing w:line="240" w:lineRule="auto"/>
        <w:rPr>
          <w:lang w:val="en-IE"/>
        </w:rPr>
      </w:pPr>
      <w:r w:rsidRPr="00AA304C">
        <w:rPr>
          <w:lang w:val="en-IE"/>
        </w:rPr>
        <w:t>ix)</w:t>
      </w:r>
      <w:r w:rsidRPr="00AA304C">
        <w:rPr>
          <w:lang w:val="en-IE"/>
        </w:rPr>
        <w:tab/>
        <w:t>The smear is then examined under the microscope for the fluorescing parasites. Sera diluted 1/80 or more that show strong fluorescence are usually considered to be positive, although due consideration is also given to the patterns of fluorescence of the positive and negative controls.</w:t>
      </w:r>
    </w:p>
    <w:p w14:paraId="663E0BD5" w14:textId="77777777" w:rsidR="00FC674A" w:rsidRPr="00AA304C" w:rsidRDefault="00E70E3D" w:rsidP="00E70E3D">
      <w:pPr>
        <w:pStyle w:val="11"/>
        <w:rPr>
          <w:bCs/>
          <w:lang w:val="en-IE"/>
        </w:rPr>
      </w:pPr>
      <w:r w:rsidRPr="00AA304C">
        <w:rPr>
          <w:bCs/>
          <w:lang w:val="en-IE"/>
        </w:rPr>
        <w:t>2.2.</w:t>
      </w:r>
      <w:r w:rsidR="00FC674A" w:rsidRPr="00AA304C">
        <w:rPr>
          <w:bCs/>
          <w:lang w:val="en-IE"/>
        </w:rPr>
        <w:tab/>
      </w:r>
      <w:r w:rsidR="00F31228" w:rsidRPr="00AA304C">
        <w:rPr>
          <w:bCs/>
          <w:lang w:val="en-IE"/>
        </w:rPr>
        <w:t>Competitive e</w:t>
      </w:r>
      <w:r w:rsidR="00FC674A" w:rsidRPr="00AA304C">
        <w:rPr>
          <w:bCs/>
          <w:lang w:val="en-IE"/>
        </w:rPr>
        <w:t>n</w:t>
      </w:r>
      <w:r w:rsidR="00AA304C" w:rsidRPr="00AA304C">
        <w:rPr>
          <w:bCs/>
          <w:lang w:val="en-IE"/>
        </w:rPr>
        <w:t>zyme-linked immunosorbent assay</w:t>
      </w:r>
    </w:p>
    <w:p w14:paraId="663E0BD6" w14:textId="77777777" w:rsidR="00FC674A" w:rsidRPr="00AA304C" w:rsidRDefault="00F15F21" w:rsidP="00E70E3D">
      <w:pPr>
        <w:pStyle w:val="11Para"/>
        <w:rPr>
          <w:lang w:val="en-IE"/>
        </w:rPr>
      </w:pPr>
      <w:r w:rsidRPr="00AA304C">
        <w:rPr>
          <w:lang w:val="en-IE"/>
        </w:rPr>
        <w:t>A</w:t>
      </w:r>
      <w:r w:rsidR="00FC674A" w:rsidRPr="00AA304C">
        <w:rPr>
          <w:lang w:val="en-IE"/>
        </w:rPr>
        <w:t xml:space="preserve"> number of recombinant antigens for the use in ELISAs </w:t>
      </w:r>
      <w:r w:rsidR="009E34AE" w:rsidRPr="00AA304C">
        <w:rPr>
          <w:lang w:val="en-IE"/>
        </w:rPr>
        <w:t>have</w:t>
      </w:r>
      <w:r w:rsidR="00FC674A" w:rsidRPr="00AA304C">
        <w:rPr>
          <w:lang w:val="en-IE"/>
        </w:rPr>
        <w:t xml:space="preserve"> been described. Recombinant </w:t>
      </w:r>
      <w:r w:rsidR="000E34F9" w:rsidRPr="00AA304C">
        <w:rPr>
          <w:i/>
          <w:lang w:val="en-IE"/>
        </w:rPr>
        <w:t xml:space="preserve">T. </w:t>
      </w:r>
      <w:proofErr w:type="spellStart"/>
      <w:r w:rsidR="000E34F9" w:rsidRPr="00AA304C">
        <w:rPr>
          <w:i/>
          <w:lang w:val="en-IE"/>
        </w:rPr>
        <w:t>equi</w:t>
      </w:r>
      <w:proofErr w:type="spellEnd"/>
      <w:r w:rsidR="00FC674A" w:rsidRPr="00AA304C">
        <w:rPr>
          <w:lang w:val="en-IE"/>
        </w:rPr>
        <w:t xml:space="preserve"> (EMA-1; EMA-2) and </w:t>
      </w:r>
      <w:r w:rsidR="00C021CD" w:rsidRPr="00AA304C">
        <w:rPr>
          <w:i/>
          <w:lang w:val="en-IE"/>
        </w:rPr>
        <w:t>B. </w:t>
      </w:r>
      <w:proofErr w:type="spellStart"/>
      <w:r w:rsidR="00C021CD" w:rsidRPr="00AA304C">
        <w:rPr>
          <w:i/>
          <w:lang w:val="en-IE"/>
        </w:rPr>
        <w:t>caballi</w:t>
      </w:r>
      <w:proofErr w:type="spellEnd"/>
      <w:r w:rsidR="00FC674A" w:rsidRPr="00AA304C">
        <w:rPr>
          <w:lang w:val="en-IE"/>
        </w:rPr>
        <w:t xml:space="preserve"> proteins (RA</w:t>
      </w:r>
      <w:bookmarkStart w:id="4" w:name="_spaddin_ign_39_P"/>
      <w:r w:rsidR="00FC674A" w:rsidRPr="00AA304C">
        <w:rPr>
          <w:lang w:val="en-IE"/>
        </w:rPr>
        <w:t>P</w:t>
      </w:r>
      <w:bookmarkEnd w:id="4"/>
      <w:r w:rsidR="00FC674A" w:rsidRPr="00AA304C">
        <w:rPr>
          <w:lang w:val="en-IE"/>
        </w:rPr>
        <w:t xml:space="preserve">-1; Bc48) have been produced in </w:t>
      </w:r>
      <w:r w:rsidR="00FC674A" w:rsidRPr="00AA304C">
        <w:rPr>
          <w:i/>
          <w:lang w:val="en-IE"/>
        </w:rPr>
        <w:t>Escherichia coli</w:t>
      </w:r>
      <w:r w:rsidR="00FC674A" w:rsidRPr="00AA304C">
        <w:rPr>
          <w:lang w:val="en-IE"/>
        </w:rPr>
        <w:t xml:space="preserve"> (</w:t>
      </w:r>
      <w:r w:rsidR="00E565F4" w:rsidRPr="00AA304C">
        <w:rPr>
          <w:lang w:val="en-IE"/>
        </w:rPr>
        <w:t xml:space="preserve">Huang </w:t>
      </w:r>
      <w:r w:rsidRPr="00AA304C">
        <w:rPr>
          <w:i/>
          <w:lang w:val="en-IE"/>
        </w:rPr>
        <w:t>et al</w:t>
      </w:r>
      <w:r w:rsidR="00E565F4" w:rsidRPr="00AA304C">
        <w:rPr>
          <w:lang w:val="en-IE"/>
        </w:rPr>
        <w:t>., 2003</w:t>
      </w:r>
      <w:r w:rsidR="006E3F3A" w:rsidRPr="00AA304C">
        <w:rPr>
          <w:lang w:val="en-IE"/>
        </w:rPr>
        <w:t>;</w:t>
      </w:r>
      <w:r w:rsidR="002470D6" w:rsidRPr="00AA304C">
        <w:rPr>
          <w:lang w:val="en-IE"/>
        </w:rPr>
        <w:t xml:space="preserve"> </w:t>
      </w:r>
      <w:proofErr w:type="spellStart"/>
      <w:r w:rsidR="00291CD5" w:rsidRPr="00AA304C">
        <w:rPr>
          <w:lang w:val="en-IE"/>
        </w:rPr>
        <w:t>Kappmeyer</w:t>
      </w:r>
      <w:proofErr w:type="spellEnd"/>
      <w:r w:rsidR="00291CD5" w:rsidRPr="00AA304C">
        <w:rPr>
          <w:lang w:val="en-IE"/>
        </w:rPr>
        <w:t xml:space="preserve"> </w:t>
      </w:r>
      <w:r w:rsidRPr="00AA304C">
        <w:rPr>
          <w:i/>
          <w:lang w:val="en-IE"/>
        </w:rPr>
        <w:t>et al</w:t>
      </w:r>
      <w:r w:rsidR="00291CD5" w:rsidRPr="00AA304C">
        <w:rPr>
          <w:lang w:val="en-IE"/>
        </w:rPr>
        <w:t>., 1999</w:t>
      </w:r>
      <w:r w:rsidR="00415127" w:rsidRPr="00AA304C">
        <w:rPr>
          <w:lang w:val="en-IE"/>
        </w:rPr>
        <w:t>;</w:t>
      </w:r>
      <w:r w:rsidR="002470D6" w:rsidRPr="00AA304C">
        <w:rPr>
          <w:lang w:val="en-IE"/>
        </w:rPr>
        <w:t xml:space="preserve"> </w:t>
      </w:r>
      <w:r w:rsidR="00291CD5" w:rsidRPr="00AA304C">
        <w:rPr>
          <w:lang w:val="en-IE"/>
        </w:rPr>
        <w:t xml:space="preserve">Knowles </w:t>
      </w:r>
      <w:r w:rsidRPr="00AA304C">
        <w:rPr>
          <w:i/>
          <w:lang w:val="en-IE"/>
        </w:rPr>
        <w:t>et al</w:t>
      </w:r>
      <w:r w:rsidR="00291CD5" w:rsidRPr="00AA304C">
        <w:rPr>
          <w:lang w:val="en-IE"/>
        </w:rPr>
        <w:t>., 1992</w:t>
      </w:r>
      <w:r w:rsidR="00FC674A" w:rsidRPr="00AA304C">
        <w:rPr>
          <w:lang w:val="en-IE"/>
        </w:rPr>
        <w:t xml:space="preserve">) or in insect cells by </w:t>
      </w:r>
      <w:proofErr w:type="spellStart"/>
      <w:r w:rsidR="00FC674A" w:rsidRPr="00AA304C">
        <w:rPr>
          <w:lang w:val="en-IE"/>
        </w:rPr>
        <w:t>baculovirus</w:t>
      </w:r>
      <w:proofErr w:type="spellEnd"/>
      <w:r w:rsidR="00FC674A" w:rsidRPr="00AA304C">
        <w:rPr>
          <w:lang w:val="en-IE"/>
        </w:rPr>
        <w:t xml:space="preserve"> (</w:t>
      </w:r>
      <w:r w:rsidRPr="00AA304C">
        <w:rPr>
          <w:lang w:val="en-IE"/>
        </w:rPr>
        <w:t xml:space="preserve">Xuan </w:t>
      </w:r>
      <w:r w:rsidRPr="00AA304C">
        <w:rPr>
          <w:i/>
          <w:lang w:val="en-IE"/>
        </w:rPr>
        <w:t>et al</w:t>
      </w:r>
      <w:r w:rsidRPr="00AA304C">
        <w:rPr>
          <w:lang w:val="en-IE"/>
        </w:rPr>
        <w:t>., 2001</w:t>
      </w:r>
      <w:r w:rsidR="00C06049" w:rsidRPr="00AA304C">
        <w:rPr>
          <w:lang w:val="en-IE"/>
        </w:rPr>
        <w:t xml:space="preserve">). </w:t>
      </w:r>
      <w:r w:rsidR="00FC674A" w:rsidRPr="00AA304C">
        <w:rPr>
          <w:lang w:val="en-IE"/>
        </w:rPr>
        <w:t xml:space="preserve">Recombinant antigens produced in </w:t>
      </w:r>
      <w:r w:rsidR="00FC674A" w:rsidRPr="0047585C">
        <w:rPr>
          <w:i/>
          <w:lang w:val="en-IE"/>
        </w:rPr>
        <w:t>E.</w:t>
      </w:r>
      <w:r w:rsidR="00C06049" w:rsidRPr="0047585C">
        <w:rPr>
          <w:i/>
          <w:lang w:val="en-IE"/>
        </w:rPr>
        <w:t> </w:t>
      </w:r>
      <w:r w:rsidR="00FC674A" w:rsidRPr="0047585C">
        <w:rPr>
          <w:i/>
          <w:lang w:val="en-IE"/>
        </w:rPr>
        <w:t>coli</w:t>
      </w:r>
      <w:r w:rsidR="00FC674A" w:rsidRPr="00AA304C">
        <w:rPr>
          <w:lang w:val="en-IE"/>
        </w:rPr>
        <w:t xml:space="preserve"> or by </w:t>
      </w:r>
      <w:proofErr w:type="spellStart"/>
      <w:r w:rsidR="00FC674A" w:rsidRPr="00AA304C">
        <w:rPr>
          <w:lang w:val="en-IE"/>
        </w:rPr>
        <w:t>baculovirus</w:t>
      </w:r>
      <w:proofErr w:type="spellEnd"/>
      <w:r w:rsidR="00FC674A" w:rsidRPr="00AA304C">
        <w:rPr>
          <w:lang w:val="en-IE"/>
        </w:rPr>
        <w:t xml:space="preserve"> have the obvious advantage of avoiding the need to infect horses for antigen production, and </w:t>
      </w:r>
      <w:r w:rsidR="00C06049" w:rsidRPr="00AA304C">
        <w:rPr>
          <w:lang w:val="en-IE"/>
        </w:rPr>
        <w:t xml:space="preserve">of </w:t>
      </w:r>
      <w:r w:rsidR="00FC674A" w:rsidRPr="00AA304C">
        <w:rPr>
          <w:lang w:val="en-IE"/>
        </w:rPr>
        <w:t>eliminatin</w:t>
      </w:r>
      <w:r w:rsidR="00C06049" w:rsidRPr="00AA304C">
        <w:rPr>
          <w:lang w:val="en-IE"/>
        </w:rPr>
        <w:t>g</w:t>
      </w:r>
      <w:r w:rsidR="00FC674A" w:rsidRPr="00AA304C">
        <w:rPr>
          <w:lang w:val="en-IE"/>
        </w:rPr>
        <w:t xml:space="preserve"> the cross-reactions that have been experienced </w:t>
      </w:r>
      <w:r w:rsidR="00C06049" w:rsidRPr="00AA304C">
        <w:rPr>
          <w:lang w:val="en-IE"/>
        </w:rPr>
        <w:t xml:space="preserve">in the past </w:t>
      </w:r>
      <w:r w:rsidR="00FC674A" w:rsidRPr="00AA304C">
        <w:rPr>
          <w:lang w:val="en-IE"/>
        </w:rPr>
        <w:t>with the crude ELISA antigens. They also provide a consistent source of antigen for international di</w:t>
      </w:r>
      <w:r w:rsidR="00C06049" w:rsidRPr="00AA304C">
        <w:rPr>
          <w:lang w:val="en-IE"/>
        </w:rPr>
        <w:t>stribution and standardisation.</w:t>
      </w:r>
    </w:p>
    <w:p w14:paraId="663E0BD7" w14:textId="5A121C44" w:rsidR="00FC674A" w:rsidRPr="00AA304C" w:rsidRDefault="00FC674A" w:rsidP="00E70E3D">
      <w:pPr>
        <w:pStyle w:val="11Para"/>
        <w:rPr>
          <w:lang w:val="en-IE"/>
        </w:rPr>
      </w:pPr>
      <w:r w:rsidRPr="00AA304C">
        <w:rPr>
          <w:lang w:val="en-IE"/>
        </w:rPr>
        <w:t>Indirect ELISA</w:t>
      </w:r>
      <w:r w:rsidR="00C06049" w:rsidRPr="00AA304C">
        <w:rPr>
          <w:lang w:val="en-IE"/>
        </w:rPr>
        <w:t xml:space="preserve">s </w:t>
      </w:r>
      <w:r w:rsidRPr="00AA304C">
        <w:rPr>
          <w:lang w:val="en-IE"/>
        </w:rPr>
        <w:t>using EMA-2 and BC48 have shown high sensitivity and specificity in detecting antibodies in infected horses (</w:t>
      </w:r>
      <w:r w:rsidR="00E565F4" w:rsidRPr="00AA304C">
        <w:rPr>
          <w:lang w:val="en-IE"/>
        </w:rPr>
        <w:t xml:space="preserve">Huang </w:t>
      </w:r>
      <w:r w:rsidR="00F15F21" w:rsidRPr="00AA304C">
        <w:rPr>
          <w:i/>
          <w:lang w:val="en-IE"/>
        </w:rPr>
        <w:t>et al</w:t>
      </w:r>
      <w:r w:rsidR="00E565F4" w:rsidRPr="00AA304C">
        <w:rPr>
          <w:lang w:val="en-IE"/>
        </w:rPr>
        <w:t>., 2003</w:t>
      </w:r>
      <w:r w:rsidR="00415127" w:rsidRPr="00AA304C">
        <w:rPr>
          <w:lang w:val="en-IE"/>
        </w:rPr>
        <w:t>;</w:t>
      </w:r>
      <w:r w:rsidR="00B90604" w:rsidRPr="00AA304C">
        <w:rPr>
          <w:lang w:val="en-IE"/>
        </w:rPr>
        <w:t xml:space="preserve"> </w:t>
      </w:r>
      <w:proofErr w:type="spellStart"/>
      <w:r w:rsidR="00E565F4" w:rsidRPr="00AA304C">
        <w:rPr>
          <w:lang w:val="en-IE"/>
        </w:rPr>
        <w:t>Ikadai</w:t>
      </w:r>
      <w:proofErr w:type="spellEnd"/>
      <w:r w:rsidR="00E565F4" w:rsidRPr="00AA304C">
        <w:rPr>
          <w:lang w:val="en-IE"/>
        </w:rPr>
        <w:t xml:space="preserve"> </w:t>
      </w:r>
      <w:r w:rsidR="00F15F21" w:rsidRPr="00AA304C">
        <w:rPr>
          <w:i/>
          <w:lang w:val="en-IE"/>
        </w:rPr>
        <w:t>et al</w:t>
      </w:r>
      <w:r w:rsidR="00E565F4" w:rsidRPr="00AA304C">
        <w:rPr>
          <w:lang w:val="en-IE"/>
        </w:rPr>
        <w:t>., 1999</w:t>
      </w:r>
      <w:r w:rsidR="00ED73D9">
        <w:rPr>
          <w:lang w:val="en-IE"/>
        </w:rPr>
        <w:t>;</w:t>
      </w:r>
      <w:r w:rsidR="00A24627">
        <w:rPr>
          <w:lang w:val="en-IE"/>
        </w:rPr>
        <w:t xml:space="preserve"> </w:t>
      </w:r>
      <w:r w:rsidR="00A24627" w:rsidRPr="00ED73D9">
        <w:rPr>
          <w:highlight w:val="yellow"/>
          <w:u w:val="double"/>
          <w:lang w:val="en-IE"/>
        </w:rPr>
        <w:t>Kumar</w:t>
      </w:r>
      <w:r w:rsidR="00B06FBA" w:rsidRPr="00ED73D9">
        <w:rPr>
          <w:highlight w:val="yellow"/>
          <w:u w:val="double"/>
          <w:lang w:val="en-IE"/>
        </w:rPr>
        <w:t xml:space="preserve"> </w:t>
      </w:r>
      <w:r w:rsidR="00B06FBA" w:rsidRPr="00ED73D9">
        <w:rPr>
          <w:i/>
          <w:iCs/>
          <w:highlight w:val="yellow"/>
          <w:u w:val="double"/>
          <w:lang w:val="en-IE"/>
        </w:rPr>
        <w:t>et al.</w:t>
      </w:r>
      <w:r w:rsidR="008551E4" w:rsidRPr="00ED73D9">
        <w:rPr>
          <w:highlight w:val="yellow"/>
          <w:u w:val="double"/>
          <w:lang w:val="en-IE"/>
        </w:rPr>
        <w:t>, 2013</w:t>
      </w:r>
      <w:r w:rsidRPr="00AA304C">
        <w:rPr>
          <w:lang w:val="en-IE"/>
        </w:rPr>
        <w:t>). Initial result</w:t>
      </w:r>
      <w:r w:rsidR="00C06049" w:rsidRPr="00AA304C">
        <w:rPr>
          <w:lang w:val="en-IE"/>
        </w:rPr>
        <w:t>s</w:t>
      </w:r>
      <w:r w:rsidRPr="00AA304C">
        <w:rPr>
          <w:lang w:val="en-IE"/>
        </w:rPr>
        <w:t xml:space="preserve"> from these test</w:t>
      </w:r>
      <w:r w:rsidR="00270C58" w:rsidRPr="00AA304C">
        <w:rPr>
          <w:lang w:val="en-IE"/>
        </w:rPr>
        <w:t xml:space="preserve">s </w:t>
      </w:r>
      <w:r w:rsidRPr="00AA304C">
        <w:rPr>
          <w:lang w:val="en-IE"/>
        </w:rPr>
        <w:t xml:space="preserve">are promising and further </w:t>
      </w:r>
      <w:r w:rsidR="00910D47" w:rsidRPr="00AA304C">
        <w:rPr>
          <w:lang w:val="en-IE"/>
        </w:rPr>
        <w:t>validation of the assays is</w:t>
      </w:r>
      <w:r w:rsidR="00C06049" w:rsidRPr="00AA304C">
        <w:rPr>
          <w:lang w:val="en-IE"/>
        </w:rPr>
        <w:t xml:space="preserve"> underway.</w:t>
      </w:r>
      <w:r w:rsidR="00896BAF" w:rsidRPr="00AA304C">
        <w:rPr>
          <w:lang w:val="en-IE"/>
        </w:rPr>
        <w:t xml:space="preserve"> </w:t>
      </w:r>
    </w:p>
    <w:p w14:paraId="663E0BD8" w14:textId="77777777" w:rsidR="00FC674A" w:rsidRPr="00AA304C" w:rsidRDefault="00FC674A" w:rsidP="00E70E3D">
      <w:pPr>
        <w:pStyle w:val="11Para"/>
        <w:rPr>
          <w:lang w:val="en-IE"/>
        </w:rPr>
      </w:pPr>
      <w:r w:rsidRPr="00AA304C">
        <w:rPr>
          <w:lang w:val="en-IE"/>
        </w:rPr>
        <w:t>A competitive inhibition ELISA (</w:t>
      </w:r>
      <w:bookmarkStart w:id="5" w:name="_spaddin_ign_10_C"/>
      <w:r w:rsidRPr="00AA304C">
        <w:rPr>
          <w:lang w:val="en-IE"/>
        </w:rPr>
        <w:t>C</w:t>
      </w:r>
      <w:bookmarkEnd w:id="5"/>
      <w:r w:rsidR="00F828B9" w:rsidRPr="00AA304C">
        <w:rPr>
          <w:lang w:val="en-IE"/>
        </w:rPr>
        <w:t xml:space="preserve">-ELISA) </w:t>
      </w:r>
      <w:r w:rsidRPr="00AA304C">
        <w:rPr>
          <w:lang w:val="en-IE"/>
        </w:rPr>
        <w:t>using EMA-1 protein and a specific monoclonal antibody (</w:t>
      </w:r>
      <w:proofErr w:type="spellStart"/>
      <w:r w:rsidRPr="00AA304C">
        <w:rPr>
          <w:lang w:val="en-IE"/>
        </w:rPr>
        <w:t>MAb</w:t>
      </w:r>
      <w:proofErr w:type="spellEnd"/>
      <w:r w:rsidRPr="00AA304C">
        <w:rPr>
          <w:lang w:val="en-IE"/>
        </w:rPr>
        <w:t xml:space="preserve">) that defines this merozoite surface protein epitope, have been used in a </w:t>
      </w:r>
      <w:bookmarkStart w:id="6" w:name="_spaddin_ign_11_C"/>
      <w:r w:rsidRPr="00AA304C">
        <w:rPr>
          <w:lang w:val="en-IE"/>
        </w:rPr>
        <w:t>C</w:t>
      </w:r>
      <w:bookmarkEnd w:id="6"/>
      <w:r w:rsidRPr="00AA304C">
        <w:rPr>
          <w:lang w:val="en-IE"/>
        </w:rPr>
        <w:t xml:space="preserve">-ELISA for </w:t>
      </w:r>
      <w:r w:rsidR="000E34F9" w:rsidRPr="00AA304C">
        <w:rPr>
          <w:i/>
          <w:lang w:val="en-IE"/>
        </w:rPr>
        <w:t xml:space="preserve">T. </w:t>
      </w:r>
      <w:proofErr w:type="spellStart"/>
      <w:r w:rsidR="000E34F9" w:rsidRPr="00AA304C">
        <w:rPr>
          <w:i/>
          <w:lang w:val="en-IE"/>
        </w:rPr>
        <w:t>equi</w:t>
      </w:r>
      <w:proofErr w:type="spellEnd"/>
      <w:r w:rsidRPr="00AA304C">
        <w:rPr>
          <w:lang w:val="en-IE"/>
        </w:rPr>
        <w:t xml:space="preserve"> (</w:t>
      </w:r>
      <w:r w:rsidR="00291CD5" w:rsidRPr="00AA304C">
        <w:rPr>
          <w:lang w:val="en-IE"/>
        </w:rPr>
        <w:t xml:space="preserve">Knowles </w:t>
      </w:r>
      <w:r w:rsidR="00F15F21" w:rsidRPr="00AA304C">
        <w:rPr>
          <w:i/>
          <w:lang w:val="en-IE"/>
        </w:rPr>
        <w:t>et al</w:t>
      </w:r>
      <w:r w:rsidR="00291CD5" w:rsidRPr="00AA304C">
        <w:rPr>
          <w:lang w:val="en-IE"/>
        </w:rPr>
        <w:t>., 1992</w:t>
      </w:r>
      <w:r w:rsidRPr="00AA304C">
        <w:rPr>
          <w:lang w:val="en-IE"/>
        </w:rPr>
        <w:t xml:space="preserve">). This </w:t>
      </w:r>
      <w:bookmarkStart w:id="7" w:name="_spaddin_ign_12_C"/>
      <w:r w:rsidRPr="00AA304C">
        <w:rPr>
          <w:lang w:val="en-IE"/>
        </w:rPr>
        <w:t>C</w:t>
      </w:r>
      <w:bookmarkEnd w:id="7"/>
      <w:r w:rsidRPr="00AA304C">
        <w:rPr>
          <w:lang w:val="en-IE"/>
        </w:rPr>
        <w:t xml:space="preserve">-ELISA overcomes the problem of antigen purity, as the specificity of this assay depends only on the specificity defined by the </w:t>
      </w:r>
      <w:proofErr w:type="spellStart"/>
      <w:r w:rsidRPr="00AA304C">
        <w:rPr>
          <w:lang w:val="en-IE"/>
        </w:rPr>
        <w:t>MAb</w:t>
      </w:r>
      <w:proofErr w:type="spellEnd"/>
      <w:r w:rsidRPr="00AA304C">
        <w:rPr>
          <w:lang w:val="en-IE"/>
        </w:rPr>
        <w:t xml:space="preserve"> </w:t>
      </w:r>
      <w:r w:rsidR="000E34F9" w:rsidRPr="00AA304C">
        <w:rPr>
          <w:i/>
          <w:lang w:val="en-IE"/>
        </w:rPr>
        <w:t xml:space="preserve">T. </w:t>
      </w:r>
      <w:proofErr w:type="spellStart"/>
      <w:r w:rsidR="000E34F9" w:rsidRPr="00AA304C">
        <w:rPr>
          <w:i/>
          <w:lang w:val="en-IE"/>
        </w:rPr>
        <w:t>equi</w:t>
      </w:r>
      <w:proofErr w:type="spellEnd"/>
      <w:r w:rsidRPr="00AA304C">
        <w:rPr>
          <w:lang w:val="en-IE"/>
        </w:rPr>
        <w:t xml:space="preserve"> epitope. A 94% correlation was shown between the </w:t>
      </w:r>
      <w:bookmarkStart w:id="8" w:name="_spaddin_ign_13_C"/>
      <w:r w:rsidRPr="00AA304C">
        <w:rPr>
          <w:lang w:val="en-IE"/>
        </w:rPr>
        <w:t>C</w:t>
      </w:r>
      <w:bookmarkEnd w:id="8"/>
      <w:r w:rsidRPr="00AA304C">
        <w:rPr>
          <w:lang w:val="en-IE"/>
        </w:rPr>
        <w:t xml:space="preserve">-ELISA and the </w:t>
      </w:r>
      <w:r w:rsidR="00357ECA" w:rsidRPr="00AA304C">
        <w:rPr>
          <w:lang w:val="en-IE"/>
        </w:rPr>
        <w:t>CFT</w:t>
      </w:r>
      <w:r w:rsidRPr="00AA304C">
        <w:rPr>
          <w:lang w:val="en-IE"/>
        </w:rPr>
        <w:t xml:space="preserve"> in detecting antibodies to </w:t>
      </w:r>
      <w:r w:rsidR="000E34F9" w:rsidRPr="00AA304C">
        <w:rPr>
          <w:i/>
          <w:lang w:val="en-IE"/>
        </w:rPr>
        <w:t xml:space="preserve">T. </w:t>
      </w:r>
      <w:proofErr w:type="spellStart"/>
      <w:r w:rsidR="000E34F9" w:rsidRPr="00AA304C">
        <w:rPr>
          <w:i/>
          <w:lang w:val="en-IE"/>
        </w:rPr>
        <w:t>equi</w:t>
      </w:r>
      <w:proofErr w:type="spellEnd"/>
      <w:r w:rsidRPr="00AA304C">
        <w:rPr>
          <w:lang w:val="en-IE"/>
        </w:rPr>
        <w:t xml:space="preserve">. Sera that gave discrepant results were evaluated for their ability to </w:t>
      </w:r>
      <w:proofErr w:type="spellStart"/>
      <w:r w:rsidRPr="00AA304C">
        <w:rPr>
          <w:lang w:val="en-IE"/>
        </w:rPr>
        <w:t>immunoprecipitate</w:t>
      </w:r>
      <w:proofErr w:type="spellEnd"/>
      <w:r w:rsidRPr="00AA304C">
        <w:rPr>
          <w:lang w:val="en-IE"/>
        </w:rPr>
        <w:t xml:space="preserve"> 35S-methionine-labelled </w:t>
      </w:r>
      <w:r w:rsidRPr="00AA304C">
        <w:rPr>
          <w:i/>
          <w:lang w:val="en-IE"/>
        </w:rPr>
        <w:t>in-vitro</w:t>
      </w:r>
      <w:r w:rsidRPr="00AA304C">
        <w:rPr>
          <w:lang w:val="en-IE"/>
        </w:rPr>
        <w:t xml:space="preserve"> translated products of </w:t>
      </w:r>
      <w:r w:rsidR="000E34F9" w:rsidRPr="00AA304C">
        <w:rPr>
          <w:i/>
          <w:lang w:val="en-IE"/>
        </w:rPr>
        <w:t xml:space="preserve">T. </w:t>
      </w:r>
      <w:proofErr w:type="spellStart"/>
      <w:r w:rsidR="000E34F9" w:rsidRPr="00AA304C">
        <w:rPr>
          <w:i/>
          <w:lang w:val="en-IE"/>
        </w:rPr>
        <w:t>equi</w:t>
      </w:r>
      <w:proofErr w:type="spellEnd"/>
      <w:r w:rsidRPr="00AA304C">
        <w:rPr>
          <w:lang w:val="en-IE"/>
        </w:rPr>
        <w:t xml:space="preserve"> merozoite mRNA. Samples that were </w:t>
      </w:r>
      <w:bookmarkStart w:id="9" w:name="_spaddin_ign_14_C"/>
      <w:r w:rsidRPr="00AA304C">
        <w:rPr>
          <w:lang w:val="en-IE"/>
        </w:rPr>
        <w:t>C</w:t>
      </w:r>
      <w:bookmarkEnd w:id="9"/>
      <w:r w:rsidRPr="00AA304C">
        <w:rPr>
          <w:lang w:val="en-IE"/>
        </w:rPr>
        <w:t xml:space="preserve">-ELISA positive and </w:t>
      </w:r>
      <w:r w:rsidR="00357ECA" w:rsidRPr="00AA304C">
        <w:rPr>
          <w:lang w:val="en-IE"/>
        </w:rPr>
        <w:t>CFT</w:t>
      </w:r>
      <w:r w:rsidRPr="00AA304C">
        <w:rPr>
          <w:lang w:val="en-IE"/>
        </w:rPr>
        <w:t xml:space="preserve"> negative clearly precipitated </w:t>
      </w:r>
      <w:r w:rsidRPr="00AA304C">
        <w:rPr>
          <w:lang w:val="en-IE"/>
        </w:rPr>
        <w:lastRenderedPageBreak/>
        <w:t xml:space="preserve">multiple </w:t>
      </w:r>
      <w:r w:rsidR="000E34F9" w:rsidRPr="00AA304C">
        <w:rPr>
          <w:i/>
          <w:lang w:val="en-IE"/>
        </w:rPr>
        <w:t xml:space="preserve">T. </w:t>
      </w:r>
      <w:proofErr w:type="spellStart"/>
      <w:r w:rsidR="000E34F9" w:rsidRPr="00AA304C">
        <w:rPr>
          <w:i/>
          <w:lang w:val="en-IE"/>
        </w:rPr>
        <w:t>equi</w:t>
      </w:r>
      <w:proofErr w:type="spellEnd"/>
      <w:r w:rsidRPr="00AA304C">
        <w:rPr>
          <w:lang w:val="en-IE"/>
        </w:rPr>
        <w:t xml:space="preserve"> proteins. However, immunoprecipitation results with serum samples that were </w:t>
      </w:r>
      <w:bookmarkStart w:id="10" w:name="_spaddin_ign_15_C"/>
      <w:r w:rsidRPr="00AA304C">
        <w:rPr>
          <w:lang w:val="en-IE"/>
        </w:rPr>
        <w:t>C</w:t>
      </w:r>
      <w:bookmarkEnd w:id="10"/>
      <w:r w:rsidRPr="00AA304C">
        <w:rPr>
          <w:lang w:val="en-IE"/>
        </w:rPr>
        <w:t xml:space="preserve">-ELISA negative and </w:t>
      </w:r>
      <w:r w:rsidR="00357ECA" w:rsidRPr="00AA304C">
        <w:rPr>
          <w:lang w:val="en-IE"/>
        </w:rPr>
        <w:t>CFT</w:t>
      </w:r>
      <w:r w:rsidRPr="00AA304C">
        <w:rPr>
          <w:lang w:val="en-IE"/>
        </w:rPr>
        <w:t xml:space="preserve"> positive were inconclusive (</w:t>
      </w:r>
      <w:r w:rsidR="00291CD5" w:rsidRPr="00AA304C">
        <w:rPr>
          <w:lang w:val="en-IE"/>
        </w:rPr>
        <w:t xml:space="preserve">Knowles </w:t>
      </w:r>
      <w:r w:rsidR="00F15F21" w:rsidRPr="00AA304C">
        <w:rPr>
          <w:i/>
          <w:lang w:val="en-IE"/>
        </w:rPr>
        <w:t>et al</w:t>
      </w:r>
      <w:r w:rsidR="00291CD5" w:rsidRPr="00AA304C">
        <w:rPr>
          <w:lang w:val="en-IE"/>
        </w:rPr>
        <w:t>., 1991</w:t>
      </w:r>
      <w:r w:rsidRPr="00AA304C">
        <w:rPr>
          <w:lang w:val="en-IE"/>
        </w:rPr>
        <w:t xml:space="preserve">). This </w:t>
      </w:r>
      <w:bookmarkStart w:id="11" w:name="_spaddin_ign_16_C"/>
      <w:r w:rsidRPr="00AA304C">
        <w:rPr>
          <w:lang w:val="en-IE"/>
        </w:rPr>
        <w:t>C</w:t>
      </w:r>
      <w:bookmarkEnd w:id="11"/>
      <w:r w:rsidRPr="00AA304C">
        <w:rPr>
          <w:lang w:val="en-IE"/>
        </w:rPr>
        <w:t xml:space="preserve">-ELISA for </w:t>
      </w:r>
      <w:r w:rsidR="000E34F9" w:rsidRPr="00AA304C">
        <w:rPr>
          <w:i/>
          <w:lang w:val="en-IE"/>
        </w:rPr>
        <w:t>T. </w:t>
      </w:r>
      <w:proofErr w:type="spellStart"/>
      <w:r w:rsidR="000E34F9" w:rsidRPr="00AA304C">
        <w:rPr>
          <w:i/>
          <w:lang w:val="en-IE"/>
        </w:rPr>
        <w:t>equi</w:t>
      </w:r>
      <w:proofErr w:type="spellEnd"/>
      <w:r w:rsidRPr="00AA304C">
        <w:rPr>
          <w:lang w:val="en-IE"/>
        </w:rPr>
        <w:t xml:space="preserve"> was also validated in Morocco and Israel, giving a concordance of 91% and 95.7% with the </w:t>
      </w:r>
      <w:r w:rsidR="00357ECA" w:rsidRPr="00AA304C">
        <w:rPr>
          <w:lang w:val="en-IE"/>
        </w:rPr>
        <w:t>IFAT</w:t>
      </w:r>
      <w:r w:rsidRPr="00AA304C">
        <w:rPr>
          <w:lang w:val="en-IE"/>
        </w:rPr>
        <w:t>, respectively</w:t>
      </w:r>
      <w:r w:rsidR="00922470" w:rsidRPr="00AA304C">
        <w:rPr>
          <w:lang w:val="en-IE"/>
        </w:rPr>
        <w:t xml:space="preserve"> </w:t>
      </w:r>
      <w:r w:rsidRPr="00AA304C">
        <w:rPr>
          <w:lang w:val="en-IE"/>
        </w:rPr>
        <w:t>(</w:t>
      </w:r>
      <w:proofErr w:type="spellStart"/>
      <w:r w:rsidR="00291CD5" w:rsidRPr="00AA304C">
        <w:rPr>
          <w:lang w:val="en-IE"/>
        </w:rPr>
        <w:t>Rhalem</w:t>
      </w:r>
      <w:proofErr w:type="spellEnd"/>
      <w:r w:rsidR="00291CD5" w:rsidRPr="00AA304C">
        <w:rPr>
          <w:lang w:val="en-IE"/>
        </w:rPr>
        <w:t xml:space="preserve"> </w:t>
      </w:r>
      <w:r w:rsidR="00F15F21" w:rsidRPr="00AA304C">
        <w:rPr>
          <w:i/>
          <w:lang w:val="en-IE"/>
        </w:rPr>
        <w:t>et al</w:t>
      </w:r>
      <w:r w:rsidR="00291CD5" w:rsidRPr="00AA304C">
        <w:rPr>
          <w:lang w:val="en-IE"/>
        </w:rPr>
        <w:t>., 2001</w:t>
      </w:r>
      <w:r w:rsidR="00415127" w:rsidRPr="00AA304C">
        <w:rPr>
          <w:lang w:val="en-IE"/>
        </w:rPr>
        <w:t>;</w:t>
      </w:r>
      <w:r w:rsidR="00EF24B3" w:rsidRPr="00AA304C">
        <w:rPr>
          <w:lang w:val="en-IE"/>
        </w:rPr>
        <w:t xml:space="preserve"> </w:t>
      </w:r>
      <w:proofErr w:type="spellStart"/>
      <w:r w:rsidR="00291CD5" w:rsidRPr="00AA304C">
        <w:rPr>
          <w:lang w:val="en-IE"/>
        </w:rPr>
        <w:t>Shkap</w:t>
      </w:r>
      <w:proofErr w:type="spellEnd"/>
      <w:r w:rsidR="00291CD5" w:rsidRPr="00AA304C">
        <w:rPr>
          <w:lang w:val="en-IE"/>
        </w:rPr>
        <w:t xml:space="preserve"> </w:t>
      </w:r>
      <w:r w:rsidR="00F15F21" w:rsidRPr="00AA304C">
        <w:rPr>
          <w:i/>
          <w:lang w:val="en-IE"/>
        </w:rPr>
        <w:t>et al</w:t>
      </w:r>
      <w:r w:rsidR="00291CD5" w:rsidRPr="00AA304C">
        <w:rPr>
          <w:lang w:val="en-IE"/>
        </w:rPr>
        <w:t>., 1998</w:t>
      </w:r>
      <w:r w:rsidRPr="00AA304C">
        <w:rPr>
          <w:lang w:val="en-IE"/>
        </w:rPr>
        <w:t xml:space="preserve">). A similar </w:t>
      </w:r>
      <w:bookmarkStart w:id="12" w:name="_spaddin_ign_17_C"/>
      <w:r w:rsidRPr="00AA304C">
        <w:rPr>
          <w:lang w:val="en-IE"/>
        </w:rPr>
        <w:t>C</w:t>
      </w:r>
      <w:bookmarkEnd w:id="12"/>
      <w:r w:rsidRPr="00AA304C">
        <w:rPr>
          <w:lang w:val="en-IE"/>
        </w:rPr>
        <w:t xml:space="preserve">-ELISA has been developed using the recombinant </w:t>
      </w:r>
      <w:r w:rsidR="000E34F9" w:rsidRPr="00AA304C">
        <w:rPr>
          <w:i/>
          <w:lang w:val="en-IE"/>
        </w:rPr>
        <w:t xml:space="preserve">B. </w:t>
      </w:r>
      <w:proofErr w:type="spellStart"/>
      <w:r w:rsidR="000E34F9" w:rsidRPr="00AA304C">
        <w:rPr>
          <w:i/>
          <w:lang w:val="en-IE"/>
        </w:rPr>
        <w:t>caballi</w:t>
      </w:r>
      <w:proofErr w:type="spellEnd"/>
      <w:r w:rsidRPr="00AA304C">
        <w:rPr>
          <w:lang w:val="en-IE"/>
        </w:rPr>
        <w:t xml:space="preserve"> rhoptry-associated protein 1 (RA</w:t>
      </w:r>
      <w:bookmarkStart w:id="13" w:name="_spaddin_ign_40_P"/>
      <w:r w:rsidRPr="00AA304C">
        <w:rPr>
          <w:lang w:val="en-IE"/>
        </w:rPr>
        <w:t>P</w:t>
      </w:r>
      <w:bookmarkEnd w:id="13"/>
      <w:r w:rsidRPr="00AA304C">
        <w:rPr>
          <w:lang w:val="en-IE"/>
        </w:rPr>
        <w:t xml:space="preserve">-1) and a </w:t>
      </w:r>
      <w:proofErr w:type="spellStart"/>
      <w:r w:rsidRPr="00AA304C">
        <w:rPr>
          <w:lang w:val="en-IE"/>
        </w:rPr>
        <w:t>MAb</w:t>
      </w:r>
      <w:proofErr w:type="spellEnd"/>
      <w:r w:rsidRPr="00AA304C">
        <w:rPr>
          <w:lang w:val="en-IE"/>
        </w:rPr>
        <w:t xml:space="preserve"> reactive with a peptide epitope of a 60 </w:t>
      </w:r>
      <w:proofErr w:type="spellStart"/>
      <w:r w:rsidRPr="00AA304C">
        <w:rPr>
          <w:lang w:val="en-IE"/>
        </w:rPr>
        <w:t>kDa</w:t>
      </w:r>
      <w:proofErr w:type="spellEnd"/>
      <w:r w:rsidRPr="00AA304C">
        <w:rPr>
          <w:lang w:val="en-IE"/>
        </w:rPr>
        <w:t xml:space="preserve"> </w:t>
      </w:r>
      <w:r w:rsidR="000E34F9" w:rsidRPr="00AA304C">
        <w:rPr>
          <w:i/>
          <w:lang w:val="en-IE"/>
        </w:rPr>
        <w:t xml:space="preserve">B. </w:t>
      </w:r>
      <w:proofErr w:type="spellStart"/>
      <w:r w:rsidR="000E34F9" w:rsidRPr="00AA304C">
        <w:rPr>
          <w:i/>
          <w:lang w:val="en-IE"/>
        </w:rPr>
        <w:t>caballi</w:t>
      </w:r>
      <w:proofErr w:type="spellEnd"/>
      <w:r w:rsidRPr="00AA304C">
        <w:rPr>
          <w:lang w:val="en-IE"/>
        </w:rPr>
        <w:t xml:space="preserve"> antigen (</w:t>
      </w:r>
      <w:proofErr w:type="spellStart"/>
      <w:r w:rsidR="00291CD5" w:rsidRPr="00AA304C">
        <w:rPr>
          <w:lang w:val="en-IE"/>
        </w:rPr>
        <w:t>Kappmeyer</w:t>
      </w:r>
      <w:proofErr w:type="spellEnd"/>
      <w:r w:rsidR="00291CD5" w:rsidRPr="00AA304C">
        <w:rPr>
          <w:lang w:val="en-IE"/>
        </w:rPr>
        <w:t xml:space="preserve"> </w:t>
      </w:r>
      <w:r w:rsidR="00F15F21" w:rsidRPr="00AA304C">
        <w:rPr>
          <w:i/>
          <w:lang w:val="en-IE"/>
        </w:rPr>
        <w:t>et al</w:t>
      </w:r>
      <w:r w:rsidR="00291CD5" w:rsidRPr="00AA304C">
        <w:rPr>
          <w:lang w:val="en-IE"/>
        </w:rPr>
        <w:t>., 1999</w:t>
      </w:r>
      <w:r w:rsidRPr="00AA304C">
        <w:rPr>
          <w:lang w:val="en-IE"/>
        </w:rPr>
        <w:t>). The results of 302</w:t>
      </w:r>
      <w:r w:rsidR="00B65A8E" w:rsidRPr="00AA304C">
        <w:rPr>
          <w:lang w:val="en-IE"/>
        </w:rPr>
        <w:t> </w:t>
      </w:r>
      <w:r w:rsidRPr="00AA304C">
        <w:rPr>
          <w:lang w:val="en-IE"/>
        </w:rPr>
        <w:t xml:space="preserve">serum samples tested with this </w:t>
      </w:r>
      <w:bookmarkStart w:id="14" w:name="_spaddin_ign_18_C"/>
      <w:r w:rsidRPr="00AA304C">
        <w:rPr>
          <w:lang w:val="en-IE"/>
        </w:rPr>
        <w:t>C</w:t>
      </w:r>
      <w:bookmarkEnd w:id="14"/>
      <w:r w:rsidRPr="00AA304C">
        <w:rPr>
          <w:lang w:val="en-IE"/>
        </w:rPr>
        <w:t xml:space="preserve">-ELISA and the </w:t>
      </w:r>
      <w:r w:rsidR="00357ECA" w:rsidRPr="00AA304C">
        <w:rPr>
          <w:lang w:val="en-IE"/>
        </w:rPr>
        <w:t>CFT</w:t>
      </w:r>
      <w:r w:rsidRPr="00AA304C">
        <w:rPr>
          <w:lang w:val="en-IE"/>
        </w:rPr>
        <w:t xml:space="preserve"> showed a 73% concordance. Of the 72 samples that were </w:t>
      </w:r>
      <w:r w:rsidR="00357ECA" w:rsidRPr="00AA304C">
        <w:rPr>
          <w:lang w:val="en-IE"/>
        </w:rPr>
        <w:t>CFT</w:t>
      </w:r>
      <w:r w:rsidRPr="00AA304C">
        <w:rPr>
          <w:lang w:val="en-IE"/>
        </w:rPr>
        <w:t xml:space="preserve"> negative and </w:t>
      </w:r>
      <w:bookmarkStart w:id="15" w:name="_spaddin_ign_19_C"/>
      <w:r w:rsidRPr="00AA304C">
        <w:rPr>
          <w:lang w:val="en-IE"/>
        </w:rPr>
        <w:t>C</w:t>
      </w:r>
      <w:bookmarkEnd w:id="15"/>
      <w:r w:rsidRPr="00AA304C">
        <w:rPr>
          <w:lang w:val="en-IE"/>
        </w:rPr>
        <w:t xml:space="preserve">-ELISA positive, 48 (67%) were shown to be positive on the </w:t>
      </w:r>
      <w:r w:rsidR="00357ECA" w:rsidRPr="00AA304C">
        <w:rPr>
          <w:lang w:val="en-IE"/>
        </w:rPr>
        <w:t>IFAT</w:t>
      </w:r>
      <w:r w:rsidRPr="00AA304C">
        <w:rPr>
          <w:lang w:val="en-IE"/>
        </w:rPr>
        <w:t xml:space="preserve">, while four of the five samples that tested </w:t>
      </w:r>
      <w:r w:rsidR="00357ECA" w:rsidRPr="00AA304C">
        <w:rPr>
          <w:lang w:val="en-IE"/>
        </w:rPr>
        <w:t>CFT</w:t>
      </w:r>
      <w:r w:rsidRPr="00AA304C">
        <w:rPr>
          <w:lang w:val="en-IE"/>
        </w:rPr>
        <w:t xml:space="preserve"> positive and </w:t>
      </w:r>
      <w:bookmarkStart w:id="16" w:name="_spaddin_ign_20_C"/>
      <w:r w:rsidRPr="00AA304C">
        <w:rPr>
          <w:lang w:val="en-IE"/>
        </w:rPr>
        <w:t>C</w:t>
      </w:r>
      <w:bookmarkEnd w:id="16"/>
      <w:r w:rsidRPr="00AA304C">
        <w:rPr>
          <w:lang w:val="en-IE"/>
        </w:rPr>
        <w:t xml:space="preserve">-ELISA negative were positive on the </w:t>
      </w:r>
      <w:r w:rsidR="00357ECA" w:rsidRPr="00AA304C">
        <w:rPr>
          <w:lang w:val="en-IE"/>
        </w:rPr>
        <w:t>IFAT</w:t>
      </w:r>
      <w:r w:rsidRPr="00AA304C">
        <w:rPr>
          <w:lang w:val="en-IE"/>
        </w:rPr>
        <w:t xml:space="preserve"> (</w:t>
      </w:r>
      <w:proofErr w:type="spellStart"/>
      <w:r w:rsidR="00291CD5" w:rsidRPr="00AA304C">
        <w:rPr>
          <w:lang w:val="en-IE"/>
        </w:rPr>
        <w:t>Kappmeyer</w:t>
      </w:r>
      <w:proofErr w:type="spellEnd"/>
      <w:r w:rsidR="00291CD5" w:rsidRPr="00AA304C">
        <w:rPr>
          <w:lang w:val="en-IE"/>
        </w:rPr>
        <w:t xml:space="preserve"> </w:t>
      </w:r>
      <w:r w:rsidR="00F15F21" w:rsidRPr="00AA304C">
        <w:rPr>
          <w:i/>
          <w:lang w:val="en-IE"/>
        </w:rPr>
        <w:t>et al</w:t>
      </w:r>
      <w:r w:rsidR="00291CD5" w:rsidRPr="00AA304C">
        <w:rPr>
          <w:lang w:val="en-IE"/>
        </w:rPr>
        <w:t>., 1999</w:t>
      </w:r>
      <w:r w:rsidRPr="00AA304C">
        <w:rPr>
          <w:lang w:val="en-IE"/>
        </w:rPr>
        <w:t>).</w:t>
      </w:r>
    </w:p>
    <w:p w14:paraId="663E0BD9" w14:textId="77777777" w:rsidR="00FC674A" w:rsidRPr="00AA304C" w:rsidRDefault="00FC674A" w:rsidP="00E70E3D">
      <w:pPr>
        <w:pStyle w:val="11Para"/>
        <w:rPr>
          <w:lang w:val="en-IE"/>
        </w:rPr>
      </w:pPr>
      <w:r w:rsidRPr="00AA304C">
        <w:rPr>
          <w:lang w:val="en-IE"/>
        </w:rPr>
        <w:t xml:space="preserve">A test protocol for an equine piroplasmosis </w:t>
      </w:r>
      <w:bookmarkStart w:id="17" w:name="_spaddin_ign_21_C"/>
      <w:r w:rsidRPr="00AA304C">
        <w:rPr>
          <w:lang w:val="en-IE"/>
        </w:rPr>
        <w:t>C</w:t>
      </w:r>
      <w:bookmarkEnd w:id="17"/>
      <w:r w:rsidRPr="00AA304C">
        <w:rPr>
          <w:lang w:val="en-IE"/>
        </w:rPr>
        <w:t>-ELISA has been described and used for additional validation studies (</w:t>
      </w:r>
      <w:r w:rsidR="00E143C3" w:rsidRPr="00AA304C">
        <w:rPr>
          <w:lang w:val="en-IE"/>
        </w:rPr>
        <w:t>United States Department of Agriculture [USDA], 2005</w:t>
      </w:r>
      <w:r w:rsidRPr="00AA304C">
        <w:rPr>
          <w:lang w:val="en-IE"/>
        </w:rPr>
        <w:t xml:space="preserve">). The apparent specificity of the </w:t>
      </w:r>
      <w:r w:rsidR="000E34F9" w:rsidRPr="00AA304C">
        <w:rPr>
          <w:i/>
          <w:lang w:val="en-IE"/>
        </w:rPr>
        <w:t xml:space="preserve">T. </w:t>
      </w:r>
      <w:proofErr w:type="spellStart"/>
      <w:r w:rsidR="000E34F9" w:rsidRPr="00AA304C">
        <w:rPr>
          <w:i/>
          <w:lang w:val="en-IE"/>
        </w:rPr>
        <w:t>equi</w:t>
      </w:r>
      <w:proofErr w:type="spellEnd"/>
      <w:r w:rsidRPr="00AA304C">
        <w:rPr>
          <w:lang w:val="en-IE"/>
        </w:rPr>
        <w:t xml:space="preserve"> and </w:t>
      </w:r>
      <w:r w:rsidR="000E34F9" w:rsidRPr="00AA304C">
        <w:rPr>
          <w:i/>
          <w:lang w:val="en-IE"/>
        </w:rPr>
        <w:t xml:space="preserve">B. </w:t>
      </w:r>
      <w:proofErr w:type="spellStart"/>
      <w:r w:rsidR="000E34F9" w:rsidRPr="00AA304C">
        <w:rPr>
          <w:i/>
          <w:lang w:val="en-IE"/>
        </w:rPr>
        <w:t>caballi</w:t>
      </w:r>
      <w:proofErr w:type="spellEnd"/>
      <w:r w:rsidRPr="00AA304C">
        <w:rPr>
          <w:lang w:val="en-IE"/>
        </w:rPr>
        <w:t xml:space="preserve"> </w:t>
      </w:r>
      <w:bookmarkStart w:id="18" w:name="_spaddin_ign_22_C"/>
      <w:r w:rsidRPr="00AA304C">
        <w:rPr>
          <w:lang w:val="en-IE"/>
        </w:rPr>
        <w:t>C</w:t>
      </w:r>
      <w:bookmarkEnd w:id="18"/>
      <w:r w:rsidRPr="00AA304C">
        <w:rPr>
          <w:lang w:val="en-IE"/>
        </w:rPr>
        <w:t>-ELISAs lay between 99.2% and 99.5% using sera from 1000 horses presumed to be piroplasmosis</w:t>
      </w:r>
      <w:r w:rsidR="000E34F9" w:rsidRPr="00AA304C">
        <w:rPr>
          <w:lang w:val="en-IE"/>
        </w:rPr>
        <w:t xml:space="preserve"> </w:t>
      </w:r>
      <w:r w:rsidRPr="00AA304C">
        <w:rPr>
          <w:lang w:val="en-IE"/>
        </w:rPr>
        <w:t xml:space="preserve">free. One thousand foreign-origin horses of unknown infection status were tested by the </w:t>
      </w:r>
      <w:bookmarkStart w:id="19" w:name="_spaddin_ign_23_C"/>
      <w:r w:rsidRPr="00AA304C">
        <w:rPr>
          <w:lang w:val="en-IE"/>
        </w:rPr>
        <w:t>C</w:t>
      </w:r>
      <w:bookmarkEnd w:id="19"/>
      <w:r w:rsidRPr="00AA304C">
        <w:rPr>
          <w:lang w:val="en-IE"/>
        </w:rPr>
        <w:t xml:space="preserve">-ELISA and the </w:t>
      </w:r>
      <w:r w:rsidR="00357ECA" w:rsidRPr="00AA304C">
        <w:rPr>
          <w:lang w:val="en-IE"/>
        </w:rPr>
        <w:t>CFT</w:t>
      </w:r>
      <w:r w:rsidRPr="00AA304C">
        <w:rPr>
          <w:lang w:val="en-IE"/>
        </w:rPr>
        <w:t xml:space="preserve"> with an apparent greater sensitivity of the </w:t>
      </w:r>
      <w:bookmarkStart w:id="20" w:name="_spaddin_ign_24_C"/>
      <w:r w:rsidRPr="00AA304C">
        <w:rPr>
          <w:lang w:val="en-IE"/>
        </w:rPr>
        <w:t>C</w:t>
      </w:r>
      <w:bookmarkEnd w:id="20"/>
      <w:r w:rsidRPr="00AA304C">
        <w:rPr>
          <w:lang w:val="en-IE"/>
        </w:rPr>
        <w:t>-ELISA. The results were 1.1% (</w:t>
      </w:r>
      <w:r w:rsidR="000E34F9" w:rsidRPr="00AA304C">
        <w:rPr>
          <w:i/>
          <w:lang w:val="en-IE"/>
        </w:rPr>
        <w:t xml:space="preserve">T. </w:t>
      </w:r>
      <w:proofErr w:type="spellStart"/>
      <w:r w:rsidR="000E34F9" w:rsidRPr="00AA304C">
        <w:rPr>
          <w:i/>
          <w:lang w:val="en-IE"/>
        </w:rPr>
        <w:t>equi</w:t>
      </w:r>
      <w:proofErr w:type="spellEnd"/>
      <w:r w:rsidRPr="00AA304C">
        <w:rPr>
          <w:lang w:val="en-IE"/>
        </w:rPr>
        <w:t>) and 1.3% (</w:t>
      </w:r>
      <w:r w:rsidR="000E34F9" w:rsidRPr="00AA304C">
        <w:rPr>
          <w:i/>
          <w:lang w:val="en-IE"/>
        </w:rPr>
        <w:t xml:space="preserve">B. </w:t>
      </w:r>
      <w:proofErr w:type="spellStart"/>
      <w:r w:rsidR="000E34F9" w:rsidRPr="00AA304C">
        <w:rPr>
          <w:i/>
          <w:lang w:val="en-IE"/>
        </w:rPr>
        <w:t>caballi</w:t>
      </w:r>
      <w:proofErr w:type="spellEnd"/>
      <w:r w:rsidRPr="00AA304C">
        <w:rPr>
          <w:lang w:val="en-IE"/>
        </w:rPr>
        <w:t xml:space="preserve">) more seropositive animals detected by </w:t>
      </w:r>
      <w:bookmarkStart w:id="21" w:name="_spaddin_ign_25_C"/>
      <w:r w:rsidRPr="00AA304C">
        <w:rPr>
          <w:lang w:val="en-IE"/>
        </w:rPr>
        <w:t>C</w:t>
      </w:r>
      <w:bookmarkEnd w:id="21"/>
      <w:r w:rsidRPr="00AA304C">
        <w:rPr>
          <w:lang w:val="en-IE"/>
        </w:rPr>
        <w:t xml:space="preserve">-ELISA than by the </w:t>
      </w:r>
      <w:r w:rsidR="00357ECA" w:rsidRPr="00AA304C">
        <w:rPr>
          <w:lang w:val="en-IE"/>
        </w:rPr>
        <w:t>CFT</w:t>
      </w:r>
      <w:r w:rsidRPr="00AA304C">
        <w:rPr>
          <w:lang w:val="en-IE"/>
        </w:rPr>
        <w:t>; the additional positive results were confirmed by IFA</w:t>
      </w:r>
      <w:r w:rsidR="00357ECA" w:rsidRPr="00AA304C">
        <w:rPr>
          <w:lang w:val="en-IE"/>
        </w:rPr>
        <w:t>T</w:t>
      </w:r>
      <w:r w:rsidRPr="00AA304C">
        <w:rPr>
          <w:lang w:val="en-IE"/>
        </w:rPr>
        <w:t>. A similar study of 645</w:t>
      </w:r>
      <w:r w:rsidR="00922470" w:rsidRPr="00AA304C">
        <w:rPr>
          <w:lang w:val="en-IE"/>
        </w:rPr>
        <w:t> </w:t>
      </w:r>
      <w:r w:rsidRPr="00AA304C">
        <w:rPr>
          <w:lang w:val="en-IE"/>
        </w:rPr>
        <w:t>foreign-origin horses tested for import and pre-import purposes used heat</w:t>
      </w:r>
      <w:r w:rsidR="00C06049" w:rsidRPr="00AA304C">
        <w:rPr>
          <w:lang w:val="en-IE"/>
        </w:rPr>
        <w:t>-</w:t>
      </w:r>
      <w:r w:rsidRPr="00AA304C">
        <w:rPr>
          <w:lang w:val="en-IE"/>
        </w:rPr>
        <w:t>treated sera (58°C for 30</w:t>
      </w:r>
      <w:r w:rsidR="00C06049" w:rsidRPr="00AA304C">
        <w:rPr>
          <w:lang w:val="en-IE"/>
        </w:rPr>
        <w:t> </w:t>
      </w:r>
      <w:r w:rsidRPr="00AA304C">
        <w:rPr>
          <w:lang w:val="en-IE"/>
        </w:rPr>
        <w:t>min</w:t>
      </w:r>
      <w:r w:rsidR="00C06049" w:rsidRPr="00AA304C">
        <w:rPr>
          <w:lang w:val="en-IE"/>
        </w:rPr>
        <w:t>utes</w:t>
      </w:r>
      <w:r w:rsidRPr="00AA304C">
        <w:rPr>
          <w:lang w:val="en-IE"/>
        </w:rPr>
        <w:t>), and resulted in 3.6% (</w:t>
      </w:r>
      <w:r w:rsidR="000E34F9" w:rsidRPr="00AA304C">
        <w:rPr>
          <w:i/>
          <w:lang w:val="en-IE"/>
        </w:rPr>
        <w:t xml:space="preserve">T. </w:t>
      </w:r>
      <w:proofErr w:type="spellStart"/>
      <w:r w:rsidR="000E34F9" w:rsidRPr="00AA304C">
        <w:rPr>
          <w:i/>
          <w:lang w:val="en-IE"/>
        </w:rPr>
        <w:t>equi</w:t>
      </w:r>
      <w:proofErr w:type="spellEnd"/>
      <w:r w:rsidRPr="00AA304C">
        <w:rPr>
          <w:lang w:val="en-IE"/>
        </w:rPr>
        <w:t>) and 2.1% (</w:t>
      </w:r>
      <w:r w:rsidR="000E34F9" w:rsidRPr="00AA304C">
        <w:rPr>
          <w:i/>
          <w:lang w:val="en-IE"/>
        </w:rPr>
        <w:t xml:space="preserve">B. </w:t>
      </w:r>
      <w:proofErr w:type="spellStart"/>
      <w:r w:rsidR="000E34F9" w:rsidRPr="00AA304C">
        <w:rPr>
          <w:i/>
          <w:lang w:val="en-IE"/>
        </w:rPr>
        <w:t>caballi</w:t>
      </w:r>
      <w:proofErr w:type="spellEnd"/>
      <w:r w:rsidRPr="00AA304C">
        <w:rPr>
          <w:lang w:val="en-IE"/>
        </w:rPr>
        <w:t xml:space="preserve">) more seropositive animals detected by the </w:t>
      </w:r>
      <w:bookmarkStart w:id="22" w:name="_spaddin_ign_26_C"/>
      <w:r w:rsidRPr="00AA304C">
        <w:rPr>
          <w:lang w:val="en-IE"/>
        </w:rPr>
        <w:t>C</w:t>
      </w:r>
      <w:bookmarkEnd w:id="22"/>
      <w:r w:rsidRPr="00AA304C">
        <w:rPr>
          <w:lang w:val="en-IE"/>
        </w:rPr>
        <w:t xml:space="preserve">-ELISA than by the </w:t>
      </w:r>
      <w:r w:rsidR="00357ECA" w:rsidRPr="00AA304C">
        <w:rPr>
          <w:lang w:val="en-IE"/>
        </w:rPr>
        <w:t>CFT</w:t>
      </w:r>
      <w:r w:rsidRPr="00AA304C">
        <w:rPr>
          <w:lang w:val="en-IE"/>
        </w:rPr>
        <w:t xml:space="preserve">. </w:t>
      </w:r>
      <w:r w:rsidR="00392F80" w:rsidRPr="00AA304C">
        <w:rPr>
          <w:lang w:val="en-IE"/>
        </w:rPr>
        <w:t xml:space="preserve">Both </w:t>
      </w:r>
      <w:bookmarkStart w:id="23" w:name="_spaddin_ign_27_C"/>
      <w:r w:rsidRPr="00AA304C">
        <w:rPr>
          <w:lang w:val="en-IE"/>
        </w:rPr>
        <w:t>C</w:t>
      </w:r>
      <w:bookmarkEnd w:id="23"/>
      <w:r w:rsidRPr="00AA304C">
        <w:rPr>
          <w:lang w:val="en-IE"/>
        </w:rPr>
        <w:t>-ELISA</w:t>
      </w:r>
      <w:r w:rsidR="00392F80" w:rsidRPr="00AA304C">
        <w:rPr>
          <w:lang w:val="en-IE"/>
        </w:rPr>
        <w:t xml:space="preserve">s were </w:t>
      </w:r>
      <w:r w:rsidRPr="00AA304C">
        <w:rPr>
          <w:lang w:val="en-IE"/>
        </w:rPr>
        <w:t xml:space="preserve">highly reproducible well-to-well, plate-to-plate, and day-to-day, with overall variances of ± 1.2% and ±1.6% for the </w:t>
      </w:r>
      <w:r w:rsidR="000E34F9" w:rsidRPr="00AA304C">
        <w:rPr>
          <w:i/>
          <w:lang w:val="en-IE"/>
        </w:rPr>
        <w:t xml:space="preserve">T. </w:t>
      </w:r>
      <w:proofErr w:type="spellStart"/>
      <w:r w:rsidR="000E34F9" w:rsidRPr="00AA304C">
        <w:rPr>
          <w:i/>
          <w:lang w:val="en-IE"/>
        </w:rPr>
        <w:t>equi</w:t>
      </w:r>
      <w:proofErr w:type="spellEnd"/>
      <w:r w:rsidRPr="00AA304C">
        <w:rPr>
          <w:lang w:val="en-IE"/>
        </w:rPr>
        <w:t xml:space="preserve"> and </w:t>
      </w:r>
      <w:r w:rsidR="000E34F9" w:rsidRPr="00AA304C">
        <w:rPr>
          <w:i/>
          <w:lang w:val="en-IE"/>
        </w:rPr>
        <w:t xml:space="preserve">B. </w:t>
      </w:r>
      <w:proofErr w:type="spellStart"/>
      <w:r w:rsidR="000E34F9" w:rsidRPr="00AA304C">
        <w:rPr>
          <w:i/>
          <w:lang w:val="en-IE"/>
        </w:rPr>
        <w:t>caballi</w:t>
      </w:r>
      <w:proofErr w:type="spellEnd"/>
      <w:r w:rsidRPr="00AA304C">
        <w:rPr>
          <w:lang w:val="en-IE"/>
        </w:rPr>
        <w:t xml:space="preserve"> tests, respectively.</w:t>
      </w:r>
    </w:p>
    <w:p w14:paraId="663E0BDA" w14:textId="77777777" w:rsidR="00FC674A" w:rsidRPr="00AA304C" w:rsidRDefault="00FC674A" w:rsidP="00E70E3D">
      <w:pPr>
        <w:pStyle w:val="11Para"/>
        <w:rPr>
          <w:lang w:val="en-IE"/>
        </w:rPr>
      </w:pPr>
      <w:r w:rsidRPr="00AA304C">
        <w:rPr>
          <w:lang w:val="en-IE"/>
        </w:rPr>
        <w:t xml:space="preserve">The </w:t>
      </w:r>
      <w:bookmarkStart w:id="24" w:name="_spaddin_ign_28_C"/>
      <w:r w:rsidRPr="00AA304C">
        <w:rPr>
          <w:lang w:val="en-IE"/>
        </w:rPr>
        <w:t>C</w:t>
      </w:r>
      <w:bookmarkEnd w:id="24"/>
      <w:r w:rsidR="00CA2EC8" w:rsidRPr="00AA304C">
        <w:rPr>
          <w:lang w:val="en-IE"/>
        </w:rPr>
        <w:t xml:space="preserve">-ELISA protocol </w:t>
      </w:r>
      <w:r w:rsidRPr="00AA304C">
        <w:rPr>
          <w:lang w:val="en-IE"/>
        </w:rPr>
        <w:t>is given below.</w:t>
      </w:r>
    </w:p>
    <w:p w14:paraId="663E0BDB" w14:textId="45802B2D" w:rsidR="00FC674A" w:rsidRPr="00E903F8" w:rsidRDefault="00FC674A" w:rsidP="00E903F8">
      <w:pPr>
        <w:pStyle w:val="11Para"/>
        <w:rPr>
          <w:lang w:val="en-IE"/>
        </w:rPr>
      </w:pPr>
      <w:r w:rsidRPr="00AA304C">
        <w:rPr>
          <w:lang w:val="en-IE"/>
        </w:rPr>
        <w:t xml:space="preserve">A detailed description of antigen production and a test protocol has been given by the National Veterinary Services Laboratories </w:t>
      </w:r>
      <w:r w:rsidR="000E34F9" w:rsidRPr="00AA304C">
        <w:rPr>
          <w:lang w:val="en-IE"/>
        </w:rPr>
        <w:t xml:space="preserve">(NVSL) </w:t>
      </w:r>
      <w:r w:rsidRPr="00AA304C">
        <w:rPr>
          <w:lang w:val="en-IE"/>
        </w:rPr>
        <w:t>of the USDA (</w:t>
      </w:r>
      <w:r w:rsidR="00E143C3" w:rsidRPr="00AA304C">
        <w:rPr>
          <w:lang w:val="en-IE"/>
        </w:rPr>
        <w:t>2005</w:t>
      </w:r>
      <w:r w:rsidRPr="00AA304C">
        <w:rPr>
          <w:lang w:val="en-IE"/>
        </w:rPr>
        <w:t xml:space="preserve">). </w:t>
      </w:r>
      <w:r w:rsidR="00B671E3" w:rsidRPr="00AA304C">
        <w:rPr>
          <w:lang w:val="en-IE"/>
        </w:rPr>
        <w:t>A commercial kit is now available that is based on the same antigens and monoclonal antibodies.</w:t>
      </w:r>
    </w:p>
    <w:p w14:paraId="663E0BDC" w14:textId="77777777" w:rsidR="00FC674A" w:rsidRPr="00AA304C" w:rsidRDefault="00E70E3D" w:rsidP="00E70E3D">
      <w:pPr>
        <w:pStyle w:val="111"/>
        <w:rPr>
          <w:bCs/>
          <w:lang w:val="en-IE"/>
        </w:rPr>
      </w:pPr>
      <w:r w:rsidRPr="00AA304C">
        <w:rPr>
          <w:bCs/>
          <w:lang w:val="en-IE"/>
        </w:rPr>
        <w:t>2.2.1.</w:t>
      </w:r>
      <w:r w:rsidR="00FC674A" w:rsidRPr="00AA304C">
        <w:rPr>
          <w:bCs/>
          <w:lang w:val="en-IE"/>
        </w:rPr>
        <w:tab/>
        <w:t>Solutions</w:t>
      </w:r>
    </w:p>
    <w:p w14:paraId="663E0BDD" w14:textId="77777777" w:rsidR="000E34F9" w:rsidRPr="00AA304C" w:rsidRDefault="000E34F9" w:rsidP="000E34F9">
      <w:pPr>
        <w:pStyle w:val="i"/>
        <w:rPr>
          <w:lang w:val="en-IE"/>
        </w:rPr>
      </w:pPr>
      <w:proofErr w:type="spellStart"/>
      <w:r w:rsidRPr="00AA304C">
        <w:rPr>
          <w:lang w:val="en-IE"/>
        </w:rPr>
        <w:t>i</w:t>
      </w:r>
      <w:proofErr w:type="spellEnd"/>
      <w:r w:rsidRPr="00AA304C">
        <w:rPr>
          <w:lang w:val="en-IE"/>
        </w:rPr>
        <w:t>)</w:t>
      </w:r>
      <w:r w:rsidRPr="00AA304C">
        <w:rPr>
          <w:lang w:val="en-IE"/>
        </w:rPr>
        <w:tab/>
      </w:r>
      <w:r w:rsidR="00FC674A" w:rsidRPr="00AA304C">
        <w:rPr>
          <w:lang w:val="en-IE"/>
        </w:rPr>
        <w:t>Antigen</w:t>
      </w:r>
      <w:r w:rsidR="00E903F8">
        <w:rPr>
          <w:lang w:val="en-IE"/>
        </w:rPr>
        <w:t>-</w:t>
      </w:r>
      <w:r w:rsidR="00FC674A" w:rsidRPr="00AA304C">
        <w:rPr>
          <w:lang w:val="en-IE"/>
        </w:rPr>
        <w:t>coating buffer</w:t>
      </w:r>
    </w:p>
    <w:p w14:paraId="663E0BDE" w14:textId="77777777" w:rsidR="00FC674A" w:rsidRPr="00AA304C" w:rsidRDefault="000E34F9" w:rsidP="000E34F9">
      <w:pPr>
        <w:pStyle w:val="afourthpara"/>
        <w:rPr>
          <w:lang w:val="en-IE"/>
        </w:rPr>
      </w:pPr>
      <w:r w:rsidRPr="00AA304C">
        <w:rPr>
          <w:lang w:val="en-IE"/>
        </w:rPr>
        <w:t>P</w:t>
      </w:r>
      <w:r w:rsidR="00FC674A" w:rsidRPr="00AA304C">
        <w:rPr>
          <w:lang w:val="en-IE"/>
        </w:rPr>
        <w:t>repare the volume of antigen</w:t>
      </w:r>
      <w:r w:rsidRPr="00AA304C">
        <w:rPr>
          <w:lang w:val="en-IE"/>
        </w:rPr>
        <w:t>-</w:t>
      </w:r>
      <w:r w:rsidR="00FC674A" w:rsidRPr="00AA304C">
        <w:rPr>
          <w:lang w:val="en-IE"/>
        </w:rPr>
        <w:t>coating buffer required using the following amounts of ingredients per litre: 2.93</w:t>
      </w:r>
      <w:r w:rsidR="00CA2EC8" w:rsidRPr="00AA304C">
        <w:rPr>
          <w:lang w:val="en-IE"/>
        </w:rPr>
        <w:t> </w:t>
      </w:r>
      <w:r w:rsidR="00FC674A" w:rsidRPr="00AA304C">
        <w:rPr>
          <w:lang w:val="en-IE"/>
        </w:rPr>
        <w:t>g sodium bicarbonate; 1.59</w:t>
      </w:r>
      <w:r w:rsidR="00CA2EC8" w:rsidRPr="00AA304C">
        <w:rPr>
          <w:lang w:val="en-IE"/>
        </w:rPr>
        <w:t> </w:t>
      </w:r>
      <w:r w:rsidR="00FC674A" w:rsidRPr="00AA304C">
        <w:rPr>
          <w:lang w:val="en-IE"/>
        </w:rPr>
        <w:t>g sodium carbonate; sufficient ultra-pure water to dissolve, and make up to 1 litre with ultra-pure water. Adjust to pH</w:t>
      </w:r>
      <w:r w:rsidR="00CA2EC8" w:rsidRPr="00AA304C">
        <w:rPr>
          <w:lang w:val="en-IE"/>
        </w:rPr>
        <w:t> </w:t>
      </w:r>
      <w:r w:rsidR="00FC674A" w:rsidRPr="00AA304C">
        <w:rPr>
          <w:lang w:val="en-IE"/>
        </w:rPr>
        <w:t>9.6.</w:t>
      </w:r>
    </w:p>
    <w:p w14:paraId="663E0BDF" w14:textId="77777777" w:rsidR="000E34F9" w:rsidRPr="00AB594B" w:rsidRDefault="000E34F9" w:rsidP="00AB594B">
      <w:pPr>
        <w:pStyle w:val="i"/>
      </w:pPr>
      <w:bookmarkStart w:id="25" w:name="_spaddin_ign_38_C"/>
      <w:r w:rsidRPr="00AA304C">
        <w:rPr>
          <w:lang w:val="en-IE"/>
        </w:rPr>
        <w:t>ii)</w:t>
      </w:r>
      <w:r w:rsidRPr="00AA304C">
        <w:rPr>
          <w:lang w:val="en-IE"/>
        </w:rPr>
        <w:tab/>
      </w:r>
      <w:r w:rsidR="00FC674A" w:rsidRPr="00AA304C">
        <w:rPr>
          <w:lang w:val="en-IE"/>
        </w:rPr>
        <w:t>C</w:t>
      </w:r>
      <w:bookmarkEnd w:id="25"/>
      <w:r w:rsidR="00FC674A" w:rsidRPr="00AA304C">
        <w:rPr>
          <w:lang w:val="en-IE"/>
        </w:rPr>
        <w:t>-ELISA wash solution (high salt diluent)</w:t>
      </w:r>
    </w:p>
    <w:p w14:paraId="663E0BE0" w14:textId="26F86317" w:rsidR="00FC674A" w:rsidRDefault="000E34F9" w:rsidP="000E34F9">
      <w:pPr>
        <w:pStyle w:val="afourthpara"/>
        <w:rPr>
          <w:lang w:val="en-IE"/>
        </w:rPr>
      </w:pPr>
      <w:r w:rsidRPr="00AA304C">
        <w:rPr>
          <w:lang w:val="en-IE"/>
        </w:rPr>
        <w:t>P</w:t>
      </w:r>
      <w:r w:rsidR="00FC674A" w:rsidRPr="00AA304C">
        <w:rPr>
          <w:lang w:val="en-IE"/>
        </w:rPr>
        <w:t xml:space="preserve">repare the volume of </w:t>
      </w:r>
      <w:bookmarkStart w:id="26" w:name="_spaddin_ign_31_C"/>
      <w:r w:rsidR="00FC674A" w:rsidRPr="00AA304C">
        <w:rPr>
          <w:lang w:val="en-IE"/>
        </w:rPr>
        <w:t>C</w:t>
      </w:r>
      <w:bookmarkEnd w:id="26"/>
      <w:r w:rsidR="00FC674A" w:rsidRPr="00AA304C">
        <w:rPr>
          <w:lang w:val="en-IE"/>
        </w:rPr>
        <w:t>-ELISA wash solution required by using the following amounts of ingredients per litre: 29.5</w:t>
      </w:r>
      <w:r w:rsidR="00CA2EC8" w:rsidRPr="00AA304C">
        <w:rPr>
          <w:lang w:val="en-IE"/>
        </w:rPr>
        <w:t> </w:t>
      </w:r>
      <w:r w:rsidR="00FC674A" w:rsidRPr="00AA304C">
        <w:rPr>
          <w:lang w:val="en-IE"/>
        </w:rPr>
        <w:t>g sodium chloride; 0.22</w:t>
      </w:r>
      <w:r w:rsidR="00CA2EC8" w:rsidRPr="00AA304C">
        <w:rPr>
          <w:lang w:val="en-IE"/>
        </w:rPr>
        <w:t> </w:t>
      </w:r>
      <w:r w:rsidR="00FC674A" w:rsidRPr="00AA304C">
        <w:rPr>
          <w:lang w:val="en-IE"/>
        </w:rPr>
        <w:t>g monobasic sodium phosphate; 1.19</w:t>
      </w:r>
      <w:r w:rsidR="00CA2EC8" w:rsidRPr="00AA304C">
        <w:rPr>
          <w:lang w:val="en-IE"/>
        </w:rPr>
        <w:t> </w:t>
      </w:r>
      <w:r w:rsidR="00FC674A" w:rsidRPr="00AA304C">
        <w:rPr>
          <w:lang w:val="en-IE"/>
        </w:rPr>
        <w:t>g dibasic sodium phosphate; 2.0</w:t>
      </w:r>
      <w:r w:rsidR="00CA2EC8" w:rsidRPr="00AA304C">
        <w:rPr>
          <w:lang w:val="en-IE"/>
        </w:rPr>
        <w:t> </w:t>
      </w:r>
      <w:r w:rsidR="00FC674A" w:rsidRPr="00AA304C">
        <w:rPr>
          <w:lang w:val="en-IE"/>
        </w:rPr>
        <w:t>ml Tween 20; sufficient ultra-pure water to dissolve, and make up to 1 litre with ultra-pure water. Mix well. Adjust pH to 7.4. Sterilise by autoclaving at 121°C.</w:t>
      </w:r>
    </w:p>
    <w:p w14:paraId="21FE253A" w14:textId="47920FC0" w:rsidR="009213D9" w:rsidRPr="00B94B2A" w:rsidRDefault="00AB594B" w:rsidP="00AB594B">
      <w:pPr>
        <w:pStyle w:val="i"/>
        <w:rPr>
          <w:u w:val="double"/>
          <w:lang w:val="en-IE"/>
        </w:rPr>
      </w:pPr>
      <w:r w:rsidRPr="00B94B2A">
        <w:rPr>
          <w:u w:val="double"/>
          <w:lang w:val="en-IE"/>
        </w:rPr>
        <w:t>iii)</w:t>
      </w:r>
      <w:r w:rsidRPr="00B94B2A">
        <w:rPr>
          <w:u w:val="double"/>
          <w:lang w:val="en-IE"/>
        </w:rPr>
        <w:tab/>
        <w:t>Chromogenic substrate</w:t>
      </w:r>
    </w:p>
    <w:p w14:paraId="49731D01" w14:textId="1A8C8DB7" w:rsidR="003773D4" w:rsidRPr="00FD2D2A" w:rsidRDefault="00FD2D2A" w:rsidP="00B94B2A">
      <w:pPr>
        <w:pStyle w:val="afourthpara"/>
        <w:rPr>
          <w:u w:val="double"/>
          <w:lang w:val="en-IE"/>
        </w:rPr>
      </w:pPr>
      <w:r w:rsidRPr="00FD2D2A">
        <w:rPr>
          <w:rFonts w:eastAsiaTheme="minorEastAsia"/>
          <w:u w:val="double"/>
          <w:lang w:val="en-IE" w:eastAsia="ja-JP"/>
        </w:rPr>
        <w:t xml:space="preserve">0.1% (w/v) stock solution of C-ELISA substrate is prepared by dissolving 3,3’,5,5’-tetramethylbenzidine (TMB) in </w:t>
      </w:r>
      <w:r w:rsidRPr="00FD2D2A">
        <w:rPr>
          <w:u w:val="double"/>
        </w:rPr>
        <w:t>dimethyl sulphide</w:t>
      </w:r>
      <w:r w:rsidRPr="00FD2D2A">
        <w:rPr>
          <w:rFonts w:eastAsiaTheme="minorEastAsia"/>
          <w:u w:val="double"/>
          <w:lang w:val="en-IE" w:eastAsia="ja-JP"/>
        </w:rPr>
        <w:t xml:space="preserve"> at 1 mg/ml. 10% (v/v) working solution is prepared by diluting TMB stock solution with phosphate–citrate buffer at pH 5.0. Fresh 30% hydrogen peroxide is added to TMB working solution at 0.02% (v/v) just before use.</w:t>
      </w:r>
    </w:p>
    <w:p w14:paraId="663E0BE1" w14:textId="77777777" w:rsidR="00FC674A" w:rsidRPr="00AA304C" w:rsidRDefault="00E70E3D" w:rsidP="00E70E3D">
      <w:pPr>
        <w:pStyle w:val="111"/>
        <w:rPr>
          <w:bCs/>
          <w:lang w:val="en-IE"/>
        </w:rPr>
      </w:pPr>
      <w:r w:rsidRPr="00AA304C">
        <w:rPr>
          <w:bCs/>
          <w:lang w:val="en-IE"/>
        </w:rPr>
        <w:t>2.2.2.</w:t>
      </w:r>
      <w:r w:rsidR="00FC674A" w:rsidRPr="00AA304C">
        <w:rPr>
          <w:bCs/>
          <w:lang w:val="en-IE"/>
        </w:rPr>
        <w:tab/>
        <w:t>Antigen production</w:t>
      </w:r>
    </w:p>
    <w:p w14:paraId="663E0BE2" w14:textId="6D1E03F9" w:rsidR="00FC674A" w:rsidRPr="00AA304C" w:rsidRDefault="00FC674A" w:rsidP="00E70E3D">
      <w:pPr>
        <w:pStyle w:val="111Para"/>
        <w:rPr>
          <w:lang w:val="en-IE"/>
        </w:rPr>
      </w:pPr>
      <w:r w:rsidRPr="00AA304C">
        <w:rPr>
          <w:lang w:val="en-IE"/>
        </w:rPr>
        <w:t xml:space="preserve">Frozen transformed </w:t>
      </w:r>
      <w:r w:rsidRPr="00AA304C">
        <w:rPr>
          <w:i/>
          <w:lang w:val="en-IE"/>
        </w:rPr>
        <w:t>E.</w:t>
      </w:r>
      <w:r w:rsidR="00CA2EC8" w:rsidRPr="00AA304C">
        <w:rPr>
          <w:i/>
          <w:lang w:val="en-IE"/>
        </w:rPr>
        <w:t> </w:t>
      </w:r>
      <w:r w:rsidRPr="00AA304C">
        <w:rPr>
          <w:i/>
          <w:lang w:val="en-IE"/>
        </w:rPr>
        <w:t>coli</w:t>
      </w:r>
      <w:r w:rsidRPr="00AA304C">
        <w:rPr>
          <w:lang w:val="en-IE"/>
        </w:rPr>
        <w:t xml:space="preserve"> culture is inoculated at a 1/10,000 dilution into any standard non-selective bacterial growth broth (e.g. Luria broth) containing added carbenicillin (100</w:t>
      </w:r>
      <w:r w:rsidR="00CA2EC8" w:rsidRPr="00AA304C">
        <w:rPr>
          <w:lang w:val="en-IE"/>
        </w:rPr>
        <w:t> </w:t>
      </w:r>
      <w:r w:rsidRPr="00AA304C">
        <w:rPr>
          <w:lang w:val="en-IE"/>
        </w:rPr>
        <w:t>µg/ml) and isopropyl-</w:t>
      </w:r>
      <w:proofErr w:type="spellStart"/>
      <w:r w:rsidRPr="00AA304C">
        <w:rPr>
          <w:lang w:val="en-IE"/>
        </w:rPr>
        <w:t>thiogalactoside</w:t>
      </w:r>
      <w:proofErr w:type="spellEnd"/>
      <w:r w:rsidRPr="00AA304C">
        <w:rPr>
          <w:lang w:val="en-IE"/>
        </w:rPr>
        <w:t xml:space="preserve"> (IPTG, 1 mM). Cultures are incubated on an orbital shaker set at 200</w:t>
      </w:r>
      <w:r w:rsidR="00CA2EC8" w:rsidRPr="00AA304C">
        <w:rPr>
          <w:lang w:val="en-IE"/>
        </w:rPr>
        <w:t> </w:t>
      </w:r>
      <w:r w:rsidRPr="00AA304C">
        <w:rPr>
          <w:lang w:val="en-IE"/>
        </w:rPr>
        <w:t>rpm at 37°C overnight. Cells grown overnight are harvested by centrifugation (5000</w:t>
      </w:r>
      <w:r w:rsidR="00CA2EC8" w:rsidRPr="00AA304C">
        <w:rPr>
          <w:lang w:val="en-IE"/>
        </w:rPr>
        <w:t> </w:t>
      </w:r>
      <w:r w:rsidRPr="00AA304C">
        <w:rPr>
          <w:b/>
          <w:i/>
          <w:lang w:val="en-IE"/>
        </w:rPr>
        <w:t>g</w:t>
      </w:r>
      <w:r w:rsidRPr="00AA304C">
        <w:rPr>
          <w:lang w:val="en-IE"/>
        </w:rPr>
        <w:t xml:space="preserve"> for 10</w:t>
      </w:r>
      <w:r w:rsidR="00CA2EC8" w:rsidRPr="00AA304C">
        <w:rPr>
          <w:lang w:val="en-IE"/>
        </w:rPr>
        <w:t> </w:t>
      </w:r>
      <w:r w:rsidRPr="00AA304C">
        <w:rPr>
          <w:lang w:val="en-IE"/>
        </w:rPr>
        <w:t>minutes), washed in 50</w:t>
      </w:r>
      <w:r w:rsidR="00CA2EC8" w:rsidRPr="00AA304C">
        <w:rPr>
          <w:lang w:val="en-IE"/>
        </w:rPr>
        <w:t> </w:t>
      </w:r>
      <w:r w:rsidRPr="00AA304C">
        <w:rPr>
          <w:lang w:val="en-IE"/>
        </w:rPr>
        <w:t>mM Tris/HCl and 5 mM ethylene diamine tetra-acetic acid (EDTA) buffer, pH</w:t>
      </w:r>
      <w:r w:rsidR="00CA2EC8" w:rsidRPr="00AA304C">
        <w:rPr>
          <w:lang w:val="en-IE"/>
        </w:rPr>
        <w:t> </w:t>
      </w:r>
      <w:r w:rsidRPr="00AA304C">
        <w:rPr>
          <w:lang w:val="en-IE"/>
        </w:rPr>
        <w:t>8.0, and harvested again as before</w:t>
      </w:r>
      <w:r w:rsidR="00B94B2A">
        <w:rPr>
          <w:rStyle w:val="Appelnotedebasdep"/>
          <w:lang w:val="en-IE"/>
        </w:rPr>
        <w:footnoteReference w:id="4"/>
      </w:r>
      <w:r w:rsidRPr="00AA304C">
        <w:rPr>
          <w:lang w:val="en-IE"/>
        </w:rPr>
        <w:t>.</w:t>
      </w:r>
    </w:p>
    <w:p w14:paraId="663E0BE3" w14:textId="77777777" w:rsidR="00FC674A" w:rsidRPr="00AA304C" w:rsidRDefault="00FC674A" w:rsidP="00E70E3D">
      <w:pPr>
        <w:pStyle w:val="111Para"/>
        <w:rPr>
          <w:lang w:val="en-IE"/>
        </w:rPr>
      </w:pPr>
      <w:r w:rsidRPr="00AA304C">
        <w:rPr>
          <w:lang w:val="en-IE"/>
        </w:rPr>
        <w:t>Cells are resuspended to 10% of the original volume in the Tris/EDTA buffer to which 1</w:t>
      </w:r>
      <w:r w:rsidR="00CA2EC8" w:rsidRPr="00AA304C">
        <w:rPr>
          <w:lang w:val="en-IE"/>
        </w:rPr>
        <w:t> </w:t>
      </w:r>
      <w:r w:rsidRPr="00AA304C">
        <w:rPr>
          <w:lang w:val="en-IE"/>
        </w:rPr>
        <w:t>mg/ml of lysozyme has been added, and incubated on ice for 20</w:t>
      </w:r>
      <w:r w:rsidR="00CA2EC8" w:rsidRPr="00AA304C">
        <w:rPr>
          <w:lang w:val="en-IE"/>
        </w:rPr>
        <w:t> </w:t>
      </w:r>
      <w:r w:rsidRPr="00AA304C">
        <w:rPr>
          <w:lang w:val="en-IE"/>
        </w:rPr>
        <w:t xml:space="preserve">minutes. </w:t>
      </w:r>
      <w:proofErr w:type="spellStart"/>
      <w:r w:rsidRPr="00AA304C">
        <w:rPr>
          <w:lang w:val="en-IE"/>
        </w:rPr>
        <w:t>Nonidet</w:t>
      </w:r>
      <w:proofErr w:type="spellEnd"/>
      <w:r w:rsidRPr="00AA304C">
        <w:rPr>
          <w:lang w:val="en-IE"/>
        </w:rPr>
        <w:t xml:space="preserve"> </w:t>
      </w:r>
      <w:bookmarkStart w:id="27" w:name="_spaddin_ign_41_P"/>
      <w:r w:rsidRPr="00AA304C">
        <w:rPr>
          <w:lang w:val="en-IE"/>
        </w:rPr>
        <w:t>P</w:t>
      </w:r>
      <w:bookmarkEnd w:id="27"/>
      <w:r w:rsidRPr="00AA304C">
        <w:rPr>
          <w:lang w:val="en-IE"/>
        </w:rPr>
        <w:t>-40 detergent (N</w:t>
      </w:r>
      <w:bookmarkStart w:id="28" w:name="_spaddin_ign_42_P"/>
      <w:r w:rsidRPr="00AA304C">
        <w:rPr>
          <w:lang w:val="en-IE"/>
        </w:rPr>
        <w:t>P</w:t>
      </w:r>
      <w:bookmarkEnd w:id="28"/>
      <w:r w:rsidRPr="00AA304C">
        <w:rPr>
          <w:lang w:val="en-IE"/>
        </w:rPr>
        <w:t>-40) is then added to a final 1% concentration (v/v), vortexed, and the mixture is incubated on ice for 10</w:t>
      </w:r>
      <w:r w:rsidR="00CA2EC8" w:rsidRPr="00AA304C">
        <w:rPr>
          <w:lang w:val="en-IE"/>
        </w:rPr>
        <w:t> </w:t>
      </w:r>
      <w:r w:rsidRPr="00AA304C">
        <w:rPr>
          <w:lang w:val="en-IE"/>
        </w:rPr>
        <w:t>minutes. The material is next sonicated four times for 30</w:t>
      </w:r>
      <w:r w:rsidR="00CA2EC8" w:rsidRPr="00AA304C">
        <w:rPr>
          <w:lang w:val="en-IE"/>
        </w:rPr>
        <w:t> </w:t>
      </w:r>
      <w:r w:rsidRPr="00AA304C">
        <w:rPr>
          <w:lang w:val="en-IE"/>
        </w:rPr>
        <w:t>seconds each time at 100</w:t>
      </w:r>
      <w:r w:rsidR="00CA2EC8" w:rsidRPr="00AA304C">
        <w:rPr>
          <w:lang w:val="en-IE"/>
        </w:rPr>
        <w:t> </w:t>
      </w:r>
      <w:r w:rsidRPr="00AA304C">
        <w:rPr>
          <w:lang w:val="en-IE"/>
        </w:rPr>
        <w:t>watts, on ice, allowing 2</w:t>
      </w:r>
      <w:r w:rsidR="00CA2EC8" w:rsidRPr="00AA304C">
        <w:rPr>
          <w:lang w:val="en-IE"/>
        </w:rPr>
        <w:t> </w:t>
      </w:r>
      <w:r w:rsidRPr="00AA304C">
        <w:rPr>
          <w:lang w:val="en-IE"/>
        </w:rPr>
        <w:t xml:space="preserve">minutes between </w:t>
      </w:r>
      <w:proofErr w:type="spellStart"/>
      <w:r w:rsidRPr="00AA304C">
        <w:rPr>
          <w:lang w:val="en-IE"/>
        </w:rPr>
        <w:t>sonications</w:t>
      </w:r>
      <w:proofErr w:type="spellEnd"/>
      <w:r w:rsidRPr="00AA304C">
        <w:rPr>
          <w:lang w:val="en-IE"/>
        </w:rPr>
        <w:t xml:space="preserve"> for the material to remain cool. The sonicate is centrifuged at 10,000</w:t>
      </w:r>
      <w:r w:rsidR="00CA2EC8" w:rsidRPr="00AA304C">
        <w:rPr>
          <w:lang w:val="en-IE"/>
        </w:rPr>
        <w:t> </w:t>
      </w:r>
      <w:r w:rsidRPr="00AA304C">
        <w:rPr>
          <w:b/>
          <w:i/>
          <w:lang w:val="en-IE"/>
        </w:rPr>
        <w:t>g</w:t>
      </w:r>
      <w:r w:rsidRPr="00AA304C">
        <w:rPr>
          <w:lang w:val="en-IE"/>
        </w:rPr>
        <w:t xml:space="preserve"> for 20</w:t>
      </w:r>
      <w:r w:rsidR="00CA2EC8" w:rsidRPr="00AA304C">
        <w:rPr>
          <w:lang w:val="en-IE"/>
        </w:rPr>
        <w:t> </w:t>
      </w:r>
      <w:r w:rsidRPr="00AA304C">
        <w:rPr>
          <w:lang w:val="en-IE"/>
        </w:rPr>
        <w:t>minutes. The resulting supernatant is dispensed in 0.5</w:t>
      </w:r>
      <w:r w:rsidR="00CA2EC8" w:rsidRPr="00AA304C">
        <w:rPr>
          <w:lang w:val="en-IE"/>
        </w:rPr>
        <w:t> </w:t>
      </w:r>
      <w:r w:rsidRPr="00AA304C">
        <w:rPr>
          <w:lang w:val="en-IE"/>
        </w:rPr>
        <w:t xml:space="preserve">ml aliquots </w:t>
      </w:r>
      <w:r w:rsidRPr="00AA304C">
        <w:rPr>
          <w:lang w:val="en-IE"/>
        </w:rPr>
        <w:lastRenderedPageBreak/>
        <w:t>in microcentrifuge tubes and may then be stored at –70°C for several years. The presence of heterologous host bacterial antigens does not interfere with the binding of specific equine anti-</w:t>
      </w:r>
      <w:proofErr w:type="spellStart"/>
      <w:r w:rsidRPr="00AA304C">
        <w:rPr>
          <w:lang w:val="en-IE"/>
        </w:rPr>
        <w:t>piroplasma</w:t>
      </w:r>
      <w:proofErr w:type="spellEnd"/>
      <w:r w:rsidRPr="00AA304C">
        <w:rPr>
          <w:lang w:val="en-IE"/>
        </w:rPr>
        <w:t xml:space="preserve"> antibodies or the binding of the paired </w:t>
      </w:r>
      <w:proofErr w:type="spellStart"/>
      <w:r w:rsidRPr="00AA304C">
        <w:rPr>
          <w:lang w:val="en-IE"/>
        </w:rPr>
        <w:t>MAbs</w:t>
      </w:r>
      <w:proofErr w:type="spellEnd"/>
      <w:r w:rsidRPr="00AA304C">
        <w:rPr>
          <w:lang w:val="en-IE"/>
        </w:rPr>
        <w:t xml:space="preserve"> to their respective expressed recombinant antigen epitopes</w:t>
      </w:r>
      <w:r w:rsidR="000E34F9" w:rsidRPr="00AA304C">
        <w:rPr>
          <w:lang w:val="en-IE"/>
        </w:rPr>
        <w:t>,</w:t>
      </w:r>
      <w:r w:rsidRPr="00AA304C">
        <w:rPr>
          <w:lang w:val="en-IE"/>
        </w:rPr>
        <w:t xml:space="preserve"> and is confirmed by the following procedures. The antigen-containing supernatants are quality controlled by titrating them with their paired </w:t>
      </w:r>
      <w:proofErr w:type="spellStart"/>
      <w:r w:rsidRPr="00AA304C">
        <w:rPr>
          <w:lang w:val="en-IE"/>
        </w:rPr>
        <w:t>MAbs</w:t>
      </w:r>
      <w:proofErr w:type="spellEnd"/>
      <w:r w:rsidRPr="00AA304C">
        <w:rPr>
          <w:lang w:val="en-IE"/>
        </w:rPr>
        <w:t xml:space="preserve"> and with reference monospecific equine antisera to verify both an adequate level of expression and complete specificity for the homologous species of piroplasmosis agent. Normal serum (negative serum) controls must not interfere with binding of the </w:t>
      </w:r>
      <w:proofErr w:type="spellStart"/>
      <w:r w:rsidR="00CA2EC8" w:rsidRPr="00AA304C">
        <w:rPr>
          <w:lang w:val="en-IE"/>
        </w:rPr>
        <w:t>MAb</w:t>
      </w:r>
      <w:r w:rsidRPr="00AA304C">
        <w:rPr>
          <w:lang w:val="en-IE"/>
        </w:rPr>
        <w:t>s</w:t>
      </w:r>
      <w:proofErr w:type="spellEnd"/>
      <w:r w:rsidRPr="00AA304C">
        <w:rPr>
          <w:lang w:val="en-IE"/>
        </w:rPr>
        <w:t xml:space="preserve"> or positive equine reference sera to the expressed antigen preparation.</w:t>
      </w:r>
    </w:p>
    <w:p w14:paraId="663E0BE4" w14:textId="77777777" w:rsidR="00FC674A" w:rsidRPr="00AA304C" w:rsidRDefault="00E70E3D" w:rsidP="00E70E3D">
      <w:pPr>
        <w:pStyle w:val="111"/>
        <w:rPr>
          <w:bCs/>
          <w:lang w:val="en-IE"/>
        </w:rPr>
      </w:pPr>
      <w:r w:rsidRPr="00AA304C">
        <w:rPr>
          <w:bCs/>
          <w:lang w:val="en-IE"/>
        </w:rPr>
        <w:t>2.2.3.</w:t>
      </w:r>
      <w:r w:rsidR="00FC674A" w:rsidRPr="00AA304C">
        <w:rPr>
          <w:bCs/>
          <w:lang w:val="en-IE"/>
        </w:rPr>
        <w:tab/>
        <w:t>Test procedure</w:t>
      </w:r>
    </w:p>
    <w:p w14:paraId="663E0BE5" w14:textId="77777777" w:rsidR="00FC674A" w:rsidRPr="00AA304C" w:rsidRDefault="00FC674A" w:rsidP="00CA2EC8">
      <w:pPr>
        <w:pStyle w:val="i"/>
        <w:spacing w:after="160"/>
        <w:rPr>
          <w:lang w:val="en-IE"/>
        </w:rPr>
      </w:pPr>
      <w:proofErr w:type="spellStart"/>
      <w:r w:rsidRPr="00AA304C">
        <w:rPr>
          <w:lang w:val="en-IE"/>
        </w:rPr>
        <w:t>i</w:t>
      </w:r>
      <w:proofErr w:type="spellEnd"/>
      <w:r w:rsidRPr="00AA304C">
        <w:rPr>
          <w:lang w:val="en-IE"/>
        </w:rPr>
        <w:t>)</w:t>
      </w:r>
      <w:r w:rsidRPr="00AA304C">
        <w:rPr>
          <w:lang w:val="en-IE"/>
        </w:rPr>
        <w:tab/>
        <w:t>Microtitration plates are prepared by coating the wells with 50</w:t>
      </w:r>
      <w:r w:rsidR="00CA2EC8" w:rsidRPr="00AA304C">
        <w:rPr>
          <w:lang w:val="en-IE"/>
        </w:rPr>
        <w:t> </w:t>
      </w:r>
      <w:r w:rsidRPr="00AA304C">
        <w:rPr>
          <w:lang w:val="en-IE"/>
        </w:rPr>
        <w:t>µl of either</w:t>
      </w:r>
      <w:r w:rsidRPr="00AA304C">
        <w:rPr>
          <w:i/>
          <w:iCs/>
          <w:lang w:val="en-IE"/>
        </w:rPr>
        <w:t xml:space="preserve"> </w:t>
      </w:r>
      <w:r w:rsidR="003C4A96" w:rsidRPr="00AA304C">
        <w:rPr>
          <w:i/>
          <w:iCs/>
          <w:lang w:val="en-IE"/>
        </w:rPr>
        <w:t xml:space="preserve">T. </w:t>
      </w:r>
      <w:proofErr w:type="spellStart"/>
      <w:r w:rsidR="003C4A96" w:rsidRPr="00AA304C">
        <w:rPr>
          <w:i/>
          <w:iCs/>
          <w:lang w:val="en-IE"/>
        </w:rPr>
        <w:t>equi</w:t>
      </w:r>
      <w:proofErr w:type="spellEnd"/>
      <w:r w:rsidRPr="00AA304C">
        <w:rPr>
          <w:lang w:val="en-IE"/>
        </w:rPr>
        <w:t xml:space="preserve"> antigen or </w:t>
      </w:r>
      <w:r w:rsidR="00C021CD" w:rsidRPr="00AA304C">
        <w:rPr>
          <w:i/>
          <w:iCs/>
          <w:lang w:val="en-IE"/>
        </w:rPr>
        <w:t>B. </w:t>
      </w:r>
      <w:proofErr w:type="spellStart"/>
      <w:r w:rsidR="00C021CD" w:rsidRPr="00AA304C">
        <w:rPr>
          <w:i/>
          <w:iCs/>
          <w:lang w:val="en-IE"/>
        </w:rPr>
        <w:t>caballi</w:t>
      </w:r>
      <w:proofErr w:type="spellEnd"/>
      <w:r w:rsidRPr="00AA304C">
        <w:rPr>
          <w:lang w:val="en-IE"/>
        </w:rPr>
        <w:t xml:space="preserve"> antigen diluted in antigen-coating buffer. The dilution used is determined by standard serological titration techniques. The plate is sealed with sealing tape, stored overnight at 4°C, and frozen at –70°C. Plates can be stored at </w:t>
      </w:r>
      <w:r w:rsidR="00CA2EC8" w:rsidRPr="00AA304C">
        <w:rPr>
          <w:lang w:val="en-IE"/>
        </w:rPr>
        <w:t>–</w:t>
      </w:r>
      <w:r w:rsidR="000E34F9" w:rsidRPr="00AA304C">
        <w:rPr>
          <w:lang w:val="en-IE"/>
        </w:rPr>
        <w:t>70</w:t>
      </w:r>
      <w:r w:rsidRPr="00AA304C">
        <w:rPr>
          <w:lang w:val="en-IE"/>
        </w:rPr>
        <w:t xml:space="preserve">°C for up to </w:t>
      </w:r>
      <w:r w:rsidR="00CA2EC8" w:rsidRPr="00AA304C">
        <w:rPr>
          <w:lang w:val="en-IE"/>
        </w:rPr>
        <w:t>6 </w:t>
      </w:r>
      <w:r w:rsidRPr="00AA304C">
        <w:rPr>
          <w:lang w:val="en-IE"/>
        </w:rPr>
        <w:t>months.</w:t>
      </w:r>
    </w:p>
    <w:p w14:paraId="663E0BE6" w14:textId="77777777" w:rsidR="00FC674A" w:rsidRPr="00AA304C" w:rsidRDefault="00FC674A" w:rsidP="00446DF2">
      <w:pPr>
        <w:pStyle w:val="i"/>
        <w:spacing w:after="160"/>
        <w:rPr>
          <w:lang w:val="en-IE"/>
        </w:rPr>
      </w:pPr>
      <w:r w:rsidRPr="00AA304C">
        <w:rPr>
          <w:lang w:val="en-IE"/>
        </w:rPr>
        <w:t>ii)</w:t>
      </w:r>
      <w:r w:rsidRPr="00AA304C">
        <w:rPr>
          <w:lang w:val="en-IE"/>
        </w:rPr>
        <w:tab/>
        <w:t xml:space="preserve">The </w:t>
      </w:r>
      <w:r w:rsidR="00C041C7" w:rsidRPr="00AA304C">
        <w:rPr>
          <w:lang w:val="en-IE"/>
        </w:rPr>
        <w:t xml:space="preserve">primary </w:t>
      </w:r>
      <w:r w:rsidRPr="00AA304C">
        <w:rPr>
          <w:lang w:val="en-IE"/>
        </w:rPr>
        <w:t>anti-</w:t>
      </w:r>
      <w:bookmarkStart w:id="29" w:name="_spaddin_ign_49_T"/>
      <w:r w:rsidR="008262B3" w:rsidRPr="00AA304C">
        <w:rPr>
          <w:i/>
          <w:iCs/>
          <w:lang w:val="en-IE"/>
        </w:rPr>
        <w:t>T</w:t>
      </w:r>
      <w:bookmarkEnd w:id="29"/>
      <w:r w:rsidR="008262B3" w:rsidRPr="00AA304C">
        <w:rPr>
          <w:i/>
          <w:iCs/>
          <w:lang w:val="en-IE"/>
        </w:rPr>
        <w:t xml:space="preserve">. </w:t>
      </w:r>
      <w:proofErr w:type="spellStart"/>
      <w:r w:rsidR="008262B3" w:rsidRPr="00AA304C">
        <w:rPr>
          <w:i/>
          <w:iCs/>
          <w:lang w:val="en-IE"/>
        </w:rPr>
        <w:t>equi</w:t>
      </w:r>
      <w:proofErr w:type="spellEnd"/>
      <w:r w:rsidR="008262B3" w:rsidRPr="00AA304C">
        <w:rPr>
          <w:lang w:val="en-IE"/>
        </w:rPr>
        <w:t xml:space="preserve"> or anti-</w:t>
      </w:r>
      <w:bookmarkStart w:id="30" w:name="_spaddin_ign_50_B"/>
      <w:r w:rsidR="008262B3" w:rsidRPr="00AA304C">
        <w:rPr>
          <w:i/>
          <w:iCs/>
          <w:lang w:val="en-IE"/>
        </w:rPr>
        <w:t>B</w:t>
      </w:r>
      <w:bookmarkEnd w:id="30"/>
      <w:r w:rsidR="008262B3" w:rsidRPr="00AA304C">
        <w:rPr>
          <w:i/>
          <w:iCs/>
          <w:lang w:val="en-IE"/>
        </w:rPr>
        <w:t>. </w:t>
      </w:r>
      <w:proofErr w:type="spellStart"/>
      <w:r w:rsidR="008262B3" w:rsidRPr="00AA304C">
        <w:rPr>
          <w:i/>
          <w:iCs/>
          <w:lang w:val="en-IE"/>
        </w:rPr>
        <w:t>caballi</w:t>
      </w:r>
      <w:proofErr w:type="spellEnd"/>
      <w:r w:rsidR="008262B3" w:rsidRPr="00AA304C">
        <w:rPr>
          <w:lang w:val="en-IE"/>
        </w:rPr>
        <w:t xml:space="preserve"> </w:t>
      </w:r>
      <w:proofErr w:type="spellStart"/>
      <w:r w:rsidR="00446DF2" w:rsidRPr="00AA304C">
        <w:rPr>
          <w:lang w:val="en-IE"/>
        </w:rPr>
        <w:t>MAb</w:t>
      </w:r>
      <w:proofErr w:type="spellEnd"/>
      <w:r w:rsidR="00872447" w:rsidRPr="00AA304C">
        <w:rPr>
          <w:lang w:val="en-IE"/>
        </w:rPr>
        <w:t xml:space="preserve"> and secondary antibody-peroxidase conjugate</w:t>
      </w:r>
      <w:r w:rsidR="00D75CC3" w:rsidRPr="00AA304C">
        <w:rPr>
          <w:lang w:val="en-IE"/>
        </w:rPr>
        <w:t xml:space="preserve"> </w:t>
      </w:r>
      <w:r w:rsidRPr="00AA304C">
        <w:rPr>
          <w:lang w:val="en-IE"/>
        </w:rPr>
        <w:t xml:space="preserve">is </w:t>
      </w:r>
      <w:r w:rsidR="00624A1C" w:rsidRPr="00AA304C">
        <w:rPr>
          <w:lang w:val="en-IE"/>
        </w:rPr>
        <w:t xml:space="preserve">diluted </w:t>
      </w:r>
      <w:r w:rsidRPr="00AA304C">
        <w:rPr>
          <w:lang w:val="en-IE"/>
        </w:rPr>
        <w:t xml:space="preserve">as directed by the manufacturer at the time of use in </w:t>
      </w:r>
      <w:bookmarkStart w:id="31" w:name="_spaddin_ign_32_C"/>
      <w:r w:rsidR="00C92E4C" w:rsidRPr="00AA304C">
        <w:rPr>
          <w:lang w:val="en-IE"/>
        </w:rPr>
        <w:t xml:space="preserve">the </w:t>
      </w:r>
      <w:r w:rsidRPr="00AA304C">
        <w:rPr>
          <w:lang w:val="en-IE"/>
        </w:rPr>
        <w:t>C</w:t>
      </w:r>
      <w:bookmarkEnd w:id="31"/>
      <w:r w:rsidRPr="00AA304C">
        <w:rPr>
          <w:lang w:val="en-IE"/>
        </w:rPr>
        <w:t>-EL</w:t>
      </w:r>
      <w:r w:rsidR="00CA2EC8" w:rsidRPr="00AA304C">
        <w:rPr>
          <w:lang w:val="en-IE"/>
        </w:rPr>
        <w:t>ISA,</w:t>
      </w:r>
      <w:r w:rsidRPr="00AA304C">
        <w:rPr>
          <w:lang w:val="en-IE"/>
        </w:rPr>
        <w:t xml:space="preserve"> </w:t>
      </w:r>
      <w:r w:rsidR="00D47D67" w:rsidRPr="00AA304C">
        <w:rPr>
          <w:lang w:val="en-IE"/>
        </w:rPr>
        <w:t xml:space="preserve">with </w:t>
      </w:r>
      <w:r w:rsidR="00C92E4C" w:rsidRPr="00AA304C">
        <w:rPr>
          <w:lang w:val="en-IE"/>
        </w:rPr>
        <w:t>antibody-</w:t>
      </w:r>
      <w:r w:rsidR="00F30356" w:rsidRPr="00AA304C">
        <w:rPr>
          <w:lang w:val="en-IE"/>
        </w:rPr>
        <w:t xml:space="preserve">diluting buffer </w:t>
      </w:r>
      <w:r w:rsidR="00C92E4C" w:rsidRPr="00AA304C">
        <w:rPr>
          <w:lang w:val="en-IE"/>
        </w:rPr>
        <w:t>(</w:t>
      </w:r>
      <w:r w:rsidR="00F30356" w:rsidRPr="00AA304C">
        <w:rPr>
          <w:lang w:val="en-IE"/>
        </w:rPr>
        <w:t>supplied with the test kit</w:t>
      </w:r>
      <w:r w:rsidR="00C92E4C" w:rsidRPr="00AA304C">
        <w:rPr>
          <w:lang w:val="en-IE"/>
        </w:rPr>
        <w:t xml:space="preserve">). </w:t>
      </w:r>
    </w:p>
    <w:p w14:paraId="663E0BE7" w14:textId="77777777" w:rsidR="00FC674A" w:rsidRPr="00AA304C" w:rsidRDefault="00FC674A" w:rsidP="00C5786E">
      <w:pPr>
        <w:pStyle w:val="i"/>
        <w:spacing w:after="160"/>
        <w:rPr>
          <w:lang w:val="en-IE"/>
        </w:rPr>
      </w:pPr>
      <w:r w:rsidRPr="00AA304C">
        <w:rPr>
          <w:lang w:val="en-IE"/>
        </w:rPr>
        <w:t>iii)</w:t>
      </w:r>
      <w:r w:rsidRPr="00AA304C">
        <w:rPr>
          <w:lang w:val="en-IE"/>
        </w:rPr>
        <w:tab/>
        <w:t xml:space="preserve">Plates are thawed at room temperature, the coating solution is decanted, and the plates are washed twice with </w:t>
      </w:r>
      <w:bookmarkStart w:id="32" w:name="_spaddin_ign_34_C"/>
      <w:r w:rsidRPr="00AA304C">
        <w:rPr>
          <w:lang w:val="en-IE"/>
        </w:rPr>
        <w:t>C</w:t>
      </w:r>
      <w:bookmarkEnd w:id="32"/>
      <w:r w:rsidRPr="00AA304C">
        <w:rPr>
          <w:lang w:val="en-IE"/>
        </w:rPr>
        <w:t>-ELISA wash solution.</w:t>
      </w:r>
    </w:p>
    <w:p w14:paraId="663E0BE8" w14:textId="77777777" w:rsidR="00FC674A" w:rsidRPr="00AA304C" w:rsidRDefault="00FC674A" w:rsidP="00910D47">
      <w:pPr>
        <w:pStyle w:val="i"/>
        <w:spacing w:after="160"/>
        <w:rPr>
          <w:lang w:val="en-IE"/>
        </w:rPr>
      </w:pPr>
      <w:r w:rsidRPr="00AA304C">
        <w:rPr>
          <w:lang w:val="en-IE"/>
        </w:rPr>
        <w:t>iv)</w:t>
      </w:r>
      <w:r w:rsidRPr="00AA304C">
        <w:rPr>
          <w:lang w:val="en-IE"/>
        </w:rPr>
        <w:tab/>
      </w:r>
      <w:r w:rsidR="00C06E7F" w:rsidRPr="00AA304C">
        <w:rPr>
          <w:lang w:val="en-IE"/>
        </w:rPr>
        <w:t>The serum controls and test serum samples are diluted 1</w:t>
      </w:r>
      <w:r w:rsidR="000C7073" w:rsidRPr="00AA304C">
        <w:rPr>
          <w:lang w:val="en-IE"/>
        </w:rPr>
        <w:t>/</w:t>
      </w:r>
      <w:r w:rsidR="00C06E7F" w:rsidRPr="00AA304C">
        <w:rPr>
          <w:lang w:val="en-IE"/>
        </w:rPr>
        <w:t xml:space="preserve">2 with </w:t>
      </w:r>
      <w:r w:rsidR="000C7073" w:rsidRPr="00AA304C">
        <w:rPr>
          <w:lang w:val="en-IE"/>
        </w:rPr>
        <w:t>serum-</w:t>
      </w:r>
      <w:r w:rsidR="00C06E7F" w:rsidRPr="00AA304C">
        <w:rPr>
          <w:lang w:val="en-IE"/>
        </w:rPr>
        <w:t>diluting buffer</w:t>
      </w:r>
      <w:r w:rsidR="006B01C7" w:rsidRPr="00AA304C">
        <w:rPr>
          <w:lang w:val="en-IE"/>
        </w:rPr>
        <w:t xml:space="preserve"> </w:t>
      </w:r>
      <w:r w:rsidR="00B067EE" w:rsidRPr="00AA304C">
        <w:rPr>
          <w:lang w:val="en-IE"/>
        </w:rPr>
        <w:t xml:space="preserve">before </w:t>
      </w:r>
      <w:r w:rsidR="006B01C7" w:rsidRPr="00AA304C">
        <w:rPr>
          <w:lang w:val="en-IE"/>
        </w:rPr>
        <w:t xml:space="preserve">50 µl of sera is </w:t>
      </w:r>
      <w:r w:rsidRPr="00AA304C">
        <w:rPr>
          <w:lang w:val="en-IE"/>
        </w:rPr>
        <w:t>added to wells. Each unknown serum sample is tested in single or</w:t>
      </w:r>
      <w:r w:rsidR="00CA2EC8" w:rsidRPr="00AA304C">
        <w:rPr>
          <w:lang w:val="en-IE"/>
        </w:rPr>
        <w:t xml:space="preserve"> duplicate wells. </w:t>
      </w:r>
      <w:r w:rsidR="00FA5B7F" w:rsidRPr="00AA304C">
        <w:rPr>
          <w:lang w:val="en-IE"/>
        </w:rPr>
        <w:t>Positive</w:t>
      </w:r>
      <w:r w:rsidR="00E34A59" w:rsidRPr="00AA304C">
        <w:rPr>
          <w:lang w:val="en-IE"/>
        </w:rPr>
        <w:t xml:space="preserve"> c</w:t>
      </w:r>
      <w:r w:rsidRPr="00AA304C">
        <w:rPr>
          <w:lang w:val="en-IE"/>
        </w:rPr>
        <w:t xml:space="preserve">ontrol sera and blanks are tested in duplicate </w:t>
      </w:r>
      <w:r w:rsidR="00E34A59" w:rsidRPr="00AA304C">
        <w:rPr>
          <w:lang w:val="en-IE"/>
        </w:rPr>
        <w:t>while negative control</w:t>
      </w:r>
      <w:r w:rsidR="003E4B2D" w:rsidRPr="00AA304C">
        <w:rPr>
          <w:lang w:val="en-IE"/>
        </w:rPr>
        <w:t>s</w:t>
      </w:r>
      <w:r w:rsidR="00E34A59" w:rsidRPr="00AA304C">
        <w:rPr>
          <w:lang w:val="en-IE"/>
        </w:rPr>
        <w:t xml:space="preserve"> are tested in triplicate on different parts of the plate. </w:t>
      </w:r>
      <w:r w:rsidRPr="00AA304C">
        <w:rPr>
          <w:lang w:val="en-IE"/>
        </w:rPr>
        <w:t>Plates are incubated covered</w:t>
      </w:r>
      <w:r w:rsidR="000C7073" w:rsidRPr="00AA304C">
        <w:rPr>
          <w:lang w:val="en-IE"/>
        </w:rPr>
        <w:t>,</w:t>
      </w:r>
      <w:r w:rsidRPr="00AA304C">
        <w:rPr>
          <w:lang w:val="en-IE"/>
        </w:rPr>
        <w:t xml:space="preserve"> at </w:t>
      </w:r>
      <w:r w:rsidR="00FA5B7F" w:rsidRPr="00AA304C">
        <w:rPr>
          <w:lang w:val="en-IE"/>
        </w:rPr>
        <w:t>room temperature (21</w:t>
      </w:r>
      <w:r w:rsidR="00910D47" w:rsidRPr="00AA304C">
        <w:rPr>
          <w:lang w:val="en-IE"/>
        </w:rPr>
        <w:t>–</w:t>
      </w:r>
      <w:r w:rsidR="00FA5B7F" w:rsidRPr="00AA304C">
        <w:rPr>
          <w:lang w:val="en-IE"/>
        </w:rPr>
        <w:t>25</w:t>
      </w:r>
      <w:r w:rsidRPr="00AA304C">
        <w:rPr>
          <w:lang w:val="en-IE"/>
        </w:rPr>
        <w:t>°C</w:t>
      </w:r>
      <w:r w:rsidR="00FA5B7F" w:rsidRPr="00AA304C">
        <w:rPr>
          <w:lang w:val="en-IE"/>
        </w:rPr>
        <w:t>)</w:t>
      </w:r>
      <w:r w:rsidRPr="00AA304C">
        <w:rPr>
          <w:lang w:val="en-IE"/>
        </w:rPr>
        <w:t xml:space="preserve"> for </w:t>
      </w:r>
      <w:r w:rsidR="00FA5B7F" w:rsidRPr="00AA304C">
        <w:rPr>
          <w:lang w:val="en-IE"/>
        </w:rPr>
        <w:t>3</w:t>
      </w:r>
      <w:r w:rsidRPr="00AA304C">
        <w:rPr>
          <w:lang w:val="en-IE"/>
        </w:rPr>
        <w:t>0</w:t>
      </w:r>
      <w:r w:rsidR="00CA2EC8" w:rsidRPr="00AA304C">
        <w:rPr>
          <w:lang w:val="en-IE"/>
        </w:rPr>
        <w:t> </w:t>
      </w:r>
      <w:r w:rsidRPr="00AA304C">
        <w:rPr>
          <w:lang w:val="en-IE"/>
        </w:rPr>
        <w:t>minutes in a humid chamber</w:t>
      </w:r>
      <w:r w:rsidR="00512B88" w:rsidRPr="00AA304C">
        <w:rPr>
          <w:lang w:val="en-IE"/>
        </w:rPr>
        <w:t>, and then washed three times in C-ELISA wash solution.</w:t>
      </w:r>
    </w:p>
    <w:p w14:paraId="663E0BE9" w14:textId="77777777" w:rsidR="00FC674A" w:rsidRPr="00AA304C" w:rsidRDefault="00FC674A" w:rsidP="00446DF2">
      <w:pPr>
        <w:pStyle w:val="i"/>
        <w:spacing w:after="160"/>
        <w:rPr>
          <w:lang w:val="en-IE"/>
        </w:rPr>
      </w:pPr>
      <w:r w:rsidRPr="00AA304C">
        <w:rPr>
          <w:lang w:val="en-IE"/>
        </w:rPr>
        <w:t>v)</w:t>
      </w:r>
      <w:r w:rsidRPr="00AA304C">
        <w:rPr>
          <w:lang w:val="en-IE"/>
        </w:rPr>
        <w:tab/>
        <w:t>All wells then receive 50</w:t>
      </w:r>
      <w:r w:rsidR="00CA2EC8" w:rsidRPr="00AA304C">
        <w:rPr>
          <w:lang w:val="en-IE"/>
        </w:rPr>
        <w:t> </w:t>
      </w:r>
      <w:r w:rsidRPr="00AA304C">
        <w:rPr>
          <w:lang w:val="en-IE"/>
        </w:rPr>
        <w:t xml:space="preserve">µl/well of diluted </w:t>
      </w:r>
      <w:r w:rsidR="00EA50F6" w:rsidRPr="00AA304C">
        <w:rPr>
          <w:lang w:val="en-IE"/>
        </w:rPr>
        <w:t xml:space="preserve">primary </w:t>
      </w:r>
      <w:r w:rsidRPr="00AA304C">
        <w:rPr>
          <w:lang w:val="en-IE"/>
        </w:rPr>
        <w:t>anti-</w:t>
      </w:r>
      <w:bookmarkStart w:id="33" w:name="_spaddin_ign_51_T"/>
      <w:r w:rsidR="003C4A96" w:rsidRPr="00AA304C">
        <w:rPr>
          <w:i/>
          <w:iCs/>
          <w:lang w:val="en-IE"/>
        </w:rPr>
        <w:t>T</w:t>
      </w:r>
      <w:bookmarkEnd w:id="33"/>
      <w:r w:rsidR="000C7073" w:rsidRPr="00AA304C">
        <w:rPr>
          <w:i/>
          <w:iCs/>
          <w:lang w:val="en-IE"/>
        </w:rPr>
        <w:t>. </w:t>
      </w:r>
      <w:proofErr w:type="spellStart"/>
      <w:r w:rsidR="003C4A96" w:rsidRPr="00AA304C">
        <w:rPr>
          <w:i/>
          <w:iCs/>
          <w:lang w:val="en-IE"/>
        </w:rPr>
        <w:t>equi</w:t>
      </w:r>
      <w:proofErr w:type="spellEnd"/>
      <w:r w:rsidRPr="00AA304C">
        <w:rPr>
          <w:lang w:val="en-IE"/>
        </w:rPr>
        <w:t xml:space="preserve"> or anti-</w:t>
      </w:r>
      <w:bookmarkStart w:id="34" w:name="_spaddin_ign_52_B"/>
      <w:r w:rsidR="00C021CD" w:rsidRPr="00AA304C">
        <w:rPr>
          <w:i/>
          <w:iCs/>
          <w:lang w:val="en-IE"/>
        </w:rPr>
        <w:t>B</w:t>
      </w:r>
      <w:bookmarkEnd w:id="34"/>
      <w:r w:rsidR="00C021CD" w:rsidRPr="00AA304C">
        <w:rPr>
          <w:i/>
          <w:iCs/>
          <w:lang w:val="en-IE"/>
        </w:rPr>
        <w:t>. </w:t>
      </w:r>
      <w:proofErr w:type="spellStart"/>
      <w:r w:rsidR="00C021CD" w:rsidRPr="00AA304C">
        <w:rPr>
          <w:i/>
          <w:iCs/>
          <w:lang w:val="en-IE"/>
        </w:rPr>
        <w:t>caballi</w:t>
      </w:r>
      <w:proofErr w:type="spellEnd"/>
      <w:r w:rsidRPr="00AA304C">
        <w:rPr>
          <w:lang w:val="en-IE"/>
        </w:rPr>
        <w:t xml:space="preserve"> </w:t>
      </w:r>
      <w:proofErr w:type="spellStart"/>
      <w:r w:rsidR="00446DF2" w:rsidRPr="00AA304C">
        <w:rPr>
          <w:lang w:val="en-IE"/>
        </w:rPr>
        <w:t>MAb</w:t>
      </w:r>
      <w:proofErr w:type="spellEnd"/>
      <w:r w:rsidRPr="00AA304C">
        <w:rPr>
          <w:lang w:val="en-IE"/>
        </w:rPr>
        <w:t xml:space="preserve">. (The </w:t>
      </w:r>
      <w:proofErr w:type="spellStart"/>
      <w:r w:rsidRPr="00AA304C">
        <w:rPr>
          <w:lang w:val="en-IE"/>
        </w:rPr>
        <w:t>MAb</w:t>
      </w:r>
      <w:proofErr w:type="spellEnd"/>
      <w:r w:rsidRPr="00AA304C">
        <w:rPr>
          <w:lang w:val="en-IE"/>
        </w:rPr>
        <w:t xml:space="preserve"> is produced in a cell culture bioreactor and is available from the </w:t>
      </w:r>
      <w:r w:rsidR="000E34F9" w:rsidRPr="00AA304C">
        <w:rPr>
          <w:lang w:val="en-IE"/>
        </w:rPr>
        <w:t>NVSL</w:t>
      </w:r>
      <w:r w:rsidRPr="00AA304C">
        <w:rPr>
          <w:lang w:val="en-IE"/>
        </w:rPr>
        <w:t>, P.O. Box 844, Ames, Iowa 50010, USA.) Plates are incubated covered for 30</w:t>
      </w:r>
      <w:r w:rsidR="00CA2EC8" w:rsidRPr="00AA304C">
        <w:rPr>
          <w:lang w:val="en-IE"/>
        </w:rPr>
        <w:t> </w:t>
      </w:r>
      <w:r w:rsidRPr="00AA304C">
        <w:rPr>
          <w:lang w:val="en-IE"/>
        </w:rPr>
        <w:t xml:space="preserve">minutes at </w:t>
      </w:r>
      <w:r w:rsidR="0049468B" w:rsidRPr="00AA304C">
        <w:rPr>
          <w:lang w:val="en-IE"/>
        </w:rPr>
        <w:t>room temperature (21</w:t>
      </w:r>
      <w:r w:rsidR="000C7073" w:rsidRPr="00AA304C">
        <w:rPr>
          <w:lang w:val="en-IE"/>
        </w:rPr>
        <w:t>–</w:t>
      </w:r>
      <w:r w:rsidR="0049468B" w:rsidRPr="00AA304C">
        <w:rPr>
          <w:lang w:val="en-IE"/>
        </w:rPr>
        <w:t xml:space="preserve">25°C) </w:t>
      </w:r>
      <w:r w:rsidRPr="00AA304C">
        <w:rPr>
          <w:lang w:val="en-IE"/>
        </w:rPr>
        <w:t xml:space="preserve">in a humid chamber, and then washed three times in </w:t>
      </w:r>
      <w:bookmarkStart w:id="35" w:name="_spaddin_ign_35_C"/>
      <w:r w:rsidRPr="00AA304C">
        <w:rPr>
          <w:lang w:val="en-IE"/>
        </w:rPr>
        <w:t>C</w:t>
      </w:r>
      <w:bookmarkEnd w:id="35"/>
      <w:r w:rsidRPr="00AA304C">
        <w:rPr>
          <w:lang w:val="en-IE"/>
        </w:rPr>
        <w:t>-ELISA wash solution.</w:t>
      </w:r>
    </w:p>
    <w:p w14:paraId="663E0BEA" w14:textId="77777777" w:rsidR="00FC674A" w:rsidRPr="00AA304C" w:rsidRDefault="00FC674A" w:rsidP="00446DF2">
      <w:pPr>
        <w:pStyle w:val="i"/>
        <w:spacing w:after="160"/>
        <w:rPr>
          <w:lang w:val="en-IE"/>
        </w:rPr>
      </w:pPr>
      <w:r w:rsidRPr="00AA304C">
        <w:rPr>
          <w:lang w:val="en-IE"/>
        </w:rPr>
        <w:t>vi)</w:t>
      </w:r>
      <w:r w:rsidRPr="00AA304C">
        <w:rPr>
          <w:lang w:val="en-IE"/>
        </w:rPr>
        <w:tab/>
        <w:t xml:space="preserve">Diluted </w:t>
      </w:r>
      <w:r w:rsidR="00327A55" w:rsidRPr="00AA304C">
        <w:rPr>
          <w:lang w:val="en-IE"/>
        </w:rPr>
        <w:t xml:space="preserve">secondary </w:t>
      </w:r>
      <w:r w:rsidR="0025636D" w:rsidRPr="00AA304C">
        <w:rPr>
          <w:lang w:val="en-IE"/>
        </w:rPr>
        <w:t xml:space="preserve">peroxidase </w:t>
      </w:r>
      <w:r w:rsidRPr="00AA304C">
        <w:rPr>
          <w:lang w:val="en-IE"/>
        </w:rPr>
        <w:t>anti-murine IgG (50</w:t>
      </w:r>
      <w:r w:rsidR="00CA2EC8" w:rsidRPr="00AA304C">
        <w:rPr>
          <w:lang w:val="en-IE"/>
        </w:rPr>
        <w:t> </w:t>
      </w:r>
      <w:r w:rsidRPr="00AA304C">
        <w:rPr>
          <w:lang w:val="en-IE"/>
        </w:rPr>
        <w:t xml:space="preserve">µl/well) </w:t>
      </w:r>
      <w:r w:rsidR="00327A55" w:rsidRPr="00AA304C">
        <w:rPr>
          <w:lang w:val="en-IE"/>
        </w:rPr>
        <w:t xml:space="preserve">conjugate </w:t>
      </w:r>
      <w:r w:rsidRPr="00AA304C">
        <w:rPr>
          <w:lang w:val="en-IE"/>
        </w:rPr>
        <w:t xml:space="preserve">is added to </w:t>
      </w:r>
      <w:r w:rsidR="003E4B2D" w:rsidRPr="00AA304C">
        <w:rPr>
          <w:lang w:val="en-IE"/>
        </w:rPr>
        <w:t xml:space="preserve">each </w:t>
      </w:r>
      <w:r w:rsidRPr="00AA304C">
        <w:rPr>
          <w:lang w:val="en-IE"/>
        </w:rPr>
        <w:t>well. Plates are incubated covered for 30</w:t>
      </w:r>
      <w:r w:rsidR="00CA2EC8" w:rsidRPr="00AA304C">
        <w:rPr>
          <w:lang w:val="en-IE"/>
        </w:rPr>
        <w:t> </w:t>
      </w:r>
      <w:r w:rsidRPr="00AA304C">
        <w:rPr>
          <w:lang w:val="en-IE"/>
        </w:rPr>
        <w:t xml:space="preserve">minutes at </w:t>
      </w:r>
      <w:r w:rsidR="00B00C7E" w:rsidRPr="00AA304C">
        <w:rPr>
          <w:lang w:val="en-IE"/>
        </w:rPr>
        <w:t>room temperature (21</w:t>
      </w:r>
      <w:r w:rsidR="00446DF2" w:rsidRPr="00AA304C">
        <w:rPr>
          <w:lang w:val="en-IE"/>
        </w:rPr>
        <w:t>–</w:t>
      </w:r>
      <w:r w:rsidR="00B00C7E" w:rsidRPr="00AA304C">
        <w:rPr>
          <w:lang w:val="en-IE"/>
        </w:rPr>
        <w:t>25°C)</w:t>
      </w:r>
      <w:r w:rsidRPr="00AA304C">
        <w:rPr>
          <w:lang w:val="en-IE"/>
        </w:rPr>
        <w:t xml:space="preserve"> in a humid chamber, and then washed three times in </w:t>
      </w:r>
      <w:bookmarkStart w:id="36" w:name="_spaddin_ign_36_C"/>
      <w:r w:rsidRPr="00AA304C">
        <w:rPr>
          <w:lang w:val="en-IE"/>
        </w:rPr>
        <w:t>C</w:t>
      </w:r>
      <w:bookmarkEnd w:id="36"/>
      <w:r w:rsidRPr="00AA304C">
        <w:rPr>
          <w:lang w:val="en-IE"/>
        </w:rPr>
        <w:t>-ELISA wash solution.</w:t>
      </w:r>
    </w:p>
    <w:p w14:paraId="663E0BEB" w14:textId="77777777" w:rsidR="0009756B" w:rsidRPr="00AA304C" w:rsidRDefault="00FC674A" w:rsidP="00CA2EC8">
      <w:pPr>
        <w:pStyle w:val="i"/>
        <w:spacing w:after="160"/>
        <w:rPr>
          <w:lang w:val="en-IE"/>
        </w:rPr>
      </w:pPr>
      <w:r w:rsidRPr="00AA304C">
        <w:rPr>
          <w:lang w:val="en-IE"/>
        </w:rPr>
        <w:t>vii)</w:t>
      </w:r>
      <w:r w:rsidRPr="00AA304C">
        <w:rPr>
          <w:lang w:val="en-IE"/>
        </w:rPr>
        <w:tab/>
        <w:t xml:space="preserve">Chromogenic enzyme substrate (50 µl/well) is added to </w:t>
      </w:r>
      <w:r w:rsidR="003E4B2D" w:rsidRPr="00AA304C">
        <w:rPr>
          <w:lang w:val="en-IE"/>
        </w:rPr>
        <w:t xml:space="preserve">all </w:t>
      </w:r>
      <w:r w:rsidRPr="00AA304C">
        <w:rPr>
          <w:lang w:val="en-IE"/>
        </w:rPr>
        <w:t xml:space="preserve">wells, and plates are incubated </w:t>
      </w:r>
      <w:r w:rsidR="00942353" w:rsidRPr="00AA304C">
        <w:rPr>
          <w:lang w:val="en-IE"/>
        </w:rPr>
        <w:t>for 15</w:t>
      </w:r>
      <w:r w:rsidR="00446DF2" w:rsidRPr="00AA304C">
        <w:rPr>
          <w:lang w:val="en-IE"/>
        </w:rPr>
        <w:t> </w:t>
      </w:r>
      <w:r w:rsidR="00942353" w:rsidRPr="00AA304C">
        <w:rPr>
          <w:lang w:val="en-IE"/>
        </w:rPr>
        <w:t xml:space="preserve">minutes </w:t>
      </w:r>
      <w:r w:rsidRPr="00AA304C">
        <w:rPr>
          <w:lang w:val="en-IE"/>
        </w:rPr>
        <w:t xml:space="preserve">at room temperature </w:t>
      </w:r>
      <w:r w:rsidR="00D47D67" w:rsidRPr="00AA304C">
        <w:rPr>
          <w:lang w:val="en-IE"/>
        </w:rPr>
        <w:t>(21</w:t>
      </w:r>
      <w:r w:rsidR="00CA2EC8" w:rsidRPr="00AA304C">
        <w:rPr>
          <w:lang w:val="en-IE"/>
        </w:rPr>
        <w:t>–</w:t>
      </w:r>
      <w:r w:rsidR="00D47D67" w:rsidRPr="00AA304C">
        <w:rPr>
          <w:lang w:val="en-IE"/>
        </w:rPr>
        <w:t xml:space="preserve">25°C) </w:t>
      </w:r>
      <w:r w:rsidRPr="00AA304C">
        <w:rPr>
          <w:lang w:val="en-IE"/>
        </w:rPr>
        <w:t>during colour development.</w:t>
      </w:r>
    </w:p>
    <w:p w14:paraId="663E0BEC" w14:textId="77777777" w:rsidR="00FC674A" w:rsidRPr="00AA304C" w:rsidRDefault="0009756B" w:rsidP="00B00663">
      <w:pPr>
        <w:pStyle w:val="i"/>
        <w:spacing w:after="160"/>
        <w:rPr>
          <w:i/>
          <w:iCs/>
          <w:lang w:val="en-IE"/>
        </w:rPr>
      </w:pPr>
      <w:r w:rsidRPr="00AA304C">
        <w:rPr>
          <w:lang w:val="en-IE"/>
        </w:rPr>
        <w:t>viii</w:t>
      </w:r>
      <w:r w:rsidR="00FC674A" w:rsidRPr="00AA304C">
        <w:rPr>
          <w:lang w:val="en-IE"/>
        </w:rPr>
        <w:t>)</w:t>
      </w:r>
      <w:r w:rsidR="00FC674A" w:rsidRPr="00AA304C">
        <w:rPr>
          <w:lang w:val="en-IE"/>
        </w:rPr>
        <w:tab/>
        <w:t xml:space="preserve">The colour development is stopped by adding 50 µl </w:t>
      </w:r>
      <w:r w:rsidR="00942353" w:rsidRPr="00AA304C">
        <w:rPr>
          <w:lang w:val="en-IE"/>
        </w:rPr>
        <w:t>of s</w:t>
      </w:r>
      <w:r w:rsidR="00FC674A" w:rsidRPr="00AA304C">
        <w:rPr>
          <w:lang w:val="en-IE"/>
        </w:rPr>
        <w:t xml:space="preserve">top solution to all wells </w:t>
      </w:r>
      <w:r w:rsidR="00D8482D" w:rsidRPr="00AA304C">
        <w:rPr>
          <w:lang w:val="en-IE"/>
        </w:rPr>
        <w:t xml:space="preserve">and </w:t>
      </w:r>
      <w:r w:rsidR="00B00663" w:rsidRPr="00AA304C">
        <w:rPr>
          <w:lang w:val="en-IE"/>
        </w:rPr>
        <w:t xml:space="preserve">the plates are </w:t>
      </w:r>
      <w:r w:rsidR="00D8482D" w:rsidRPr="00AA304C">
        <w:rPr>
          <w:lang w:val="en-IE"/>
        </w:rPr>
        <w:t xml:space="preserve">read </w:t>
      </w:r>
      <w:r w:rsidR="00B00663" w:rsidRPr="00AA304C">
        <w:rPr>
          <w:lang w:val="en-IE"/>
        </w:rPr>
        <w:t xml:space="preserve">immediately </w:t>
      </w:r>
      <w:r w:rsidR="00D8482D" w:rsidRPr="00AA304C">
        <w:rPr>
          <w:lang w:val="en-IE"/>
        </w:rPr>
        <w:t>on a plate reader</w:t>
      </w:r>
      <w:r w:rsidR="00D2010F" w:rsidRPr="00AA304C">
        <w:rPr>
          <w:lang w:val="en-IE"/>
        </w:rPr>
        <w:t>.</w:t>
      </w:r>
    </w:p>
    <w:p w14:paraId="663E0BED" w14:textId="77777777" w:rsidR="00D33048" w:rsidRPr="00AA304C" w:rsidRDefault="00446DF2" w:rsidP="00446DF2">
      <w:pPr>
        <w:pStyle w:val="i"/>
        <w:rPr>
          <w:lang w:val="en-IE"/>
        </w:rPr>
      </w:pPr>
      <w:r w:rsidRPr="00AA304C">
        <w:rPr>
          <w:lang w:val="en-IE"/>
        </w:rPr>
        <w:t>ix)</w:t>
      </w:r>
      <w:r w:rsidRPr="00AA304C">
        <w:rPr>
          <w:lang w:val="en-IE"/>
        </w:rPr>
        <w:tab/>
      </w:r>
      <w:r w:rsidR="00FC674A" w:rsidRPr="00AA304C">
        <w:rPr>
          <w:lang w:val="en-IE"/>
        </w:rPr>
        <w:t xml:space="preserve">The plates are read at </w:t>
      </w:r>
      <w:r w:rsidR="00D2010F" w:rsidRPr="00AA304C">
        <w:rPr>
          <w:lang w:val="en-IE"/>
        </w:rPr>
        <w:t>620, 630 or 650 nm wavelength (OD).</w:t>
      </w:r>
      <w:r w:rsidR="00FC674A" w:rsidRPr="00AA304C">
        <w:rPr>
          <w:lang w:val="en-IE"/>
        </w:rPr>
        <w:t xml:space="preserve"> The average OD is calculated for the duplicate wells for all control sera and blank wells. For a valid test, the mean of the </w:t>
      </w:r>
      <w:r w:rsidR="00BF1D53" w:rsidRPr="00AA304C">
        <w:rPr>
          <w:lang w:val="en-IE"/>
        </w:rPr>
        <w:t xml:space="preserve">negative controls must produce an OD &gt;0.300 and &lt;2.000. The mean </w:t>
      </w:r>
      <w:r w:rsidR="00FC674A" w:rsidRPr="00AA304C">
        <w:rPr>
          <w:lang w:val="en-IE"/>
        </w:rPr>
        <w:t xml:space="preserve">positive control sera </w:t>
      </w:r>
      <w:r w:rsidR="00BF1D53" w:rsidRPr="00AA304C">
        <w:rPr>
          <w:lang w:val="en-IE"/>
        </w:rPr>
        <w:t>must produce an inhibition of ≥</w:t>
      </w:r>
      <w:r w:rsidR="00FC674A" w:rsidRPr="00AA304C">
        <w:rPr>
          <w:lang w:val="en-IE"/>
        </w:rPr>
        <w:t>40%</w:t>
      </w:r>
      <w:r w:rsidR="00083F9D" w:rsidRPr="00AA304C">
        <w:rPr>
          <w:lang w:val="en-IE"/>
        </w:rPr>
        <w:t>.</w:t>
      </w:r>
    </w:p>
    <w:p w14:paraId="663E0BEE" w14:textId="77777777" w:rsidR="00FC674A" w:rsidRPr="00AA304C" w:rsidRDefault="00446DF2" w:rsidP="00446DF2">
      <w:pPr>
        <w:pStyle w:val="i"/>
        <w:rPr>
          <w:lang w:val="en-IE"/>
        </w:rPr>
      </w:pPr>
      <w:r w:rsidRPr="00AA304C">
        <w:rPr>
          <w:lang w:val="en-IE"/>
        </w:rPr>
        <w:t>x)</w:t>
      </w:r>
      <w:r w:rsidRPr="00AA304C">
        <w:rPr>
          <w:lang w:val="en-IE"/>
        </w:rPr>
        <w:tab/>
      </w:r>
      <w:r w:rsidR="00D33048" w:rsidRPr="00AA304C">
        <w:rPr>
          <w:lang w:val="en-IE"/>
        </w:rPr>
        <w:t>Per</w:t>
      </w:r>
      <w:r w:rsidRPr="00AA304C">
        <w:rPr>
          <w:lang w:val="en-IE"/>
        </w:rPr>
        <w:t xml:space="preserve"> </w:t>
      </w:r>
      <w:r w:rsidR="00D33048" w:rsidRPr="00AA304C">
        <w:rPr>
          <w:lang w:val="en-IE"/>
        </w:rPr>
        <w:t xml:space="preserve">cent inhibition [%I] is calculated as follows: %I = 100 – [(Sample OD </w:t>
      </w:r>
      <w:r w:rsidRPr="00AA304C">
        <w:rPr>
          <w:lang w:val="en-IE"/>
        </w:rPr>
        <w:t>×</w:t>
      </w:r>
      <w:r w:rsidR="00D33048" w:rsidRPr="00AA304C">
        <w:rPr>
          <w:lang w:val="en-IE"/>
        </w:rPr>
        <w:t xml:space="preserve"> 100) ÷ (Mean negative control OD)]</w:t>
      </w:r>
      <w:r w:rsidR="00B00663" w:rsidRPr="00AA304C">
        <w:rPr>
          <w:lang w:val="en-IE"/>
        </w:rPr>
        <w:t>.</w:t>
      </w:r>
    </w:p>
    <w:p w14:paraId="663E0BEF" w14:textId="77777777" w:rsidR="00FC674A" w:rsidRPr="00AA304C" w:rsidRDefault="00FC674A" w:rsidP="00CA2EC8">
      <w:pPr>
        <w:pStyle w:val="i"/>
        <w:spacing w:after="240" w:line="220" w:lineRule="exact"/>
        <w:rPr>
          <w:lang w:val="en-IE"/>
        </w:rPr>
      </w:pPr>
      <w:bookmarkStart w:id="37" w:name="_spaddin_ign_46_xi"/>
      <w:r w:rsidRPr="00AA304C">
        <w:rPr>
          <w:lang w:val="en-IE"/>
        </w:rPr>
        <w:t>xi</w:t>
      </w:r>
      <w:bookmarkEnd w:id="37"/>
      <w:r w:rsidRPr="00AA304C">
        <w:rPr>
          <w:lang w:val="en-IE"/>
        </w:rPr>
        <w:t>)</w:t>
      </w:r>
      <w:r w:rsidRPr="00AA304C">
        <w:rPr>
          <w:lang w:val="en-IE"/>
        </w:rPr>
        <w:tab/>
      </w:r>
      <w:r w:rsidR="00CB5914" w:rsidRPr="00AA304C">
        <w:rPr>
          <w:lang w:val="en-IE"/>
        </w:rPr>
        <w:t xml:space="preserve">If a test samples produces ≥40% inhibition it is considered positive. If the test sample produces &lt;40% inhibition it </w:t>
      </w:r>
      <w:r w:rsidRPr="00AA304C">
        <w:rPr>
          <w:lang w:val="en-IE"/>
        </w:rPr>
        <w:t>is considered negative.</w:t>
      </w:r>
    </w:p>
    <w:p w14:paraId="663E0BF0" w14:textId="77777777" w:rsidR="00FC674A" w:rsidRPr="006E3F3A" w:rsidRDefault="00E70E3D" w:rsidP="00E70E3D">
      <w:pPr>
        <w:pStyle w:val="11"/>
        <w:rPr>
          <w:sz w:val="22"/>
          <w:lang w:val="en-IE"/>
        </w:rPr>
      </w:pPr>
      <w:r w:rsidRPr="006E3F3A">
        <w:rPr>
          <w:lang w:val="en-IE"/>
        </w:rPr>
        <w:t>2.3.</w:t>
      </w:r>
      <w:r w:rsidR="00CE2DA8" w:rsidRPr="006E3F3A">
        <w:rPr>
          <w:lang w:val="en-IE"/>
        </w:rPr>
        <w:tab/>
        <w:t>Complement fixation</w:t>
      </w:r>
      <w:r w:rsidR="000E34F9" w:rsidRPr="006E3F3A">
        <w:rPr>
          <w:lang w:val="en-IE"/>
        </w:rPr>
        <w:t xml:space="preserve"> test</w:t>
      </w:r>
    </w:p>
    <w:p w14:paraId="663E0BF1" w14:textId="3AB82108" w:rsidR="00FC674A" w:rsidRPr="008C0E22" w:rsidRDefault="00FC674A" w:rsidP="00E70E3D">
      <w:pPr>
        <w:pStyle w:val="11Para"/>
        <w:rPr>
          <w:lang w:val="en-IE"/>
        </w:rPr>
      </w:pPr>
      <w:r w:rsidRPr="006E3F3A">
        <w:rPr>
          <w:lang w:val="en-IE"/>
        </w:rPr>
        <w:t>The CF</w:t>
      </w:r>
      <w:r w:rsidR="009075FE" w:rsidRPr="006E3F3A">
        <w:rPr>
          <w:lang w:val="en-IE"/>
        </w:rPr>
        <w:t>T</w:t>
      </w:r>
      <w:r w:rsidRPr="006E3F3A">
        <w:rPr>
          <w:lang w:val="en-IE"/>
        </w:rPr>
        <w:t xml:space="preserve"> has been used in the past by some countries </w:t>
      </w:r>
      <w:r w:rsidR="0017207C" w:rsidRPr="006E3F3A">
        <w:rPr>
          <w:lang w:val="en-IE"/>
        </w:rPr>
        <w:t>and is still widely used in some regions</w:t>
      </w:r>
      <w:r w:rsidR="00993170" w:rsidRPr="0090672E">
        <w:rPr>
          <w:highlight w:val="yellow"/>
          <w:u w:val="double"/>
          <w:lang w:val="en-IE"/>
        </w:rPr>
        <w:t>, but is no longer recommended</w:t>
      </w:r>
      <w:r w:rsidR="0017207C" w:rsidRPr="006E3F3A">
        <w:rPr>
          <w:lang w:val="en-IE"/>
        </w:rPr>
        <w:t xml:space="preserve"> to qualify horses for importation</w:t>
      </w:r>
      <w:r w:rsidRPr="006E3F3A">
        <w:rPr>
          <w:lang w:val="en-IE"/>
        </w:rPr>
        <w:t xml:space="preserve">. </w:t>
      </w:r>
      <w:r w:rsidRPr="0090672E">
        <w:rPr>
          <w:strike/>
          <w:highlight w:val="yellow"/>
          <w:lang w:val="en-IE"/>
        </w:rPr>
        <w:t>A detailed description of antigen production and</w:t>
      </w:r>
      <w:r w:rsidR="00E2694B" w:rsidRPr="0090672E">
        <w:rPr>
          <w:strike/>
          <w:highlight w:val="yellow"/>
          <w:lang w:val="en-IE"/>
        </w:rPr>
        <w:t xml:space="preserve"> a test protocol has been given</w:t>
      </w:r>
      <w:r w:rsidRPr="0090672E">
        <w:rPr>
          <w:strike/>
          <w:highlight w:val="yellow"/>
          <w:lang w:val="en-IE"/>
        </w:rPr>
        <w:t xml:space="preserve"> (</w:t>
      </w:r>
      <w:r w:rsidR="00E2694B" w:rsidRPr="0090672E">
        <w:rPr>
          <w:strike/>
          <w:highlight w:val="yellow"/>
          <w:lang w:val="en-IE"/>
        </w:rPr>
        <w:t xml:space="preserve">for example: </w:t>
      </w:r>
      <w:r w:rsidR="00E143C3" w:rsidRPr="0090672E">
        <w:rPr>
          <w:strike/>
          <w:highlight w:val="yellow"/>
          <w:lang w:val="en-IE"/>
        </w:rPr>
        <w:t>USDA, 1997</w:t>
      </w:r>
      <w:r w:rsidRPr="0090672E">
        <w:rPr>
          <w:strike/>
          <w:highlight w:val="yellow"/>
          <w:lang w:val="en-IE"/>
        </w:rPr>
        <w:t>).</w:t>
      </w:r>
      <w:r w:rsidRPr="0090672E">
        <w:rPr>
          <w:strike/>
          <w:lang w:val="en-IE"/>
        </w:rPr>
        <w:t xml:space="preserve"> </w:t>
      </w:r>
      <w:r w:rsidR="00C96BFD" w:rsidRPr="006E3F3A">
        <w:rPr>
          <w:lang w:val="en-IE"/>
        </w:rPr>
        <w:t>T</w:t>
      </w:r>
      <w:r w:rsidRPr="006E3F3A">
        <w:rPr>
          <w:lang w:val="en-IE"/>
        </w:rPr>
        <w:t xml:space="preserve">he </w:t>
      </w:r>
      <w:r w:rsidR="009075FE" w:rsidRPr="006E3F3A">
        <w:rPr>
          <w:lang w:val="en-IE"/>
        </w:rPr>
        <w:t xml:space="preserve">CFT </w:t>
      </w:r>
      <w:r w:rsidR="00B36A84" w:rsidRPr="006E3F3A">
        <w:rPr>
          <w:lang w:val="en-IE"/>
        </w:rPr>
        <w:t xml:space="preserve">is accurate </w:t>
      </w:r>
      <w:r w:rsidR="00B36A84" w:rsidRPr="006E3F3A">
        <w:t>for detection of early (acute) infections only, for which purpose it shows good sensitivity and specificity, but it</w:t>
      </w:r>
      <w:r w:rsidR="00B36A84" w:rsidRPr="006E3F3A">
        <w:rPr>
          <w:lang w:val="en-IE"/>
        </w:rPr>
        <w:t xml:space="preserve"> </w:t>
      </w:r>
      <w:r w:rsidRPr="006E3F3A">
        <w:rPr>
          <w:lang w:val="en-IE"/>
        </w:rPr>
        <w:t>may not identify all infected animals, especially those that have been drug-treated or that produce anti-complementary reactions</w:t>
      </w:r>
      <w:r w:rsidR="00C96BFD" w:rsidRPr="006E3F3A">
        <w:rPr>
          <w:lang w:val="en-IE"/>
        </w:rPr>
        <w:t>,</w:t>
      </w:r>
      <w:r w:rsidRPr="006E3F3A">
        <w:rPr>
          <w:lang w:val="en-IE"/>
        </w:rPr>
        <w:t xml:space="preserve"> or because of the inability of IgG(T) (the major immunoglobulin isotype of equids) to fix guinea</w:t>
      </w:r>
      <w:r w:rsidR="00CE2DA8" w:rsidRPr="006E3F3A">
        <w:rPr>
          <w:lang w:val="en-IE"/>
        </w:rPr>
        <w:t>-</w:t>
      </w:r>
      <w:r w:rsidRPr="006E3F3A">
        <w:rPr>
          <w:lang w:val="en-IE"/>
        </w:rPr>
        <w:t>pig complement</w:t>
      </w:r>
      <w:r w:rsidR="00C96BFD" w:rsidRPr="006E3F3A">
        <w:rPr>
          <w:lang w:val="en-IE"/>
        </w:rPr>
        <w:t xml:space="preserve">. </w:t>
      </w:r>
      <w:r w:rsidR="00C37FAB" w:rsidRPr="006E3F3A">
        <w:rPr>
          <w:lang w:val="en-US"/>
        </w:rPr>
        <w:t xml:space="preserve">Antigen for the CFT is prepared by the experimental infection of horses, which raises animal welfare concerns. </w:t>
      </w:r>
      <w:r w:rsidR="00C96BFD" w:rsidRPr="006E3F3A">
        <w:rPr>
          <w:lang w:val="en-IE"/>
        </w:rPr>
        <w:t>Therefore</w:t>
      </w:r>
      <w:r w:rsidR="00B36A84" w:rsidRPr="006E3F3A">
        <w:rPr>
          <w:lang w:val="en-IE"/>
        </w:rPr>
        <w:t>, it is likely that the CFT will be discontinued in the future;</w:t>
      </w:r>
      <w:r w:rsidR="00C96BFD" w:rsidRPr="006E3F3A">
        <w:rPr>
          <w:lang w:val="en-IE"/>
        </w:rPr>
        <w:t xml:space="preserve"> t</w:t>
      </w:r>
      <w:r w:rsidRPr="006E3F3A">
        <w:rPr>
          <w:lang w:val="en-IE"/>
        </w:rPr>
        <w:t xml:space="preserve">he </w:t>
      </w:r>
      <w:r w:rsidR="00357ECA" w:rsidRPr="006E3F3A">
        <w:rPr>
          <w:lang w:val="en-IE"/>
        </w:rPr>
        <w:t>IFAT</w:t>
      </w:r>
      <w:r w:rsidRPr="006E3F3A">
        <w:rPr>
          <w:lang w:val="en-IE"/>
        </w:rPr>
        <w:t xml:space="preserve"> and </w:t>
      </w:r>
      <w:bookmarkStart w:id="38" w:name="_spaddin_ign_47_C"/>
      <w:r w:rsidRPr="006E3F3A">
        <w:rPr>
          <w:lang w:val="en-IE"/>
        </w:rPr>
        <w:t>C</w:t>
      </w:r>
      <w:bookmarkEnd w:id="38"/>
      <w:r w:rsidRPr="006E3F3A">
        <w:rPr>
          <w:lang w:val="en-IE"/>
        </w:rPr>
        <w:t>-ELISA have</w:t>
      </w:r>
      <w:r w:rsidR="00B671E3" w:rsidRPr="006E3F3A">
        <w:rPr>
          <w:lang w:val="en-IE"/>
        </w:rPr>
        <w:t xml:space="preserve"> </w:t>
      </w:r>
      <w:r w:rsidR="00B671E3" w:rsidRPr="008C0E22">
        <w:rPr>
          <w:lang w:val="en-IE"/>
        </w:rPr>
        <w:t xml:space="preserve">replaced </w:t>
      </w:r>
      <w:r w:rsidR="00B36A84" w:rsidRPr="008C0E22">
        <w:rPr>
          <w:lang w:val="en-IE"/>
        </w:rPr>
        <w:t>it</w:t>
      </w:r>
      <w:r w:rsidR="00B671E3" w:rsidRPr="008C0E22">
        <w:rPr>
          <w:lang w:val="en-IE"/>
        </w:rPr>
        <w:t xml:space="preserve"> as the</w:t>
      </w:r>
      <w:r w:rsidRPr="008C0E22">
        <w:rPr>
          <w:lang w:val="en-IE"/>
        </w:rPr>
        <w:t xml:space="preserve"> </w:t>
      </w:r>
      <w:r w:rsidR="008C0E22" w:rsidRPr="008C0E22">
        <w:t xml:space="preserve">tests that are </w:t>
      </w:r>
      <w:r w:rsidR="008C0E22">
        <w:t xml:space="preserve">most </w:t>
      </w:r>
      <w:r w:rsidR="008C0E22" w:rsidRPr="008C0E22">
        <w:t>suitable for certifying individual animals prior to movement</w:t>
      </w:r>
      <w:r w:rsidR="00A505D9">
        <w:t>, including international trade</w:t>
      </w:r>
      <w:r w:rsidR="00C96BFD" w:rsidRPr="008C0E22">
        <w:rPr>
          <w:lang w:val="en-IE"/>
        </w:rPr>
        <w:t>.</w:t>
      </w:r>
      <w:r w:rsidR="009075FE" w:rsidRPr="008C0E22">
        <w:rPr>
          <w:lang w:val="en-IE"/>
        </w:rPr>
        <w:t xml:space="preserve"> </w:t>
      </w:r>
    </w:p>
    <w:p w14:paraId="663E0BF2" w14:textId="77777777" w:rsidR="00FC674A" w:rsidRPr="007F2837" w:rsidRDefault="00FC674A" w:rsidP="00E70E3D">
      <w:pPr>
        <w:pStyle w:val="11Para"/>
        <w:rPr>
          <w:b/>
          <w:i/>
          <w:strike/>
          <w:lang w:val="en-IE"/>
        </w:rPr>
      </w:pPr>
      <w:r w:rsidRPr="007F2837">
        <w:rPr>
          <w:strike/>
          <w:lang w:val="en-IE"/>
        </w:rPr>
        <w:lastRenderedPageBreak/>
        <w:t xml:space="preserve">An example of a </w:t>
      </w:r>
      <w:r w:rsidR="00357ECA" w:rsidRPr="007F2837">
        <w:rPr>
          <w:strike/>
          <w:lang w:val="en-IE"/>
        </w:rPr>
        <w:t>CFT</w:t>
      </w:r>
      <w:r w:rsidRPr="007F2837">
        <w:rPr>
          <w:strike/>
          <w:lang w:val="en-IE"/>
        </w:rPr>
        <w:t xml:space="preserve"> protocol is given below. </w:t>
      </w:r>
    </w:p>
    <w:p w14:paraId="663E0BF3" w14:textId="77777777" w:rsidR="00FC674A" w:rsidRPr="007F2837" w:rsidRDefault="00E70E3D" w:rsidP="00E70E3D">
      <w:pPr>
        <w:pStyle w:val="111"/>
        <w:rPr>
          <w:strike/>
          <w:lang w:val="en-IE"/>
        </w:rPr>
      </w:pPr>
      <w:r w:rsidRPr="007F2837">
        <w:rPr>
          <w:strike/>
          <w:lang w:val="en-IE"/>
        </w:rPr>
        <w:t>2.3.1.</w:t>
      </w:r>
      <w:r w:rsidR="00FC674A" w:rsidRPr="007F2837">
        <w:rPr>
          <w:strike/>
          <w:lang w:val="en-IE"/>
        </w:rPr>
        <w:tab/>
        <w:t>Solutions</w:t>
      </w:r>
    </w:p>
    <w:p w14:paraId="663E0BF4" w14:textId="77777777" w:rsidR="000E34F9" w:rsidRPr="007F2837" w:rsidRDefault="000E34F9" w:rsidP="000E34F9">
      <w:pPr>
        <w:pStyle w:val="i"/>
        <w:rPr>
          <w:strike/>
          <w:lang w:val="en-IE"/>
        </w:rPr>
      </w:pPr>
      <w:proofErr w:type="spellStart"/>
      <w:r w:rsidRPr="007F2837">
        <w:rPr>
          <w:strike/>
          <w:lang w:val="en-IE"/>
        </w:rPr>
        <w:t>i</w:t>
      </w:r>
      <w:proofErr w:type="spellEnd"/>
      <w:r w:rsidRPr="007F2837">
        <w:rPr>
          <w:strike/>
          <w:lang w:val="en-IE"/>
        </w:rPr>
        <w:t>)</w:t>
      </w:r>
      <w:r w:rsidRPr="007F2837">
        <w:rPr>
          <w:strike/>
          <w:lang w:val="en-IE"/>
        </w:rPr>
        <w:tab/>
      </w:r>
      <w:proofErr w:type="spellStart"/>
      <w:r w:rsidR="00FC674A" w:rsidRPr="007F2837">
        <w:rPr>
          <w:strike/>
          <w:lang w:val="en-IE"/>
        </w:rPr>
        <w:t>Alsever’s</w:t>
      </w:r>
      <w:proofErr w:type="spellEnd"/>
      <w:r w:rsidR="00FC674A" w:rsidRPr="007F2837">
        <w:rPr>
          <w:strike/>
          <w:lang w:val="en-IE"/>
        </w:rPr>
        <w:t xml:space="preserve"> solution</w:t>
      </w:r>
    </w:p>
    <w:p w14:paraId="663E0BF5" w14:textId="77777777" w:rsidR="00FC674A" w:rsidRPr="007F2837" w:rsidRDefault="000E34F9" w:rsidP="000E34F9">
      <w:pPr>
        <w:pStyle w:val="afourthpara"/>
        <w:rPr>
          <w:strike/>
          <w:lang w:val="en-IE"/>
        </w:rPr>
      </w:pPr>
      <w:r w:rsidRPr="007F2837">
        <w:rPr>
          <w:strike/>
          <w:lang w:val="en-IE"/>
        </w:rPr>
        <w:t>P</w:t>
      </w:r>
      <w:r w:rsidR="00FC674A" w:rsidRPr="007F2837">
        <w:rPr>
          <w:strike/>
          <w:lang w:val="en-IE"/>
        </w:rPr>
        <w:t>repare 1</w:t>
      </w:r>
      <w:r w:rsidR="00C96BFD" w:rsidRPr="007F2837">
        <w:rPr>
          <w:strike/>
          <w:lang w:val="en-IE"/>
        </w:rPr>
        <w:t> </w:t>
      </w:r>
      <w:r w:rsidR="00FC674A" w:rsidRPr="007F2837">
        <w:rPr>
          <w:strike/>
          <w:lang w:val="en-IE"/>
        </w:rPr>
        <w:t xml:space="preserve">litre of </w:t>
      </w:r>
      <w:proofErr w:type="spellStart"/>
      <w:r w:rsidR="00FC674A" w:rsidRPr="007F2837">
        <w:rPr>
          <w:strike/>
          <w:lang w:val="en-IE"/>
        </w:rPr>
        <w:t>Alsever’s</w:t>
      </w:r>
      <w:proofErr w:type="spellEnd"/>
      <w:r w:rsidR="00FC674A" w:rsidRPr="007F2837">
        <w:rPr>
          <w:strike/>
          <w:lang w:val="en-IE"/>
        </w:rPr>
        <w:t xml:space="preserve"> solution by dissolving 20.5</w:t>
      </w:r>
      <w:r w:rsidR="00C96BFD" w:rsidRPr="007F2837">
        <w:rPr>
          <w:strike/>
          <w:lang w:val="en-IE"/>
        </w:rPr>
        <w:t> </w:t>
      </w:r>
      <w:r w:rsidR="00FC674A" w:rsidRPr="007F2837">
        <w:rPr>
          <w:strike/>
          <w:lang w:val="en-IE"/>
        </w:rPr>
        <w:t>g glucose; 8.0</w:t>
      </w:r>
      <w:r w:rsidR="00C96BFD" w:rsidRPr="007F2837">
        <w:rPr>
          <w:strike/>
          <w:lang w:val="en-IE"/>
        </w:rPr>
        <w:t> </w:t>
      </w:r>
      <w:r w:rsidR="00FC674A" w:rsidRPr="007F2837">
        <w:rPr>
          <w:strike/>
          <w:lang w:val="en-IE"/>
        </w:rPr>
        <w:t>g sodium citrate; 4.2 g sodium chloride in sufficient distilled water. Adjust to pH</w:t>
      </w:r>
      <w:r w:rsidR="00C96BFD" w:rsidRPr="007F2837">
        <w:rPr>
          <w:strike/>
          <w:lang w:val="en-IE"/>
        </w:rPr>
        <w:t> </w:t>
      </w:r>
      <w:r w:rsidR="00FC674A" w:rsidRPr="007F2837">
        <w:rPr>
          <w:strike/>
          <w:lang w:val="en-IE"/>
        </w:rPr>
        <w:t>6.1 using citric acid, and make up the volume to 1</w:t>
      </w:r>
      <w:r w:rsidR="00C96BFD" w:rsidRPr="007F2837">
        <w:rPr>
          <w:strike/>
          <w:lang w:val="en-IE"/>
        </w:rPr>
        <w:t> </w:t>
      </w:r>
      <w:r w:rsidR="00FC674A" w:rsidRPr="007F2837">
        <w:rPr>
          <w:strike/>
          <w:lang w:val="en-IE"/>
        </w:rPr>
        <w:t>litre with distilled water. Sterilise by filtration.</w:t>
      </w:r>
    </w:p>
    <w:p w14:paraId="663E0BF6" w14:textId="77777777" w:rsidR="000E34F9" w:rsidRPr="007F2837" w:rsidRDefault="000E34F9" w:rsidP="000E34F9">
      <w:pPr>
        <w:pStyle w:val="i"/>
        <w:rPr>
          <w:iCs/>
          <w:strike/>
          <w:lang w:val="en-IE"/>
        </w:rPr>
      </w:pPr>
      <w:r w:rsidRPr="007F2837">
        <w:rPr>
          <w:strike/>
          <w:lang w:val="en-IE"/>
        </w:rPr>
        <w:t>ii)</w:t>
      </w:r>
      <w:r w:rsidRPr="007F2837">
        <w:rPr>
          <w:strike/>
          <w:lang w:val="en-IE"/>
        </w:rPr>
        <w:tab/>
      </w:r>
      <w:r w:rsidR="00FC674A" w:rsidRPr="007F2837">
        <w:rPr>
          <w:strike/>
          <w:lang w:val="en-IE"/>
        </w:rPr>
        <w:t xml:space="preserve">Stock </w:t>
      </w:r>
      <w:proofErr w:type="spellStart"/>
      <w:r w:rsidR="00FC674A" w:rsidRPr="007F2837">
        <w:rPr>
          <w:strike/>
          <w:lang w:val="en-IE"/>
        </w:rPr>
        <w:t>veronal</w:t>
      </w:r>
      <w:proofErr w:type="spellEnd"/>
      <w:r w:rsidR="00FC674A" w:rsidRPr="007F2837">
        <w:rPr>
          <w:strike/>
          <w:lang w:val="en-IE"/>
        </w:rPr>
        <w:t xml:space="preserve"> buffer </w:t>
      </w:r>
      <w:r w:rsidR="00FC674A" w:rsidRPr="007F2837">
        <w:rPr>
          <w:iCs/>
          <w:strike/>
          <w:lang w:val="en-IE"/>
        </w:rPr>
        <w:t>(</w:t>
      </w:r>
      <w:r w:rsidR="00FC674A" w:rsidRPr="007F2837">
        <w:rPr>
          <w:strike/>
          <w:lang w:val="en-IE"/>
        </w:rPr>
        <w:t>5</w:t>
      </w:r>
      <w:r w:rsidR="00C96BFD" w:rsidRPr="007F2837">
        <w:rPr>
          <w:strike/>
          <w:lang w:val="en-IE"/>
        </w:rPr>
        <w:t>×</w:t>
      </w:r>
      <w:r w:rsidR="00FC674A" w:rsidRPr="007F2837">
        <w:rPr>
          <w:iCs/>
          <w:strike/>
          <w:lang w:val="en-IE"/>
        </w:rPr>
        <w:t>)</w:t>
      </w:r>
    </w:p>
    <w:p w14:paraId="663E0BF7" w14:textId="77777777" w:rsidR="00FC674A" w:rsidRPr="007F2837" w:rsidRDefault="000E34F9" w:rsidP="000E34F9">
      <w:pPr>
        <w:pStyle w:val="afourthpara"/>
        <w:rPr>
          <w:strike/>
          <w:lang w:val="en-IE"/>
        </w:rPr>
      </w:pPr>
      <w:r w:rsidRPr="007F2837">
        <w:rPr>
          <w:strike/>
          <w:lang w:val="en-IE"/>
        </w:rPr>
        <w:t>D</w:t>
      </w:r>
      <w:r w:rsidR="00FC674A" w:rsidRPr="007F2837">
        <w:rPr>
          <w:strike/>
          <w:lang w:val="en-IE"/>
        </w:rPr>
        <w:t>issolve the following in 1</w:t>
      </w:r>
      <w:r w:rsidR="00C96BFD" w:rsidRPr="007F2837">
        <w:rPr>
          <w:strike/>
          <w:lang w:val="en-IE"/>
        </w:rPr>
        <w:t> </w:t>
      </w:r>
      <w:r w:rsidR="00FC674A" w:rsidRPr="007F2837">
        <w:rPr>
          <w:strike/>
          <w:lang w:val="en-IE"/>
        </w:rPr>
        <w:t>litre of distilled water: 85.0</w:t>
      </w:r>
      <w:r w:rsidR="00C96BFD" w:rsidRPr="007F2837">
        <w:rPr>
          <w:strike/>
          <w:lang w:val="en-IE"/>
        </w:rPr>
        <w:t> </w:t>
      </w:r>
      <w:r w:rsidR="00FC674A" w:rsidRPr="007F2837">
        <w:rPr>
          <w:strike/>
          <w:lang w:val="en-IE"/>
        </w:rPr>
        <w:t>g sodium chloride; 3.75</w:t>
      </w:r>
      <w:r w:rsidR="00C96BFD" w:rsidRPr="007F2837">
        <w:rPr>
          <w:strike/>
          <w:lang w:val="en-IE"/>
        </w:rPr>
        <w:t> </w:t>
      </w:r>
      <w:r w:rsidR="00FC674A" w:rsidRPr="007F2837">
        <w:rPr>
          <w:strike/>
          <w:lang w:val="en-IE"/>
        </w:rPr>
        <w:t>g sodium 5,5</w:t>
      </w:r>
      <w:r w:rsidR="00117DBD" w:rsidRPr="007F2837">
        <w:rPr>
          <w:strike/>
          <w:lang w:val="en-IE"/>
        </w:rPr>
        <w:t> </w:t>
      </w:r>
      <w:r w:rsidR="00FC674A" w:rsidRPr="007F2837">
        <w:rPr>
          <w:strike/>
          <w:lang w:val="en-IE"/>
        </w:rPr>
        <w:t>diethyl barbituric; 1.68</w:t>
      </w:r>
      <w:r w:rsidR="00C96BFD" w:rsidRPr="007F2837">
        <w:rPr>
          <w:strike/>
          <w:lang w:val="en-IE"/>
        </w:rPr>
        <w:t> </w:t>
      </w:r>
      <w:r w:rsidR="00FC674A" w:rsidRPr="007F2837">
        <w:rPr>
          <w:strike/>
          <w:lang w:val="en-IE"/>
        </w:rPr>
        <w:t>g magnesium chloride (MgCl</w:t>
      </w:r>
      <w:r w:rsidR="00FC674A" w:rsidRPr="007F2837">
        <w:rPr>
          <w:strike/>
          <w:vertAlign w:val="subscript"/>
          <w:lang w:val="en-IE"/>
        </w:rPr>
        <w:t>2</w:t>
      </w:r>
      <w:r w:rsidR="00FC674A" w:rsidRPr="007F2837">
        <w:rPr>
          <w:strike/>
          <w:lang w:val="en-IE"/>
        </w:rPr>
        <w:t>.6H</w:t>
      </w:r>
      <w:r w:rsidR="00FC674A" w:rsidRPr="007F2837">
        <w:rPr>
          <w:strike/>
          <w:vertAlign w:val="subscript"/>
          <w:lang w:val="en-IE"/>
        </w:rPr>
        <w:t>2</w:t>
      </w:r>
      <w:r w:rsidR="00FC674A" w:rsidRPr="007F2837">
        <w:rPr>
          <w:strike/>
          <w:lang w:val="en-IE"/>
        </w:rPr>
        <w:t>O); 0.28</w:t>
      </w:r>
      <w:r w:rsidR="00C96BFD" w:rsidRPr="007F2837">
        <w:rPr>
          <w:strike/>
          <w:lang w:val="en-IE"/>
        </w:rPr>
        <w:t> </w:t>
      </w:r>
      <w:r w:rsidR="00FC674A" w:rsidRPr="007F2837">
        <w:rPr>
          <w:strike/>
          <w:lang w:val="en-IE"/>
        </w:rPr>
        <w:t>g calcium chloride. Dissolve 5.75</w:t>
      </w:r>
      <w:r w:rsidR="00C96BFD" w:rsidRPr="007F2837">
        <w:rPr>
          <w:strike/>
          <w:lang w:val="en-IE"/>
        </w:rPr>
        <w:t> </w:t>
      </w:r>
      <w:r w:rsidR="00FC674A" w:rsidRPr="007F2837">
        <w:rPr>
          <w:strike/>
          <w:lang w:val="en-IE"/>
        </w:rPr>
        <w:t>g of 5,5 diethyl barbituric acid in 0.5</w:t>
      </w:r>
      <w:r w:rsidR="00C96BFD" w:rsidRPr="007F2837">
        <w:rPr>
          <w:strike/>
          <w:lang w:val="en-IE"/>
        </w:rPr>
        <w:t> </w:t>
      </w:r>
      <w:r w:rsidR="00FC674A" w:rsidRPr="007F2837">
        <w:rPr>
          <w:strike/>
          <w:lang w:val="en-IE"/>
        </w:rPr>
        <w:t xml:space="preserve">litre </w:t>
      </w:r>
      <w:r w:rsidRPr="007F2837">
        <w:rPr>
          <w:strike/>
          <w:lang w:val="en-IE"/>
        </w:rPr>
        <w:t xml:space="preserve">of </w:t>
      </w:r>
      <w:r w:rsidR="00FC674A" w:rsidRPr="007F2837">
        <w:rPr>
          <w:strike/>
          <w:lang w:val="en-IE"/>
        </w:rPr>
        <w:t>hot (near boiling) distilled water. Cool this acid solution and add to the salt solution. Make up to 2</w:t>
      </w:r>
      <w:r w:rsidR="00C96BFD" w:rsidRPr="007F2837">
        <w:rPr>
          <w:strike/>
          <w:lang w:val="en-IE"/>
        </w:rPr>
        <w:t> </w:t>
      </w:r>
      <w:r w:rsidR="00FC674A" w:rsidRPr="007F2837">
        <w:rPr>
          <w:strike/>
          <w:lang w:val="en-IE"/>
        </w:rPr>
        <w:t>litres with distilled water and store at 4°C. To prepare a working dilution, add one part stock solution to four parts distilled water. The final pH should be from 7.4 to 7.6.</w:t>
      </w:r>
    </w:p>
    <w:p w14:paraId="663E0BF8" w14:textId="77777777" w:rsidR="00FC674A" w:rsidRPr="007F2837" w:rsidRDefault="00E70E3D" w:rsidP="00E70E3D">
      <w:pPr>
        <w:pStyle w:val="111"/>
        <w:rPr>
          <w:strike/>
          <w:lang w:val="en-IE"/>
        </w:rPr>
      </w:pPr>
      <w:r w:rsidRPr="007F2837">
        <w:rPr>
          <w:strike/>
          <w:lang w:val="en-IE"/>
        </w:rPr>
        <w:t>2.3.2.</w:t>
      </w:r>
      <w:r w:rsidR="00FC674A" w:rsidRPr="007F2837">
        <w:rPr>
          <w:strike/>
          <w:lang w:val="en-IE"/>
        </w:rPr>
        <w:tab/>
        <w:t>Antigen production</w:t>
      </w:r>
    </w:p>
    <w:p w14:paraId="663E0BF9" w14:textId="77777777" w:rsidR="00FC674A" w:rsidRPr="007F2837" w:rsidRDefault="00FC674A" w:rsidP="00E70E3D">
      <w:pPr>
        <w:pStyle w:val="111Para"/>
        <w:rPr>
          <w:strike/>
          <w:lang w:val="en-IE"/>
        </w:rPr>
      </w:pPr>
      <w:r w:rsidRPr="007F2837">
        <w:rPr>
          <w:strike/>
          <w:lang w:val="en-IE"/>
        </w:rPr>
        <w:t xml:space="preserve">Blood is obtained from horses with a high parasitaemia (e.g. 3–7% parasitaemia for </w:t>
      </w:r>
      <w:r w:rsidR="00C021CD" w:rsidRPr="007F2837">
        <w:rPr>
          <w:i/>
          <w:strike/>
          <w:lang w:val="en-IE"/>
        </w:rPr>
        <w:t>B. </w:t>
      </w:r>
      <w:proofErr w:type="spellStart"/>
      <w:r w:rsidR="00C021CD" w:rsidRPr="007F2837">
        <w:rPr>
          <w:i/>
          <w:strike/>
          <w:lang w:val="en-IE"/>
        </w:rPr>
        <w:t>caballi</w:t>
      </w:r>
      <w:proofErr w:type="spellEnd"/>
      <w:r w:rsidRPr="007F2837">
        <w:rPr>
          <w:strike/>
          <w:lang w:val="en-IE"/>
        </w:rPr>
        <w:t xml:space="preserve"> and 60–85% for </w:t>
      </w:r>
      <w:r w:rsidR="003C4A96" w:rsidRPr="007F2837">
        <w:rPr>
          <w:i/>
          <w:strike/>
          <w:lang w:val="en-IE"/>
        </w:rPr>
        <w:t xml:space="preserve">T. </w:t>
      </w:r>
      <w:proofErr w:type="spellStart"/>
      <w:r w:rsidR="003C4A96" w:rsidRPr="007F2837">
        <w:rPr>
          <w:i/>
          <w:strike/>
          <w:lang w:val="en-IE"/>
        </w:rPr>
        <w:t>equi</w:t>
      </w:r>
      <w:proofErr w:type="spellEnd"/>
      <w:r w:rsidRPr="007F2837">
        <w:rPr>
          <w:strike/>
          <w:lang w:val="en-IE"/>
        </w:rPr>
        <w:t xml:space="preserve">), and mixed with equal volumes of </w:t>
      </w:r>
      <w:proofErr w:type="spellStart"/>
      <w:r w:rsidRPr="007F2837">
        <w:rPr>
          <w:strike/>
          <w:lang w:val="en-IE"/>
        </w:rPr>
        <w:t>Alsever’s</w:t>
      </w:r>
      <w:proofErr w:type="spellEnd"/>
      <w:r w:rsidRPr="007F2837">
        <w:rPr>
          <w:strike/>
          <w:lang w:val="en-IE"/>
        </w:rPr>
        <w:t xml:space="preserve"> solution as an anticoagulant. The plasma/</w:t>
      </w:r>
      <w:proofErr w:type="spellStart"/>
      <w:r w:rsidRPr="007F2837">
        <w:rPr>
          <w:strike/>
          <w:lang w:val="en-IE"/>
        </w:rPr>
        <w:t>Alsever’s</w:t>
      </w:r>
      <w:proofErr w:type="spellEnd"/>
      <w:r w:rsidRPr="007F2837">
        <w:rPr>
          <w:strike/>
          <w:lang w:val="en-IE"/>
        </w:rPr>
        <w:t xml:space="preserve"> supernatant and buffy coat are removed when the RBCs have settled to the bottom of the flask. The RBCs are washed several times with cold </w:t>
      </w:r>
      <w:proofErr w:type="spellStart"/>
      <w:r w:rsidRPr="007F2837">
        <w:rPr>
          <w:strike/>
          <w:lang w:val="en-IE"/>
        </w:rPr>
        <w:t>veronal</w:t>
      </w:r>
      <w:proofErr w:type="spellEnd"/>
      <w:r w:rsidRPr="007F2837">
        <w:rPr>
          <w:strike/>
          <w:lang w:val="en-IE"/>
        </w:rPr>
        <w:t xml:space="preserve"> buffer and then disrupted. The antigen is recovered from the lysate by centrifugation at 30,900</w:t>
      </w:r>
      <w:r w:rsidR="00C96BFD" w:rsidRPr="007F2837">
        <w:rPr>
          <w:strike/>
          <w:lang w:val="en-IE"/>
        </w:rPr>
        <w:t> </w:t>
      </w:r>
      <w:r w:rsidRPr="007F2837">
        <w:rPr>
          <w:b/>
          <w:i/>
          <w:iCs/>
          <w:strike/>
          <w:lang w:val="en-IE"/>
        </w:rPr>
        <w:t>g</w:t>
      </w:r>
      <w:r w:rsidRPr="007F2837">
        <w:rPr>
          <w:strike/>
          <w:lang w:val="en-IE"/>
        </w:rPr>
        <w:t xml:space="preserve"> for 30</w:t>
      </w:r>
      <w:r w:rsidR="00C96BFD" w:rsidRPr="007F2837">
        <w:rPr>
          <w:strike/>
          <w:lang w:val="en-IE"/>
        </w:rPr>
        <w:t> </w:t>
      </w:r>
      <w:r w:rsidRPr="007F2837">
        <w:rPr>
          <w:strike/>
          <w:lang w:val="en-IE"/>
        </w:rPr>
        <w:t>minutes.</w:t>
      </w:r>
    </w:p>
    <w:p w14:paraId="663E0BFA" w14:textId="77777777" w:rsidR="00FC674A" w:rsidRPr="007F2837" w:rsidRDefault="00FC674A" w:rsidP="00E70E3D">
      <w:pPr>
        <w:pStyle w:val="111Para"/>
        <w:rPr>
          <w:strike/>
          <w:lang w:val="en-IE"/>
        </w:rPr>
      </w:pPr>
      <w:r w:rsidRPr="007F2837">
        <w:rPr>
          <w:strike/>
          <w:lang w:val="en-IE"/>
        </w:rPr>
        <w:t xml:space="preserve">The recovered antigen is washed several times in cold </w:t>
      </w:r>
      <w:proofErr w:type="spellStart"/>
      <w:r w:rsidRPr="007F2837">
        <w:rPr>
          <w:strike/>
          <w:lang w:val="en-IE"/>
        </w:rPr>
        <w:t>veronal</w:t>
      </w:r>
      <w:proofErr w:type="spellEnd"/>
      <w:r w:rsidRPr="007F2837">
        <w:rPr>
          <w:strike/>
          <w:lang w:val="en-IE"/>
        </w:rPr>
        <w:t xml:space="preserve"> buffer by centrifugation at 20,000</w:t>
      </w:r>
      <w:r w:rsidR="00C96BFD" w:rsidRPr="007F2837">
        <w:rPr>
          <w:strike/>
          <w:lang w:val="en-IE"/>
        </w:rPr>
        <w:t> </w:t>
      </w:r>
      <w:r w:rsidRPr="007F2837">
        <w:rPr>
          <w:b/>
          <w:i/>
          <w:iCs/>
          <w:strike/>
          <w:lang w:val="en-IE"/>
        </w:rPr>
        <w:t>g</w:t>
      </w:r>
      <w:r w:rsidRPr="007F2837">
        <w:rPr>
          <w:strike/>
          <w:lang w:val="en-IE"/>
        </w:rPr>
        <w:t xml:space="preserve"> for 15 minutes. Polyvinyl pyrrolidone 40,000 (1–5%[ w/v]) is added as a stabiliser and the preparation is mixed on a magnetic stirrer for 30 minutes, strained through two thicknesses of sterile gauze, dispensed into 2</w:t>
      </w:r>
      <w:r w:rsidR="00C96BFD" w:rsidRPr="007F2837">
        <w:rPr>
          <w:strike/>
          <w:lang w:val="en-IE"/>
        </w:rPr>
        <w:t> </w:t>
      </w:r>
      <w:r w:rsidRPr="007F2837">
        <w:rPr>
          <w:strike/>
          <w:lang w:val="en-IE"/>
        </w:rPr>
        <w:t>ml volumes and freeze-dried. The antigen can then be stored at below –50°C for several years.</w:t>
      </w:r>
    </w:p>
    <w:p w14:paraId="663E0BFB" w14:textId="77777777" w:rsidR="00FC674A" w:rsidRPr="007F2837" w:rsidRDefault="00E70E3D" w:rsidP="00E70E3D">
      <w:pPr>
        <w:pStyle w:val="111"/>
        <w:rPr>
          <w:strike/>
          <w:lang w:val="en-IE"/>
        </w:rPr>
      </w:pPr>
      <w:r w:rsidRPr="007F2837">
        <w:rPr>
          <w:strike/>
          <w:lang w:val="en-IE"/>
        </w:rPr>
        <w:t>2.3.3.</w:t>
      </w:r>
      <w:r w:rsidR="00FC674A" w:rsidRPr="007F2837">
        <w:rPr>
          <w:strike/>
          <w:lang w:val="en-IE"/>
        </w:rPr>
        <w:tab/>
        <w:t>Test procedure</w:t>
      </w:r>
    </w:p>
    <w:p w14:paraId="663E0BFC" w14:textId="77777777" w:rsidR="00FC674A" w:rsidRPr="007F2837" w:rsidRDefault="00FC674A" w:rsidP="00C5786E">
      <w:pPr>
        <w:pStyle w:val="i"/>
        <w:rPr>
          <w:strike/>
          <w:lang w:val="en-IE"/>
        </w:rPr>
      </w:pPr>
      <w:proofErr w:type="spellStart"/>
      <w:r w:rsidRPr="007F2837">
        <w:rPr>
          <w:strike/>
          <w:lang w:val="en-IE"/>
        </w:rPr>
        <w:t>i</w:t>
      </w:r>
      <w:proofErr w:type="spellEnd"/>
      <w:r w:rsidRPr="007F2837">
        <w:rPr>
          <w:strike/>
          <w:lang w:val="en-IE"/>
        </w:rPr>
        <w:t>)</w:t>
      </w:r>
      <w:r w:rsidRPr="007F2837">
        <w:rPr>
          <w:strike/>
          <w:lang w:val="en-IE"/>
        </w:rPr>
        <w:tab/>
        <w:t>The specificity and potency of each batch of antigen should be checked against standard antisera of known specificity and potency. Optimal antigen dilutions are also determined in a preliminary checkerboard titration.</w:t>
      </w:r>
    </w:p>
    <w:p w14:paraId="663E0BFD" w14:textId="77777777" w:rsidR="00FC674A" w:rsidRPr="007F2837" w:rsidRDefault="00FC674A" w:rsidP="00C5786E">
      <w:pPr>
        <w:pStyle w:val="i"/>
        <w:rPr>
          <w:strike/>
          <w:lang w:val="en-IE"/>
        </w:rPr>
      </w:pPr>
      <w:r w:rsidRPr="007F2837">
        <w:rPr>
          <w:strike/>
          <w:lang w:val="en-IE"/>
        </w:rPr>
        <w:t>ii)</w:t>
      </w:r>
      <w:r w:rsidRPr="007F2837">
        <w:rPr>
          <w:strike/>
          <w:lang w:val="en-IE"/>
        </w:rPr>
        <w:tab/>
        <w:t>Test sera are inactivated for 30</w:t>
      </w:r>
      <w:r w:rsidR="00C96BFD" w:rsidRPr="007F2837">
        <w:rPr>
          <w:strike/>
          <w:lang w:val="en-IE"/>
        </w:rPr>
        <w:t> </w:t>
      </w:r>
      <w:r w:rsidRPr="007F2837">
        <w:rPr>
          <w:strike/>
          <w:lang w:val="en-IE"/>
        </w:rPr>
        <w:t>minutes at 58°C (donkey and mule sera are inactivated at 62.5°C for 35</w:t>
      </w:r>
      <w:r w:rsidR="00C96BFD" w:rsidRPr="007F2837">
        <w:rPr>
          <w:strike/>
          <w:lang w:val="en-IE"/>
        </w:rPr>
        <w:t> </w:t>
      </w:r>
      <w:r w:rsidRPr="007F2837">
        <w:rPr>
          <w:strike/>
          <w:lang w:val="en-IE"/>
        </w:rPr>
        <w:t xml:space="preserve">minutes) and tested in dilutions of 1/5 to 1/5120. </w:t>
      </w:r>
      <w:proofErr w:type="spellStart"/>
      <w:r w:rsidRPr="007F2837">
        <w:rPr>
          <w:strike/>
          <w:lang w:val="en-IE"/>
        </w:rPr>
        <w:t>Veronal</w:t>
      </w:r>
      <w:proofErr w:type="spellEnd"/>
      <w:r w:rsidRPr="007F2837">
        <w:rPr>
          <w:strike/>
          <w:lang w:val="en-IE"/>
        </w:rPr>
        <w:t xml:space="preserve"> buffer is used for all dilutions. </w:t>
      </w:r>
    </w:p>
    <w:p w14:paraId="663E0BFE" w14:textId="77777777" w:rsidR="00FC674A" w:rsidRPr="007F2837" w:rsidRDefault="00FC674A" w:rsidP="00C5786E">
      <w:pPr>
        <w:pStyle w:val="i"/>
        <w:rPr>
          <w:strike/>
          <w:lang w:val="en-IE"/>
        </w:rPr>
      </w:pPr>
      <w:r w:rsidRPr="007F2837">
        <w:rPr>
          <w:strike/>
          <w:lang w:val="en-IE"/>
        </w:rPr>
        <w:t>iii)</w:t>
      </w:r>
      <w:r w:rsidRPr="007F2837">
        <w:rPr>
          <w:strike/>
          <w:lang w:val="en-IE"/>
        </w:rPr>
        <w:tab/>
        <w:t>Complement is prepared and titrated spectrophotometrically to determine the 50% haemolytic dose (C’H</w:t>
      </w:r>
      <w:r w:rsidRPr="007F2837">
        <w:rPr>
          <w:strike/>
          <w:vertAlign w:val="subscript"/>
          <w:lang w:val="en-IE"/>
        </w:rPr>
        <w:t>50</w:t>
      </w:r>
      <w:r w:rsidRPr="007F2837">
        <w:rPr>
          <w:strike/>
          <w:lang w:val="en-IE"/>
        </w:rPr>
        <w:t>) (</w:t>
      </w:r>
      <w:r w:rsidR="00291CD5" w:rsidRPr="007F2837">
        <w:rPr>
          <w:strike/>
          <w:lang w:val="en-IE"/>
        </w:rPr>
        <w:t xml:space="preserve">Stiller </w:t>
      </w:r>
      <w:r w:rsidR="009F5073" w:rsidRPr="007F2837">
        <w:rPr>
          <w:i/>
          <w:strike/>
          <w:lang w:val="en-IE"/>
        </w:rPr>
        <w:t>et al</w:t>
      </w:r>
      <w:r w:rsidR="00291CD5" w:rsidRPr="007F2837">
        <w:rPr>
          <w:strike/>
          <w:lang w:val="en-IE"/>
        </w:rPr>
        <w:t>., 1980</w:t>
      </w:r>
      <w:r w:rsidRPr="007F2837">
        <w:rPr>
          <w:strike/>
          <w:lang w:val="en-IE"/>
        </w:rPr>
        <w:t>) and used in the test at five times C’H</w:t>
      </w:r>
      <w:r w:rsidRPr="007F2837">
        <w:rPr>
          <w:strike/>
          <w:vertAlign w:val="subscript"/>
          <w:lang w:val="en-IE"/>
        </w:rPr>
        <w:t>50</w:t>
      </w:r>
      <w:r w:rsidRPr="007F2837">
        <w:rPr>
          <w:strike/>
          <w:lang w:val="en-IE"/>
        </w:rPr>
        <w:t xml:space="preserve">. The haemolytic system consists of equal parts of a 2% sheep (RBC) suspension and </w:t>
      </w:r>
      <w:proofErr w:type="spellStart"/>
      <w:r w:rsidRPr="007F2837">
        <w:rPr>
          <w:strike/>
          <w:lang w:val="en-IE"/>
        </w:rPr>
        <w:t>veronal</w:t>
      </w:r>
      <w:proofErr w:type="spellEnd"/>
      <w:r w:rsidRPr="007F2837">
        <w:rPr>
          <w:strike/>
          <w:lang w:val="en-IE"/>
        </w:rPr>
        <w:t xml:space="preserve"> buffer with 5 minimum haemolytic doses (MHDs) of haemolysin (amboceptor) (</w:t>
      </w:r>
      <w:r w:rsidR="00E143C3" w:rsidRPr="007F2837">
        <w:rPr>
          <w:strike/>
          <w:lang w:val="en-IE"/>
        </w:rPr>
        <w:t>USDA, 1997</w:t>
      </w:r>
      <w:r w:rsidRPr="007F2837">
        <w:rPr>
          <w:strike/>
          <w:lang w:val="en-IE"/>
        </w:rPr>
        <w:t>). Some laboratories use twice the 100% haemolytic dose, which gives equivalent sensitivity.</w:t>
      </w:r>
    </w:p>
    <w:p w14:paraId="663E0BFF" w14:textId="77777777" w:rsidR="00FC674A" w:rsidRPr="007F2837" w:rsidRDefault="00FC674A" w:rsidP="00C5786E">
      <w:pPr>
        <w:pStyle w:val="i"/>
        <w:rPr>
          <w:strike/>
          <w:lang w:val="en-IE"/>
        </w:rPr>
      </w:pPr>
      <w:r w:rsidRPr="007F2837">
        <w:rPr>
          <w:strike/>
          <w:lang w:val="en-IE"/>
        </w:rPr>
        <w:t>iv)</w:t>
      </w:r>
      <w:r w:rsidRPr="007F2837">
        <w:rPr>
          <w:strike/>
          <w:lang w:val="en-IE"/>
        </w:rPr>
        <w:tab/>
        <w:t xml:space="preserve">The test has been adapted to </w:t>
      </w:r>
      <w:bookmarkStart w:id="39" w:name="_spaddin_ign_53_microtitration"/>
      <w:r w:rsidRPr="007F2837">
        <w:rPr>
          <w:strike/>
          <w:lang w:val="en-IE"/>
        </w:rPr>
        <w:t>microtitration</w:t>
      </w:r>
      <w:bookmarkEnd w:id="39"/>
      <w:r w:rsidRPr="007F2837">
        <w:rPr>
          <w:strike/>
          <w:lang w:val="en-IE"/>
        </w:rPr>
        <w:t xml:space="preserve"> plates (</w:t>
      </w:r>
      <w:r w:rsidR="00E565F4" w:rsidRPr="007F2837">
        <w:rPr>
          <w:strike/>
          <w:lang w:val="en-IE"/>
        </w:rPr>
        <w:t xml:space="preserve">Herr </w:t>
      </w:r>
      <w:r w:rsidR="009F5073" w:rsidRPr="007F2837">
        <w:rPr>
          <w:i/>
          <w:strike/>
          <w:lang w:val="en-IE"/>
        </w:rPr>
        <w:t>et al</w:t>
      </w:r>
      <w:r w:rsidR="00E565F4" w:rsidRPr="007F2837">
        <w:rPr>
          <w:strike/>
          <w:lang w:val="en-IE"/>
        </w:rPr>
        <w:t>., 1985</w:t>
      </w:r>
      <w:r w:rsidRPr="007F2837">
        <w:rPr>
          <w:strike/>
          <w:lang w:val="en-IE"/>
        </w:rPr>
        <w:t>). The total volume of the test is 0.125</w:t>
      </w:r>
      <w:r w:rsidR="00C96BFD" w:rsidRPr="007F2837">
        <w:rPr>
          <w:strike/>
          <w:lang w:val="en-IE"/>
        </w:rPr>
        <w:t> </w:t>
      </w:r>
      <w:r w:rsidRPr="007F2837">
        <w:rPr>
          <w:strike/>
          <w:lang w:val="en-IE"/>
        </w:rPr>
        <w:t>ml, made up of equal portions (0.025 ml) of antigen, complement (five times C’H</w:t>
      </w:r>
      <w:r w:rsidRPr="007F2837">
        <w:rPr>
          <w:strike/>
          <w:vertAlign w:val="subscript"/>
          <w:lang w:val="en-IE"/>
        </w:rPr>
        <w:t>50</w:t>
      </w:r>
      <w:r w:rsidRPr="007F2837">
        <w:rPr>
          <w:strike/>
          <w:lang w:val="en-IE"/>
        </w:rPr>
        <w:t>) and diluted serum. Incubation is performed for 1</w:t>
      </w:r>
      <w:r w:rsidR="00C96BFD" w:rsidRPr="007F2837">
        <w:rPr>
          <w:strike/>
          <w:lang w:val="en-IE"/>
        </w:rPr>
        <w:t> </w:t>
      </w:r>
      <w:r w:rsidRPr="007F2837">
        <w:rPr>
          <w:strike/>
          <w:lang w:val="en-IE"/>
        </w:rPr>
        <w:t>hour at 37°C.</w:t>
      </w:r>
    </w:p>
    <w:p w14:paraId="663E0C00" w14:textId="77777777" w:rsidR="00FC674A" w:rsidRPr="007F2837" w:rsidRDefault="00FC674A" w:rsidP="00C5786E">
      <w:pPr>
        <w:pStyle w:val="i"/>
        <w:rPr>
          <w:strike/>
          <w:lang w:val="en-IE"/>
        </w:rPr>
      </w:pPr>
      <w:r w:rsidRPr="007F2837">
        <w:rPr>
          <w:strike/>
          <w:lang w:val="en-IE"/>
        </w:rPr>
        <w:t>v)</w:t>
      </w:r>
      <w:r w:rsidRPr="007F2837">
        <w:rPr>
          <w:strike/>
          <w:lang w:val="en-IE"/>
        </w:rPr>
        <w:tab/>
        <w:t>A double portion (0.05</w:t>
      </w:r>
      <w:r w:rsidR="00C96BFD" w:rsidRPr="007F2837">
        <w:rPr>
          <w:strike/>
          <w:lang w:val="en-IE"/>
        </w:rPr>
        <w:t> </w:t>
      </w:r>
      <w:r w:rsidRPr="007F2837">
        <w:rPr>
          <w:strike/>
          <w:lang w:val="en-IE"/>
        </w:rPr>
        <w:t>ml) of the haemolytic system is added and the plates are incubated for a further 45</w:t>
      </w:r>
      <w:r w:rsidR="00C96BFD" w:rsidRPr="007F2837">
        <w:rPr>
          <w:strike/>
          <w:lang w:val="en-IE"/>
        </w:rPr>
        <w:t> </w:t>
      </w:r>
      <w:r w:rsidRPr="007F2837">
        <w:rPr>
          <w:strike/>
          <w:lang w:val="en-IE"/>
        </w:rPr>
        <w:t>minutes at 37°C with shaking after 20</w:t>
      </w:r>
      <w:r w:rsidR="00C96BFD" w:rsidRPr="007F2837">
        <w:rPr>
          <w:strike/>
          <w:lang w:val="en-IE"/>
        </w:rPr>
        <w:t> </w:t>
      </w:r>
      <w:r w:rsidRPr="007F2837">
        <w:rPr>
          <w:strike/>
          <w:lang w:val="en-IE"/>
        </w:rPr>
        <w:t>minutes.</w:t>
      </w:r>
    </w:p>
    <w:p w14:paraId="663E0C01" w14:textId="77777777" w:rsidR="00FC674A" w:rsidRPr="007F2837" w:rsidRDefault="00FC674A" w:rsidP="00C5786E">
      <w:pPr>
        <w:pStyle w:val="i"/>
        <w:rPr>
          <w:strike/>
          <w:lang w:val="en-IE"/>
        </w:rPr>
      </w:pPr>
      <w:r w:rsidRPr="007F2837">
        <w:rPr>
          <w:strike/>
          <w:lang w:val="en-IE"/>
        </w:rPr>
        <w:t>vi)</w:t>
      </w:r>
      <w:r w:rsidRPr="007F2837">
        <w:rPr>
          <w:strike/>
          <w:lang w:val="en-IE"/>
        </w:rPr>
        <w:tab/>
        <w:t>The plates are centrifuged for 1</w:t>
      </w:r>
      <w:r w:rsidR="00C96BFD" w:rsidRPr="007F2837">
        <w:rPr>
          <w:strike/>
          <w:lang w:val="en-IE"/>
        </w:rPr>
        <w:t> </w:t>
      </w:r>
      <w:r w:rsidRPr="007F2837">
        <w:rPr>
          <w:strike/>
          <w:lang w:val="en-IE"/>
        </w:rPr>
        <w:t>minute at 200</w:t>
      </w:r>
      <w:r w:rsidR="00C96BFD" w:rsidRPr="007F2837">
        <w:rPr>
          <w:strike/>
          <w:lang w:val="en-IE"/>
        </w:rPr>
        <w:t> </w:t>
      </w:r>
      <w:r w:rsidRPr="007F2837">
        <w:rPr>
          <w:b/>
          <w:i/>
          <w:iCs/>
          <w:strike/>
          <w:lang w:val="en-IE"/>
        </w:rPr>
        <w:t>g</w:t>
      </w:r>
      <w:r w:rsidRPr="007F2837">
        <w:rPr>
          <w:strike/>
          <w:lang w:val="en-IE"/>
        </w:rPr>
        <w:t xml:space="preserve"> before being read over a mirror.</w:t>
      </w:r>
    </w:p>
    <w:p w14:paraId="663E0C02" w14:textId="77777777" w:rsidR="00FC674A" w:rsidRPr="007F2837" w:rsidRDefault="00FC674A" w:rsidP="00C5786E">
      <w:pPr>
        <w:pStyle w:val="iparalast"/>
        <w:spacing w:line="240" w:lineRule="auto"/>
        <w:rPr>
          <w:strike/>
          <w:lang w:val="en-IE"/>
        </w:rPr>
      </w:pPr>
      <w:r w:rsidRPr="007F2837">
        <w:rPr>
          <w:strike/>
          <w:lang w:val="en-IE"/>
        </w:rPr>
        <w:t>vii)</w:t>
      </w:r>
      <w:r w:rsidRPr="007F2837">
        <w:rPr>
          <w:strike/>
          <w:lang w:val="en-IE"/>
        </w:rPr>
        <w:tab/>
        <w:t>A lysis of 50% is recorded as positive, with the titre being the greatest serum dilution giving 50% lysis. A titre of 1/5 is regarded as positive. A full set of controls (positive and negative sera) must be included in each test as well as control antigen prepared from normal (uninfected) horse RBCs.</w:t>
      </w:r>
    </w:p>
    <w:p w14:paraId="663E0C03" w14:textId="77777777" w:rsidR="00FC674A" w:rsidRPr="007F2837" w:rsidRDefault="00FC674A" w:rsidP="00E8139D">
      <w:pPr>
        <w:pStyle w:val="11Para"/>
        <w:spacing w:after="480"/>
        <w:rPr>
          <w:strike/>
          <w:lang w:val="en-IE"/>
        </w:rPr>
      </w:pPr>
      <w:r w:rsidRPr="007F2837">
        <w:rPr>
          <w:strike/>
          <w:lang w:val="en-IE"/>
        </w:rPr>
        <w:t xml:space="preserve">Anticomplementary samples are examined by the </w:t>
      </w:r>
      <w:r w:rsidR="00357ECA" w:rsidRPr="007F2837">
        <w:rPr>
          <w:strike/>
          <w:lang w:val="en-IE"/>
        </w:rPr>
        <w:t>IFAT</w:t>
      </w:r>
      <w:r w:rsidRPr="007F2837">
        <w:rPr>
          <w:strike/>
          <w:lang w:val="en-IE"/>
        </w:rPr>
        <w:t>. Donkey sera are frequently anti</w:t>
      </w:r>
      <w:r w:rsidR="00E8139D" w:rsidRPr="007F2837">
        <w:rPr>
          <w:strike/>
          <w:lang w:val="en-IE"/>
        </w:rPr>
        <w:t>-</w:t>
      </w:r>
      <w:r w:rsidRPr="007F2837">
        <w:rPr>
          <w:strike/>
          <w:lang w:val="en-IE"/>
        </w:rPr>
        <w:t>complementary.</w:t>
      </w:r>
    </w:p>
    <w:p w14:paraId="663E0C04" w14:textId="77777777" w:rsidR="00FC674A" w:rsidRPr="006E3F3A" w:rsidRDefault="00FC674A" w:rsidP="00C5786E">
      <w:pPr>
        <w:pStyle w:val="A0"/>
        <w:rPr>
          <w:lang w:val="en-IE"/>
        </w:rPr>
      </w:pPr>
      <w:r w:rsidRPr="006E3F3A">
        <w:rPr>
          <w:lang w:val="en-IE"/>
        </w:rPr>
        <w:t xml:space="preserve">C. </w:t>
      </w:r>
      <w:r w:rsidR="003D41F1" w:rsidRPr="006E3F3A">
        <w:rPr>
          <w:lang w:val="en-IE"/>
        </w:rPr>
        <w:t xml:space="preserve"> </w:t>
      </w:r>
      <w:r w:rsidRPr="006E3F3A">
        <w:rPr>
          <w:lang w:val="en-IE"/>
        </w:rPr>
        <w:t>REQUIREMENTS FOR VACCINES</w:t>
      </w:r>
    </w:p>
    <w:p w14:paraId="663E0C05" w14:textId="20D46845" w:rsidR="00FC674A" w:rsidRPr="006E3F3A" w:rsidRDefault="00FC674A" w:rsidP="00C5786E">
      <w:pPr>
        <w:pStyle w:val="paraA0"/>
        <w:spacing w:after="480" w:line="240" w:lineRule="auto"/>
        <w:rPr>
          <w:lang w:val="en-IE"/>
        </w:rPr>
      </w:pPr>
      <w:r w:rsidRPr="006E3F3A">
        <w:rPr>
          <w:lang w:val="en-IE"/>
        </w:rPr>
        <w:t xml:space="preserve">No </w:t>
      </w:r>
      <w:r w:rsidR="00A3483E" w:rsidRPr="0090672E">
        <w:rPr>
          <w:highlight w:val="yellow"/>
          <w:u w:val="double"/>
          <w:lang w:val="en-IE"/>
        </w:rPr>
        <w:t>commercial</w:t>
      </w:r>
      <w:r w:rsidR="00A3483E" w:rsidRPr="0090672E">
        <w:rPr>
          <w:u w:val="double"/>
          <w:lang w:val="en-IE"/>
        </w:rPr>
        <w:t xml:space="preserve"> </w:t>
      </w:r>
      <w:r w:rsidR="00C03B33" w:rsidRPr="006E3F3A">
        <w:rPr>
          <w:lang w:val="en-IE"/>
        </w:rPr>
        <w:t>vaccines</w:t>
      </w:r>
      <w:r w:rsidRPr="006E3F3A">
        <w:rPr>
          <w:lang w:val="en-IE"/>
        </w:rPr>
        <w:t xml:space="preserve"> are available currently.</w:t>
      </w:r>
    </w:p>
    <w:p w14:paraId="663E0C06" w14:textId="77777777" w:rsidR="00FC674A" w:rsidRPr="006E3F3A" w:rsidRDefault="00FC674A" w:rsidP="00C5786E">
      <w:pPr>
        <w:pStyle w:val="Referencetitle"/>
        <w:tabs>
          <w:tab w:val="clear" w:pos="-720"/>
          <w:tab w:val="clear" w:pos="2410"/>
        </w:tabs>
        <w:rPr>
          <w:lang w:val="pt-BR"/>
        </w:rPr>
      </w:pPr>
      <w:r w:rsidRPr="006E3F3A">
        <w:rPr>
          <w:lang w:val="pt-BR"/>
        </w:rPr>
        <w:lastRenderedPageBreak/>
        <w:t>REFERENCES</w:t>
      </w:r>
    </w:p>
    <w:p w14:paraId="1C63527A" w14:textId="6521DAA0" w:rsidR="00112D2C" w:rsidRPr="008414C0" w:rsidRDefault="00112D2C" w:rsidP="00E565F4">
      <w:pPr>
        <w:pStyle w:val="Ref"/>
        <w:rPr>
          <w:smallCaps/>
          <w:u w:val="double"/>
          <w:lang w:val="pt-BR" w:eastAsia="ja-JP"/>
        </w:rPr>
      </w:pPr>
      <w:r w:rsidRPr="0090672E">
        <w:rPr>
          <w:smallCaps/>
          <w:u w:val="double"/>
          <w:lang w:val="es-ES"/>
        </w:rPr>
        <w:t>Abedi V., Razmi G., Seifi H. &amp; Naghibi A.</w:t>
      </w:r>
      <w:r w:rsidRPr="0090672E">
        <w:rPr>
          <w:u w:val="double"/>
          <w:lang w:val="es-ES"/>
        </w:rPr>
        <w:t xml:space="preserve"> (2014). </w:t>
      </w:r>
      <w:r w:rsidRPr="008414C0">
        <w:rPr>
          <w:u w:val="double"/>
        </w:rPr>
        <w:t xml:space="preserve">Molecular and serological detection of </w:t>
      </w:r>
      <w:proofErr w:type="spellStart"/>
      <w:r w:rsidRPr="008414C0">
        <w:rPr>
          <w:i/>
          <w:u w:val="double"/>
        </w:rPr>
        <w:t>Theileria</w:t>
      </w:r>
      <w:proofErr w:type="spellEnd"/>
      <w:r w:rsidRPr="008414C0">
        <w:rPr>
          <w:u w:val="double"/>
        </w:rPr>
        <w:t xml:space="preserve"> </w:t>
      </w:r>
      <w:proofErr w:type="spellStart"/>
      <w:r w:rsidRPr="008414C0">
        <w:rPr>
          <w:i/>
          <w:u w:val="double"/>
        </w:rPr>
        <w:t>equi</w:t>
      </w:r>
      <w:proofErr w:type="spellEnd"/>
      <w:r w:rsidRPr="008414C0">
        <w:rPr>
          <w:u w:val="double"/>
        </w:rPr>
        <w:t xml:space="preserve"> and </w:t>
      </w:r>
      <w:r w:rsidRPr="008414C0">
        <w:rPr>
          <w:i/>
          <w:u w:val="double"/>
        </w:rPr>
        <w:t xml:space="preserve">Babesia </w:t>
      </w:r>
      <w:proofErr w:type="spellStart"/>
      <w:r w:rsidRPr="008414C0">
        <w:rPr>
          <w:i/>
          <w:u w:val="double"/>
        </w:rPr>
        <w:t>caballi</w:t>
      </w:r>
      <w:proofErr w:type="spellEnd"/>
      <w:r w:rsidRPr="008414C0">
        <w:rPr>
          <w:u w:val="double"/>
        </w:rPr>
        <w:t xml:space="preserve"> infection in horses and ixodid ticks in Iran. </w:t>
      </w:r>
      <w:r w:rsidRPr="008414C0">
        <w:rPr>
          <w:i/>
          <w:u w:val="double"/>
        </w:rPr>
        <w:t>Ticks Tick Borne Dis</w:t>
      </w:r>
      <w:r w:rsidRPr="008414C0">
        <w:rPr>
          <w:u w:val="double"/>
        </w:rPr>
        <w:t xml:space="preserve">., </w:t>
      </w:r>
      <w:r w:rsidRPr="008414C0">
        <w:rPr>
          <w:b/>
          <w:u w:val="double"/>
        </w:rPr>
        <w:t>5</w:t>
      </w:r>
      <w:r w:rsidRPr="008414C0">
        <w:rPr>
          <w:u w:val="double"/>
        </w:rPr>
        <w:t>, 239–244.</w:t>
      </w:r>
    </w:p>
    <w:p w14:paraId="663E0C07" w14:textId="77777777" w:rsidR="00D47D85" w:rsidRPr="0090672E" w:rsidRDefault="004573FB" w:rsidP="00E565F4">
      <w:pPr>
        <w:pStyle w:val="Ref"/>
      </w:pPr>
      <w:r>
        <w:rPr>
          <w:smallCaps/>
          <w:lang w:val="pt-BR"/>
        </w:rPr>
        <w:t>Alhassan A., Govind Y., Tam</w:t>
      </w:r>
      <w:r w:rsidR="00D47D85" w:rsidRPr="006E3F3A">
        <w:rPr>
          <w:smallCaps/>
          <w:lang w:val="pt-BR"/>
        </w:rPr>
        <w:t xml:space="preserve"> N., Thekisoe O., Yokoyama N., Inoue N. &amp; Igarashi I.</w:t>
      </w:r>
      <w:r w:rsidR="00D47D85" w:rsidRPr="006E3F3A">
        <w:rPr>
          <w:lang w:val="pt-BR"/>
        </w:rPr>
        <w:t xml:space="preserve"> (2007). </w:t>
      </w:r>
      <w:r w:rsidR="00D47D85" w:rsidRPr="006E3F3A">
        <w:t xml:space="preserve">Comparative evaluation of the sensitivity of LAMP, PCR and </w:t>
      </w:r>
      <w:r w:rsidR="00D47D85" w:rsidRPr="006E3F3A">
        <w:rPr>
          <w:i/>
        </w:rPr>
        <w:t>in vitro</w:t>
      </w:r>
      <w:r w:rsidR="00D47D85" w:rsidRPr="006E3F3A">
        <w:t xml:space="preserve"> culture methods for the diagnosis of equine piroplasmosis. </w:t>
      </w:r>
      <w:r w:rsidR="00D47D85" w:rsidRPr="0090672E">
        <w:rPr>
          <w:i/>
          <w:iCs/>
        </w:rPr>
        <w:t>Parasitol</w:t>
      </w:r>
      <w:r w:rsidR="00B00663" w:rsidRPr="0090672E">
        <w:rPr>
          <w:i/>
          <w:iCs/>
        </w:rPr>
        <w:t>.</w:t>
      </w:r>
      <w:r w:rsidR="00D47D85" w:rsidRPr="0090672E">
        <w:rPr>
          <w:i/>
          <w:iCs/>
        </w:rPr>
        <w:t xml:space="preserve"> Res.,</w:t>
      </w:r>
      <w:r w:rsidR="00D47D85" w:rsidRPr="0090672E">
        <w:t xml:space="preserve"> </w:t>
      </w:r>
      <w:r w:rsidR="00D47D85" w:rsidRPr="0090672E">
        <w:rPr>
          <w:b/>
          <w:bCs/>
        </w:rPr>
        <w:t>100</w:t>
      </w:r>
      <w:r w:rsidR="00D47D85" w:rsidRPr="0090672E">
        <w:t>, 1165</w:t>
      </w:r>
      <w:r w:rsidR="00B00663" w:rsidRPr="0090672E">
        <w:t>–</w:t>
      </w:r>
      <w:r w:rsidR="00D47D85" w:rsidRPr="0090672E">
        <w:t>1168.</w:t>
      </w:r>
      <w:r w:rsidR="00E565F4" w:rsidRPr="0090672E">
        <w:t xml:space="preserve"> </w:t>
      </w:r>
    </w:p>
    <w:p w14:paraId="663E0C08" w14:textId="77777777" w:rsidR="00FC674A" w:rsidRPr="006E3F3A" w:rsidRDefault="00FC674A" w:rsidP="00E565F4">
      <w:pPr>
        <w:pStyle w:val="Ref"/>
        <w:rPr>
          <w:lang w:val="en-IE"/>
        </w:rPr>
      </w:pPr>
      <w:r w:rsidRPr="0090672E">
        <w:rPr>
          <w:smallCaps/>
        </w:rPr>
        <w:t>Alhassan A., Pumidonming W., Okamura M., Hirata H., Battsetseg B., Fujisaki K., Yokoyama N. &amp; Igarashi I</w:t>
      </w:r>
      <w:r w:rsidRPr="0090672E">
        <w:t>.</w:t>
      </w:r>
      <w:r w:rsidR="009C04A8" w:rsidRPr="0090672E">
        <w:t xml:space="preserve"> </w:t>
      </w:r>
      <w:r w:rsidRPr="0090672E">
        <w:t xml:space="preserve">(2005). </w:t>
      </w:r>
      <w:r w:rsidRPr="006E3F3A">
        <w:rPr>
          <w:lang w:val="en-IE"/>
        </w:rPr>
        <w:t xml:space="preserve">Development of a single-round and multiplex PCR method for the simultaneous detection of </w:t>
      </w:r>
      <w:r w:rsidR="005F0208" w:rsidRPr="006E3F3A">
        <w:rPr>
          <w:i/>
          <w:lang w:val="en-IE"/>
        </w:rPr>
        <w:t xml:space="preserve">Babesia </w:t>
      </w:r>
      <w:proofErr w:type="spellStart"/>
      <w:r w:rsidR="005F0208" w:rsidRPr="006E3F3A">
        <w:rPr>
          <w:i/>
          <w:lang w:val="en-IE"/>
        </w:rPr>
        <w:t>caballi</w:t>
      </w:r>
      <w:proofErr w:type="spellEnd"/>
      <w:r w:rsidRPr="006E3F3A">
        <w:rPr>
          <w:lang w:val="en-IE"/>
        </w:rPr>
        <w:t xml:space="preserve"> and</w:t>
      </w:r>
      <w:r w:rsidRPr="006E3F3A">
        <w:rPr>
          <w:i/>
          <w:lang w:val="en-IE"/>
        </w:rPr>
        <w:t xml:space="preserve"> Babesia </w:t>
      </w:r>
      <w:proofErr w:type="spellStart"/>
      <w:r w:rsidRPr="006E3F3A">
        <w:rPr>
          <w:i/>
          <w:lang w:val="en-IE"/>
        </w:rPr>
        <w:t>equi</w:t>
      </w:r>
      <w:proofErr w:type="spellEnd"/>
      <w:r w:rsidRPr="006E3F3A">
        <w:rPr>
          <w:lang w:val="en-IE"/>
        </w:rPr>
        <w:t xml:space="preserve"> in horse blood. </w:t>
      </w:r>
      <w:r w:rsidRPr="006E3F3A">
        <w:rPr>
          <w:i/>
          <w:iCs/>
          <w:lang w:val="en-IE"/>
        </w:rPr>
        <w:t xml:space="preserve">Vet. </w:t>
      </w:r>
      <w:proofErr w:type="spellStart"/>
      <w:r w:rsidRPr="006E3F3A">
        <w:rPr>
          <w:i/>
          <w:iCs/>
          <w:lang w:val="en-IE"/>
        </w:rPr>
        <w:t>Parasitol</w:t>
      </w:r>
      <w:proofErr w:type="spellEnd"/>
      <w:r w:rsidRPr="006E3F3A">
        <w:rPr>
          <w:lang w:val="en-IE"/>
        </w:rPr>
        <w:t xml:space="preserve">., </w:t>
      </w:r>
      <w:r w:rsidRPr="006E3F3A">
        <w:rPr>
          <w:b/>
          <w:bCs/>
          <w:lang w:val="en-IE"/>
        </w:rPr>
        <w:t>129</w:t>
      </w:r>
      <w:r w:rsidR="009C04A8" w:rsidRPr="006E3F3A">
        <w:rPr>
          <w:lang w:val="en-IE"/>
        </w:rPr>
        <w:t>,</w:t>
      </w:r>
      <w:r w:rsidR="003D41F1" w:rsidRPr="006E3F3A">
        <w:rPr>
          <w:lang w:val="en-IE"/>
        </w:rPr>
        <w:t xml:space="preserve"> </w:t>
      </w:r>
      <w:r w:rsidRPr="006E3F3A">
        <w:rPr>
          <w:lang w:val="en-IE"/>
        </w:rPr>
        <w:t>43</w:t>
      </w:r>
      <w:r w:rsidR="009C04A8" w:rsidRPr="006E3F3A">
        <w:rPr>
          <w:lang w:val="en-IE"/>
        </w:rPr>
        <w:t>–</w:t>
      </w:r>
      <w:r w:rsidRPr="006E3F3A">
        <w:rPr>
          <w:lang w:val="en-IE"/>
        </w:rPr>
        <w:t>49.</w:t>
      </w:r>
      <w:r w:rsidR="00E565F4" w:rsidRPr="006E3F3A">
        <w:rPr>
          <w:lang w:val="en-IE"/>
        </w:rPr>
        <w:t xml:space="preserve"> </w:t>
      </w:r>
    </w:p>
    <w:p w14:paraId="663E0C09" w14:textId="77777777" w:rsidR="00BF40D3" w:rsidRDefault="00BF40D3" w:rsidP="007556C2">
      <w:pPr>
        <w:pStyle w:val="Ref"/>
        <w:rPr>
          <w:lang w:val="en-IE"/>
        </w:rPr>
      </w:pPr>
      <w:r>
        <w:rPr>
          <w:smallCaps/>
          <w:lang w:val="en-IE"/>
        </w:rPr>
        <w:t>Allsopp M.T.</w:t>
      </w:r>
      <w:r w:rsidRPr="00B97413">
        <w:rPr>
          <w:smallCaps/>
          <w:lang w:val="en-IE"/>
        </w:rPr>
        <w:t>, Cavalier-Smith T., De Waal D.T. &amp; Allsopp B.A.</w:t>
      </w:r>
      <w:r w:rsidRPr="00B97413">
        <w:rPr>
          <w:lang w:val="en-IE"/>
        </w:rPr>
        <w:t xml:space="preserve"> (1994). Phylogeny and evolution of the </w:t>
      </w:r>
      <w:proofErr w:type="spellStart"/>
      <w:r w:rsidRPr="00B97413">
        <w:rPr>
          <w:lang w:val="en-IE"/>
        </w:rPr>
        <w:t>piroplasms</w:t>
      </w:r>
      <w:proofErr w:type="spellEnd"/>
      <w:r w:rsidRPr="00B97413">
        <w:rPr>
          <w:lang w:val="en-IE"/>
        </w:rPr>
        <w:t xml:space="preserve">. </w:t>
      </w:r>
      <w:proofErr w:type="spellStart"/>
      <w:r w:rsidRPr="00B97413">
        <w:rPr>
          <w:i/>
          <w:lang w:val="en-IE"/>
        </w:rPr>
        <w:t>Parasitol</w:t>
      </w:r>
      <w:proofErr w:type="spellEnd"/>
      <w:r w:rsidRPr="00B97413">
        <w:rPr>
          <w:i/>
          <w:lang w:val="en-IE"/>
        </w:rPr>
        <w:t>.</w:t>
      </w:r>
      <w:r w:rsidRPr="00B97413">
        <w:rPr>
          <w:lang w:val="en-IE"/>
        </w:rPr>
        <w:t xml:space="preserve">, </w:t>
      </w:r>
      <w:r w:rsidRPr="00B97413">
        <w:rPr>
          <w:b/>
          <w:lang w:val="en-IE"/>
        </w:rPr>
        <w:t>108</w:t>
      </w:r>
      <w:r w:rsidRPr="00B97413">
        <w:rPr>
          <w:lang w:val="en-IE"/>
        </w:rPr>
        <w:t>, 147–152.</w:t>
      </w:r>
    </w:p>
    <w:p w14:paraId="663E0C0A" w14:textId="43C46529" w:rsidR="00CA65B0" w:rsidRDefault="00DA1DA7" w:rsidP="007556C2">
      <w:pPr>
        <w:pStyle w:val="Ref"/>
        <w:rPr>
          <w:lang w:val="pt-BR"/>
        </w:rPr>
      </w:pPr>
      <w:r w:rsidRPr="00002282">
        <w:rPr>
          <w:smallCaps/>
          <w:lang w:val="en-US"/>
        </w:rPr>
        <w:t xml:space="preserve">Allsopp M.T., Lewis B.D. &amp; </w:t>
      </w:r>
      <w:proofErr w:type="spellStart"/>
      <w:r w:rsidRPr="00002282">
        <w:rPr>
          <w:smallCaps/>
          <w:lang w:val="en-US"/>
        </w:rPr>
        <w:t>Penzhorn</w:t>
      </w:r>
      <w:proofErr w:type="spellEnd"/>
      <w:r w:rsidRPr="00002282">
        <w:rPr>
          <w:smallCaps/>
          <w:lang w:val="en-US"/>
        </w:rPr>
        <w:t xml:space="preserve"> B.L</w:t>
      </w:r>
      <w:r w:rsidR="00CA65B0" w:rsidRPr="006E3F3A">
        <w:rPr>
          <w:lang w:val="en-US"/>
        </w:rPr>
        <w:t xml:space="preserve">. (2007). </w:t>
      </w:r>
      <w:hyperlink r:id="rId9" w:history="1">
        <w:r w:rsidR="00CA65B0" w:rsidRPr="006E3F3A">
          <w:rPr>
            <w:u w:color="1923CE"/>
            <w:lang w:val="en-US"/>
          </w:rPr>
          <w:t xml:space="preserve">Molecular evidence for transplacental </w:t>
        </w:r>
        <w:r w:rsidR="00CA65B0" w:rsidRPr="006E3F3A">
          <w:rPr>
            <w:bCs/>
            <w:u w:color="1923CE"/>
            <w:lang w:val="en-US"/>
          </w:rPr>
          <w:t>transmission</w:t>
        </w:r>
        <w:r w:rsidR="00CA65B0" w:rsidRPr="006E3F3A">
          <w:rPr>
            <w:u w:color="1923CE"/>
            <w:lang w:val="en-US"/>
          </w:rPr>
          <w:t xml:space="preserve"> of </w:t>
        </w:r>
        <w:proofErr w:type="spellStart"/>
        <w:r w:rsidR="00CA65B0" w:rsidRPr="006E3F3A">
          <w:rPr>
            <w:i/>
            <w:u w:color="1923CE"/>
            <w:lang w:val="en-US"/>
          </w:rPr>
          <w:t>Theileria</w:t>
        </w:r>
        <w:proofErr w:type="spellEnd"/>
        <w:r w:rsidR="00CA65B0" w:rsidRPr="006E3F3A">
          <w:rPr>
            <w:u w:color="1923CE"/>
            <w:lang w:val="en-US"/>
          </w:rPr>
          <w:t xml:space="preserve"> </w:t>
        </w:r>
        <w:proofErr w:type="spellStart"/>
        <w:r w:rsidR="00CA65B0" w:rsidRPr="006E3F3A">
          <w:rPr>
            <w:bCs/>
            <w:i/>
            <w:u w:color="1923CE"/>
            <w:lang w:val="en-US"/>
          </w:rPr>
          <w:t>equi</w:t>
        </w:r>
        <w:proofErr w:type="spellEnd"/>
        <w:r w:rsidR="00CA65B0" w:rsidRPr="006E3F3A">
          <w:rPr>
            <w:i/>
            <w:u w:color="1923CE"/>
            <w:lang w:val="en-US"/>
          </w:rPr>
          <w:t xml:space="preserve"> </w:t>
        </w:r>
        <w:r w:rsidR="00CA65B0" w:rsidRPr="006E3F3A">
          <w:rPr>
            <w:u w:color="1923CE"/>
            <w:lang w:val="en-US"/>
          </w:rPr>
          <w:t>from carrier mares to their apparently healthy foals.</w:t>
        </w:r>
      </w:hyperlink>
      <w:r w:rsidR="00CA65B0" w:rsidRPr="006E3F3A">
        <w:rPr>
          <w:szCs w:val="26"/>
          <w:lang w:val="en-US"/>
        </w:rPr>
        <w:t xml:space="preserve"> </w:t>
      </w:r>
      <w:r w:rsidR="00CA65B0" w:rsidRPr="00704D65">
        <w:rPr>
          <w:i/>
          <w:lang w:val="pt-BR"/>
        </w:rPr>
        <w:t>Vet Parasitol</w:t>
      </w:r>
      <w:r w:rsidR="00CA65B0" w:rsidRPr="00704D65">
        <w:rPr>
          <w:lang w:val="pt-BR"/>
        </w:rPr>
        <w:t xml:space="preserve">., </w:t>
      </w:r>
      <w:r w:rsidR="00CA65B0" w:rsidRPr="00704D65">
        <w:rPr>
          <w:b/>
          <w:lang w:val="pt-BR"/>
        </w:rPr>
        <w:t>148</w:t>
      </w:r>
      <w:r w:rsidR="00CA65B0" w:rsidRPr="00704D65">
        <w:rPr>
          <w:lang w:val="pt-BR"/>
        </w:rPr>
        <w:t>, 130</w:t>
      </w:r>
      <w:r w:rsidR="00AE0527" w:rsidRPr="00704D65">
        <w:rPr>
          <w:lang w:val="pt-BR"/>
        </w:rPr>
        <w:t>–</w:t>
      </w:r>
      <w:r w:rsidR="00CA65B0" w:rsidRPr="00704D65">
        <w:rPr>
          <w:lang w:val="pt-BR"/>
        </w:rPr>
        <w:t xml:space="preserve">136. </w:t>
      </w:r>
    </w:p>
    <w:p w14:paraId="4012E8C5" w14:textId="3D1CE4C8" w:rsidR="00FD2D2A" w:rsidRPr="00FB5427" w:rsidRDefault="00FD2D2A" w:rsidP="00FD2D2A">
      <w:pPr>
        <w:pStyle w:val="Ref"/>
        <w:rPr>
          <w:u w:val="double"/>
          <w:lang w:val="es-SV"/>
        </w:rPr>
      </w:pPr>
      <w:proofErr w:type="spellStart"/>
      <w:r w:rsidRPr="008F3233">
        <w:rPr>
          <w:bCs/>
          <w:smallCaps/>
          <w:u w:val="double"/>
        </w:rPr>
        <w:t>Bashiruddin</w:t>
      </w:r>
      <w:proofErr w:type="spellEnd"/>
      <w:r w:rsidRPr="008F3233">
        <w:rPr>
          <w:smallCaps/>
          <w:u w:val="double"/>
        </w:rPr>
        <w:t xml:space="preserve"> J.B., </w:t>
      </w:r>
      <w:proofErr w:type="spellStart"/>
      <w:r w:rsidRPr="008F3233">
        <w:rPr>
          <w:smallCaps/>
          <w:u w:val="double"/>
        </w:rPr>
        <w:t>Cammà</w:t>
      </w:r>
      <w:proofErr w:type="spellEnd"/>
      <w:r w:rsidRPr="008F3233">
        <w:rPr>
          <w:smallCaps/>
          <w:u w:val="double"/>
        </w:rPr>
        <w:t xml:space="preserve"> C. &amp; </w:t>
      </w:r>
      <w:proofErr w:type="spellStart"/>
      <w:r w:rsidRPr="008F3233">
        <w:rPr>
          <w:smallCaps/>
          <w:u w:val="double"/>
        </w:rPr>
        <w:t>Rebêlo</w:t>
      </w:r>
      <w:proofErr w:type="spellEnd"/>
      <w:r w:rsidRPr="008F3233">
        <w:rPr>
          <w:smallCaps/>
          <w:u w:val="double"/>
        </w:rPr>
        <w:t xml:space="preserve"> E.</w:t>
      </w:r>
      <w:r w:rsidRPr="008F3233">
        <w:rPr>
          <w:u w:val="double"/>
        </w:rPr>
        <w:t xml:space="preserve"> (1999). Molecular detection of </w:t>
      </w:r>
      <w:r w:rsidRPr="008F3233">
        <w:rPr>
          <w:i/>
          <w:u w:val="double"/>
        </w:rPr>
        <w:t xml:space="preserve">Babesia </w:t>
      </w:r>
      <w:proofErr w:type="spellStart"/>
      <w:r w:rsidRPr="008F3233">
        <w:rPr>
          <w:i/>
          <w:u w:val="double"/>
        </w:rPr>
        <w:t>equi</w:t>
      </w:r>
      <w:proofErr w:type="spellEnd"/>
      <w:r w:rsidRPr="008F3233">
        <w:rPr>
          <w:u w:val="double"/>
        </w:rPr>
        <w:t xml:space="preserve"> and </w:t>
      </w:r>
      <w:r w:rsidRPr="008F3233">
        <w:rPr>
          <w:i/>
          <w:u w:val="double"/>
        </w:rPr>
        <w:t xml:space="preserve">Babesia </w:t>
      </w:r>
      <w:proofErr w:type="spellStart"/>
      <w:r w:rsidRPr="008F3233">
        <w:rPr>
          <w:i/>
          <w:u w:val="double"/>
        </w:rPr>
        <w:t>caballi</w:t>
      </w:r>
      <w:proofErr w:type="spellEnd"/>
      <w:r w:rsidRPr="008F3233">
        <w:rPr>
          <w:u w:val="double"/>
        </w:rPr>
        <w:t xml:space="preserve"> in horse blood by PCR amplification of part of the 16S rRNA gene. </w:t>
      </w:r>
      <w:proofErr w:type="spellStart"/>
      <w:r w:rsidRPr="00FB5427">
        <w:rPr>
          <w:rStyle w:val="jrnl"/>
          <w:i/>
          <w:u w:val="double"/>
          <w:lang w:val="es-SV"/>
        </w:rPr>
        <w:t>Vet</w:t>
      </w:r>
      <w:proofErr w:type="spellEnd"/>
      <w:r w:rsidRPr="00FB5427">
        <w:rPr>
          <w:rStyle w:val="jrnl"/>
          <w:i/>
          <w:u w:val="double"/>
          <w:lang w:val="es-SV"/>
        </w:rPr>
        <w:t xml:space="preserve">. </w:t>
      </w:r>
      <w:proofErr w:type="spellStart"/>
      <w:r w:rsidRPr="00FB5427">
        <w:rPr>
          <w:rStyle w:val="jrnl"/>
          <w:i/>
          <w:u w:val="double"/>
          <w:lang w:val="es-SV"/>
        </w:rPr>
        <w:t>Parasitol</w:t>
      </w:r>
      <w:proofErr w:type="spellEnd"/>
      <w:r w:rsidRPr="00FB5427">
        <w:rPr>
          <w:u w:val="double"/>
          <w:lang w:val="es-SV"/>
        </w:rPr>
        <w:t xml:space="preserve">., </w:t>
      </w:r>
      <w:r w:rsidRPr="00FB5427">
        <w:rPr>
          <w:b/>
          <w:u w:val="double"/>
          <w:lang w:val="es-SV"/>
        </w:rPr>
        <w:t>84</w:t>
      </w:r>
      <w:r w:rsidRPr="00FB5427">
        <w:rPr>
          <w:u w:val="double"/>
          <w:lang w:val="es-SV"/>
        </w:rPr>
        <w:t>, 75–83.</w:t>
      </w:r>
    </w:p>
    <w:p w14:paraId="663E0C0B" w14:textId="77777777" w:rsidR="00FC674A" w:rsidRPr="006E3F3A" w:rsidRDefault="00FC674A" w:rsidP="00E565F4">
      <w:pPr>
        <w:pStyle w:val="Ref"/>
        <w:rPr>
          <w:color w:val="000000" w:themeColor="text1"/>
          <w:lang w:val="en-IE"/>
        </w:rPr>
      </w:pPr>
      <w:r w:rsidRPr="006E3F3A">
        <w:rPr>
          <w:smallCaps/>
          <w:color w:val="000000" w:themeColor="text1"/>
          <w:lang w:val="pt-BR"/>
        </w:rPr>
        <w:t>Criado-Fornelio A., Martinez-Marcos A., Buling-</w:t>
      </w:r>
      <w:r w:rsidR="00BF40D3">
        <w:rPr>
          <w:smallCaps/>
          <w:color w:val="000000" w:themeColor="text1"/>
          <w:lang w:val="pt-BR"/>
        </w:rPr>
        <w:t>Sarana A.</w:t>
      </w:r>
      <w:r w:rsidR="009C04A8" w:rsidRPr="006E3F3A">
        <w:rPr>
          <w:smallCaps/>
          <w:color w:val="000000" w:themeColor="text1"/>
          <w:lang w:val="pt-BR"/>
        </w:rPr>
        <w:t xml:space="preserve"> &amp; Barba-Carretero J.</w:t>
      </w:r>
      <w:r w:rsidRPr="006E3F3A">
        <w:rPr>
          <w:smallCaps/>
          <w:color w:val="000000" w:themeColor="text1"/>
          <w:lang w:val="pt-BR"/>
        </w:rPr>
        <w:t>C.</w:t>
      </w:r>
      <w:r w:rsidRPr="006E3F3A">
        <w:rPr>
          <w:color w:val="000000" w:themeColor="text1"/>
          <w:lang w:val="pt-BR"/>
        </w:rPr>
        <w:t xml:space="preserve"> (2003). </w:t>
      </w:r>
      <w:r w:rsidRPr="006E3F3A">
        <w:rPr>
          <w:color w:val="000000" w:themeColor="text1"/>
          <w:lang w:val="en-IE"/>
        </w:rPr>
        <w:t xml:space="preserve">Molecular studies on </w:t>
      </w:r>
      <w:r w:rsidRPr="006E3F3A">
        <w:rPr>
          <w:i/>
          <w:color w:val="000000" w:themeColor="text1"/>
          <w:lang w:val="en-IE"/>
        </w:rPr>
        <w:t xml:space="preserve">Babesia, </w:t>
      </w:r>
      <w:proofErr w:type="spellStart"/>
      <w:r w:rsidRPr="006E3F3A">
        <w:rPr>
          <w:i/>
          <w:color w:val="000000" w:themeColor="text1"/>
          <w:lang w:val="en-IE"/>
        </w:rPr>
        <w:t>Theileria</w:t>
      </w:r>
      <w:proofErr w:type="spellEnd"/>
      <w:r w:rsidRPr="006E3F3A">
        <w:rPr>
          <w:i/>
          <w:color w:val="000000" w:themeColor="text1"/>
          <w:lang w:val="en-IE"/>
        </w:rPr>
        <w:t xml:space="preserve"> </w:t>
      </w:r>
      <w:r w:rsidRPr="006E3F3A">
        <w:rPr>
          <w:color w:val="000000" w:themeColor="text1"/>
          <w:lang w:val="en-IE"/>
        </w:rPr>
        <w:t xml:space="preserve">and </w:t>
      </w:r>
      <w:proofErr w:type="spellStart"/>
      <w:r w:rsidRPr="006E3F3A">
        <w:rPr>
          <w:i/>
          <w:color w:val="000000" w:themeColor="text1"/>
          <w:lang w:val="en-IE"/>
        </w:rPr>
        <w:t>Hepatozoon</w:t>
      </w:r>
      <w:proofErr w:type="spellEnd"/>
      <w:r w:rsidRPr="006E3F3A">
        <w:rPr>
          <w:i/>
          <w:color w:val="000000" w:themeColor="text1"/>
          <w:lang w:val="en-IE"/>
        </w:rPr>
        <w:t xml:space="preserve"> </w:t>
      </w:r>
      <w:r w:rsidRPr="006E3F3A">
        <w:rPr>
          <w:color w:val="000000" w:themeColor="text1"/>
          <w:lang w:val="en-IE"/>
        </w:rPr>
        <w:t>in southern Europe:</w:t>
      </w:r>
      <w:r w:rsidR="003D41F1" w:rsidRPr="006E3F3A">
        <w:rPr>
          <w:color w:val="000000" w:themeColor="text1"/>
          <w:lang w:val="en-IE"/>
        </w:rPr>
        <w:t xml:space="preserve"> </w:t>
      </w:r>
      <w:r w:rsidRPr="006E3F3A">
        <w:rPr>
          <w:color w:val="000000" w:themeColor="text1"/>
          <w:lang w:val="en-IE"/>
        </w:rPr>
        <w:t>Part II. Phylogenetic analysis and evolutionary history.</w:t>
      </w:r>
      <w:r w:rsidR="003D41F1" w:rsidRPr="006E3F3A">
        <w:rPr>
          <w:color w:val="000000" w:themeColor="text1"/>
          <w:lang w:val="en-IE"/>
        </w:rPr>
        <w:t xml:space="preserve"> </w:t>
      </w:r>
      <w:r w:rsidRPr="006E3F3A">
        <w:rPr>
          <w:i/>
          <w:iCs/>
          <w:color w:val="000000" w:themeColor="text1"/>
          <w:lang w:val="en-IE"/>
        </w:rPr>
        <w:t xml:space="preserve">Vet. </w:t>
      </w:r>
      <w:proofErr w:type="spellStart"/>
      <w:r w:rsidRPr="006E3F3A">
        <w:rPr>
          <w:i/>
          <w:iCs/>
          <w:color w:val="000000" w:themeColor="text1"/>
          <w:lang w:val="en-IE"/>
        </w:rPr>
        <w:t>Parasitol</w:t>
      </w:r>
      <w:proofErr w:type="spellEnd"/>
      <w:r w:rsidRPr="006E3F3A">
        <w:rPr>
          <w:i/>
          <w:iCs/>
          <w:color w:val="000000" w:themeColor="text1"/>
          <w:lang w:val="en-IE"/>
        </w:rPr>
        <w:t>.,</w:t>
      </w:r>
      <w:r w:rsidRPr="006E3F3A">
        <w:rPr>
          <w:color w:val="000000" w:themeColor="text1"/>
          <w:lang w:val="en-IE"/>
        </w:rPr>
        <w:t xml:space="preserve"> </w:t>
      </w:r>
      <w:r w:rsidRPr="006E3F3A">
        <w:rPr>
          <w:b/>
          <w:bCs/>
          <w:color w:val="000000" w:themeColor="text1"/>
          <w:lang w:val="en-IE"/>
        </w:rPr>
        <w:t>114</w:t>
      </w:r>
      <w:r w:rsidR="002A0C84" w:rsidRPr="006E3F3A">
        <w:rPr>
          <w:color w:val="000000" w:themeColor="text1"/>
          <w:lang w:val="en-IE"/>
        </w:rPr>
        <w:t>,</w:t>
      </w:r>
      <w:r w:rsidRPr="006E3F3A">
        <w:rPr>
          <w:color w:val="000000" w:themeColor="text1"/>
          <w:lang w:val="en-IE"/>
        </w:rPr>
        <w:t xml:space="preserve"> 173</w:t>
      </w:r>
      <w:r w:rsidR="002A0C84" w:rsidRPr="006E3F3A">
        <w:rPr>
          <w:color w:val="000000" w:themeColor="text1"/>
          <w:lang w:val="en-IE"/>
        </w:rPr>
        <w:t>–</w:t>
      </w:r>
      <w:r w:rsidRPr="006E3F3A">
        <w:rPr>
          <w:color w:val="000000" w:themeColor="text1"/>
          <w:lang w:val="en-IE"/>
        </w:rPr>
        <w:t>194.</w:t>
      </w:r>
      <w:r w:rsidR="00E565F4" w:rsidRPr="006E3F3A">
        <w:rPr>
          <w:color w:val="000000" w:themeColor="text1"/>
          <w:lang w:val="en-IE"/>
        </w:rPr>
        <w:t xml:space="preserve"> </w:t>
      </w:r>
    </w:p>
    <w:p w14:paraId="663E0C0C" w14:textId="77777777" w:rsidR="004A0F78" w:rsidRPr="006E3F3A" w:rsidRDefault="00460085" w:rsidP="00F31228">
      <w:pPr>
        <w:pStyle w:val="Ref"/>
      </w:pPr>
      <w:r w:rsidRPr="006E3F3A">
        <w:rPr>
          <w:smallCaps/>
          <w:lang w:val="en-IE"/>
        </w:rPr>
        <w:t xml:space="preserve">De Waal D.T. </w:t>
      </w:r>
      <w:r w:rsidRPr="006E3F3A">
        <w:rPr>
          <w:lang w:val="en-IE"/>
        </w:rPr>
        <w:t xml:space="preserve">(1992). </w:t>
      </w:r>
      <w:hyperlink r:id="rId10" w:history="1">
        <w:r w:rsidR="004A0F78" w:rsidRPr="006E3F3A">
          <w:rPr>
            <w:szCs w:val="28"/>
            <w:u w:color="0428B6"/>
            <w:lang w:val="en-US"/>
          </w:rPr>
          <w:t>Equine piroplasmosis: a review.</w:t>
        </w:r>
      </w:hyperlink>
      <w:r w:rsidR="004A0F78" w:rsidRPr="006E3F3A">
        <w:rPr>
          <w:lang w:val="en-US"/>
        </w:rPr>
        <w:t xml:space="preserve"> </w:t>
      </w:r>
      <w:r w:rsidR="004A0F78" w:rsidRPr="006E3F3A">
        <w:rPr>
          <w:i/>
        </w:rPr>
        <w:t>Br. Vet. J.</w:t>
      </w:r>
      <w:r w:rsidR="004A0F78" w:rsidRPr="006E3F3A">
        <w:t>,</w:t>
      </w:r>
      <w:r w:rsidR="00F31228" w:rsidRPr="006E3F3A">
        <w:t xml:space="preserve"> </w:t>
      </w:r>
      <w:r w:rsidR="004A0F78" w:rsidRPr="006E3F3A">
        <w:rPr>
          <w:b/>
        </w:rPr>
        <w:t>148</w:t>
      </w:r>
      <w:r w:rsidR="004A0F78" w:rsidRPr="006E3F3A">
        <w:t>, 6</w:t>
      </w:r>
      <w:r w:rsidR="00F31228" w:rsidRPr="006E3F3A">
        <w:t>–</w:t>
      </w:r>
      <w:r w:rsidR="004A0F78" w:rsidRPr="006E3F3A">
        <w:t xml:space="preserve">14. </w:t>
      </w:r>
    </w:p>
    <w:p w14:paraId="663E0C0D" w14:textId="77777777" w:rsidR="00FC674A" w:rsidRPr="006E3F3A" w:rsidRDefault="00FC674A" w:rsidP="00E565F4">
      <w:pPr>
        <w:pStyle w:val="Ref"/>
        <w:rPr>
          <w:lang w:val="en-IE"/>
        </w:rPr>
      </w:pPr>
      <w:r w:rsidRPr="006E3F3A">
        <w:rPr>
          <w:smallCaps/>
          <w:lang w:val="en-IE"/>
        </w:rPr>
        <w:t xml:space="preserve">Herr S., </w:t>
      </w:r>
      <w:proofErr w:type="spellStart"/>
      <w:r w:rsidRPr="006E3F3A">
        <w:rPr>
          <w:smallCaps/>
          <w:lang w:val="en-IE"/>
        </w:rPr>
        <w:t>Huchzermeyer</w:t>
      </w:r>
      <w:proofErr w:type="spellEnd"/>
      <w:r w:rsidRPr="006E3F3A">
        <w:rPr>
          <w:smallCaps/>
          <w:lang w:val="en-IE"/>
        </w:rPr>
        <w:t xml:space="preserve"> H.F.K.A., </w:t>
      </w:r>
      <w:proofErr w:type="spellStart"/>
      <w:r w:rsidRPr="006E3F3A">
        <w:rPr>
          <w:smallCaps/>
          <w:lang w:val="en-IE"/>
        </w:rPr>
        <w:t>Te</w:t>
      </w:r>
      <w:proofErr w:type="spellEnd"/>
      <w:r w:rsidRPr="006E3F3A">
        <w:rPr>
          <w:smallCaps/>
          <w:lang w:val="en-IE"/>
        </w:rPr>
        <w:t xml:space="preserve"> </w:t>
      </w:r>
      <w:proofErr w:type="spellStart"/>
      <w:r w:rsidRPr="006E3F3A">
        <w:rPr>
          <w:smallCaps/>
          <w:lang w:val="en-IE"/>
        </w:rPr>
        <w:t>Brugge</w:t>
      </w:r>
      <w:proofErr w:type="spellEnd"/>
      <w:r w:rsidRPr="006E3F3A">
        <w:rPr>
          <w:smallCaps/>
          <w:lang w:val="en-IE"/>
        </w:rPr>
        <w:t xml:space="preserve"> L.A., Williamson C.C., </w:t>
      </w:r>
      <w:proofErr w:type="spellStart"/>
      <w:r w:rsidRPr="006E3F3A">
        <w:rPr>
          <w:smallCaps/>
          <w:lang w:val="en-IE"/>
        </w:rPr>
        <w:t>Roos</w:t>
      </w:r>
      <w:proofErr w:type="spellEnd"/>
      <w:r w:rsidRPr="006E3F3A">
        <w:rPr>
          <w:smallCaps/>
          <w:lang w:val="en-IE"/>
        </w:rPr>
        <w:t xml:space="preserve"> J.A. &amp; Schiele G.J.</w:t>
      </w:r>
      <w:r w:rsidRPr="006E3F3A">
        <w:rPr>
          <w:lang w:val="en-IE"/>
        </w:rPr>
        <w:t xml:space="preserve"> (1985). The use of a single complement fixation test technique in bovine brucellosis, </w:t>
      </w:r>
      <w:proofErr w:type="spellStart"/>
      <w:r w:rsidRPr="006E3F3A">
        <w:rPr>
          <w:lang w:val="en-IE"/>
        </w:rPr>
        <w:t>Johne’s</w:t>
      </w:r>
      <w:proofErr w:type="spellEnd"/>
      <w:r w:rsidRPr="006E3F3A">
        <w:rPr>
          <w:lang w:val="en-IE"/>
        </w:rPr>
        <w:t xml:space="preserve"> disease, dourine, equine piroplasmosis and Q fever serology. </w:t>
      </w:r>
      <w:proofErr w:type="spellStart"/>
      <w:r w:rsidRPr="006E3F3A">
        <w:rPr>
          <w:i/>
          <w:lang w:val="en-IE"/>
        </w:rPr>
        <w:t>Onderstepoort</w:t>
      </w:r>
      <w:proofErr w:type="spellEnd"/>
      <w:r w:rsidRPr="006E3F3A">
        <w:rPr>
          <w:i/>
          <w:lang w:val="en-IE"/>
        </w:rPr>
        <w:t xml:space="preserve"> J. Vet. Res</w:t>
      </w:r>
      <w:r w:rsidRPr="006E3F3A">
        <w:rPr>
          <w:lang w:val="en-IE"/>
        </w:rPr>
        <w:t xml:space="preserve">., </w:t>
      </w:r>
      <w:r w:rsidRPr="006E3F3A">
        <w:rPr>
          <w:b/>
          <w:lang w:val="en-IE"/>
        </w:rPr>
        <w:t>52</w:t>
      </w:r>
      <w:r w:rsidRPr="006E3F3A">
        <w:rPr>
          <w:lang w:val="en-IE"/>
        </w:rPr>
        <w:t>, 279–282.</w:t>
      </w:r>
    </w:p>
    <w:p w14:paraId="663E0C0E" w14:textId="77777777" w:rsidR="00FC674A" w:rsidRPr="006E3F3A" w:rsidRDefault="00FC674A" w:rsidP="00E565F4">
      <w:pPr>
        <w:pStyle w:val="Ref"/>
        <w:rPr>
          <w:lang w:val="en-IE"/>
        </w:rPr>
      </w:pPr>
      <w:r w:rsidRPr="006E3F3A">
        <w:rPr>
          <w:smallCaps/>
          <w:lang w:val="en-IE"/>
        </w:rPr>
        <w:t>Holbrook A.A., Johnson A.J. &amp; Madden B.S.</w:t>
      </w:r>
      <w:r w:rsidRPr="006E3F3A">
        <w:rPr>
          <w:lang w:val="en-IE"/>
        </w:rPr>
        <w:t xml:space="preserve"> (1968). Equine piroplasmosis: Intraerythrocytic development of </w:t>
      </w:r>
      <w:r w:rsidRPr="006E3F3A">
        <w:rPr>
          <w:i/>
          <w:lang w:val="en-IE"/>
        </w:rPr>
        <w:t xml:space="preserve">Babesia </w:t>
      </w:r>
      <w:proofErr w:type="spellStart"/>
      <w:r w:rsidRPr="006E3F3A">
        <w:rPr>
          <w:i/>
          <w:lang w:val="en-IE"/>
        </w:rPr>
        <w:t>caballi</w:t>
      </w:r>
      <w:proofErr w:type="spellEnd"/>
      <w:r w:rsidRPr="006E3F3A">
        <w:rPr>
          <w:lang w:val="en-IE"/>
        </w:rPr>
        <w:t xml:space="preserve"> (Nuttall) and </w:t>
      </w:r>
      <w:r w:rsidRPr="006E3F3A">
        <w:rPr>
          <w:i/>
          <w:lang w:val="en-IE"/>
        </w:rPr>
        <w:t xml:space="preserve">Babesia </w:t>
      </w:r>
      <w:proofErr w:type="spellStart"/>
      <w:r w:rsidRPr="006E3F3A">
        <w:rPr>
          <w:i/>
          <w:lang w:val="en-IE"/>
        </w:rPr>
        <w:t>equi</w:t>
      </w:r>
      <w:proofErr w:type="spellEnd"/>
      <w:r w:rsidRPr="006E3F3A">
        <w:rPr>
          <w:lang w:val="en-IE"/>
        </w:rPr>
        <w:t xml:space="preserve"> (Laveran). </w:t>
      </w:r>
      <w:r w:rsidRPr="006E3F3A">
        <w:rPr>
          <w:i/>
          <w:lang w:val="en-IE"/>
        </w:rPr>
        <w:t>Am. J. Vet. Res</w:t>
      </w:r>
      <w:r w:rsidRPr="006E3F3A">
        <w:rPr>
          <w:lang w:val="en-IE"/>
        </w:rPr>
        <w:t xml:space="preserve">., </w:t>
      </w:r>
      <w:r w:rsidRPr="006E3F3A">
        <w:rPr>
          <w:b/>
          <w:lang w:val="en-IE"/>
        </w:rPr>
        <w:t>29</w:t>
      </w:r>
      <w:r w:rsidRPr="006E3F3A">
        <w:rPr>
          <w:lang w:val="en-IE"/>
        </w:rPr>
        <w:t>, 297–303.</w:t>
      </w:r>
    </w:p>
    <w:p w14:paraId="663E0C0F" w14:textId="77777777" w:rsidR="00FC674A" w:rsidRPr="00FA6272" w:rsidRDefault="00FC674A" w:rsidP="00E565F4">
      <w:pPr>
        <w:pStyle w:val="Ref"/>
        <w:rPr>
          <w:lang w:val="fr-FR"/>
        </w:rPr>
      </w:pPr>
      <w:r w:rsidRPr="006E3F3A">
        <w:rPr>
          <w:smallCaps/>
          <w:lang w:val="en-IE"/>
        </w:rPr>
        <w:t xml:space="preserve">Holman P.J., </w:t>
      </w:r>
      <w:proofErr w:type="spellStart"/>
      <w:r w:rsidRPr="006E3F3A">
        <w:rPr>
          <w:smallCaps/>
          <w:lang w:val="en-IE"/>
        </w:rPr>
        <w:t>Frerichs</w:t>
      </w:r>
      <w:proofErr w:type="spellEnd"/>
      <w:r w:rsidRPr="006E3F3A">
        <w:rPr>
          <w:smallCaps/>
          <w:lang w:val="en-IE"/>
        </w:rPr>
        <w:t xml:space="preserve"> W.M., </w:t>
      </w:r>
      <w:proofErr w:type="spellStart"/>
      <w:r w:rsidRPr="006E3F3A">
        <w:rPr>
          <w:smallCaps/>
          <w:lang w:val="en-IE"/>
        </w:rPr>
        <w:t>Chieves</w:t>
      </w:r>
      <w:proofErr w:type="spellEnd"/>
      <w:r w:rsidRPr="006E3F3A">
        <w:rPr>
          <w:smallCaps/>
          <w:lang w:val="en-IE"/>
        </w:rPr>
        <w:t xml:space="preserve"> L. &amp; Wagner G.G.</w:t>
      </w:r>
      <w:r w:rsidRPr="006E3F3A">
        <w:rPr>
          <w:lang w:val="en-IE"/>
        </w:rPr>
        <w:t xml:space="preserve"> </w:t>
      </w:r>
      <w:r w:rsidR="00E565F4" w:rsidRPr="006E3F3A">
        <w:rPr>
          <w:lang w:val="en-IE"/>
        </w:rPr>
        <w:t>(</w:t>
      </w:r>
      <w:r w:rsidRPr="006E3F3A">
        <w:rPr>
          <w:lang w:val="en-IE"/>
        </w:rPr>
        <w:t>1993</w:t>
      </w:r>
      <w:r w:rsidR="00E565F4" w:rsidRPr="006E3F3A">
        <w:rPr>
          <w:lang w:val="en-IE"/>
        </w:rPr>
        <w:t>)</w:t>
      </w:r>
      <w:r w:rsidRPr="006E3F3A">
        <w:rPr>
          <w:lang w:val="en-IE"/>
        </w:rPr>
        <w:t xml:space="preserve">. Culture confirmation of the carrier status of </w:t>
      </w:r>
      <w:r w:rsidRPr="006E3F3A">
        <w:rPr>
          <w:i/>
          <w:lang w:val="en-IE"/>
        </w:rPr>
        <w:t xml:space="preserve">Babesia </w:t>
      </w:r>
      <w:proofErr w:type="spellStart"/>
      <w:r w:rsidRPr="006E3F3A">
        <w:rPr>
          <w:i/>
          <w:lang w:val="en-IE"/>
        </w:rPr>
        <w:t>caballi</w:t>
      </w:r>
      <w:proofErr w:type="spellEnd"/>
      <w:r w:rsidRPr="006E3F3A">
        <w:rPr>
          <w:i/>
          <w:lang w:val="en-IE"/>
        </w:rPr>
        <w:t>-</w:t>
      </w:r>
      <w:r w:rsidRPr="006E3F3A">
        <w:rPr>
          <w:lang w:val="en-IE"/>
        </w:rPr>
        <w:t xml:space="preserve">infected horses. </w:t>
      </w:r>
      <w:r w:rsidRPr="00FA6272">
        <w:rPr>
          <w:i/>
          <w:lang w:val="fr-FR"/>
        </w:rPr>
        <w:t xml:space="preserve">J. Clin. </w:t>
      </w:r>
      <w:proofErr w:type="spellStart"/>
      <w:r w:rsidRPr="00FA6272">
        <w:rPr>
          <w:i/>
          <w:lang w:val="fr-FR"/>
        </w:rPr>
        <w:t>Microbiol</w:t>
      </w:r>
      <w:proofErr w:type="spellEnd"/>
      <w:r w:rsidRPr="00FA6272">
        <w:rPr>
          <w:i/>
          <w:lang w:val="fr-FR"/>
        </w:rPr>
        <w:t>.</w:t>
      </w:r>
      <w:r w:rsidRPr="00FA6272">
        <w:rPr>
          <w:lang w:val="fr-FR"/>
        </w:rPr>
        <w:t xml:space="preserve">, </w:t>
      </w:r>
      <w:r w:rsidRPr="00FA6272">
        <w:rPr>
          <w:b/>
          <w:lang w:val="fr-FR"/>
        </w:rPr>
        <w:t>31</w:t>
      </w:r>
      <w:r w:rsidRPr="00FA6272">
        <w:rPr>
          <w:lang w:val="fr-FR"/>
        </w:rPr>
        <w:t>, 698–701.</w:t>
      </w:r>
    </w:p>
    <w:p w14:paraId="663E0C10" w14:textId="77777777" w:rsidR="00FC674A" w:rsidRPr="00726966" w:rsidRDefault="00FC674A" w:rsidP="00E565F4">
      <w:pPr>
        <w:pStyle w:val="Ref"/>
        <w:rPr>
          <w:strike/>
          <w:lang w:val="en-IE"/>
        </w:rPr>
      </w:pPr>
      <w:r w:rsidRPr="00FA6272">
        <w:rPr>
          <w:smallCaps/>
          <w:strike/>
          <w:highlight w:val="yellow"/>
          <w:lang w:val="fr-FR"/>
        </w:rPr>
        <w:t>Huang X</w:t>
      </w:r>
      <w:r w:rsidR="00BF40D3" w:rsidRPr="00FA6272">
        <w:rPr>
          <w:smallCaps/>
          <w:strike/>
          <w:highlight w:val="yellow"/>
          <w:lang w:val="fr-FR"/>
        </w:rPr>
        <w:t>.</w:t>
      </w:r>
      <w:r w:rsidRPr="00FA6272">
        <w:rPr>
          <w:smallCaps/>
          <w:strike/>
          <w:highlight w:val="yellow"/>
          <w:lang w:val="fr-FR"/>
        </w:rPr>
        <w:t>, Xuan X</w:t>
      </w:r>
      <w:r w:rsidR="00BF40D3" w:rsidRPr="00FA6272">
        <w:rPr>
          <w:smallCaps/>
          <w:strike/>
          <w:highlight w:val="yellow"/>
          <w:lang w:val="fr-FR"/>
        </w:rPr>
        <w:t>.</w:t>
      </w:r>
      <w:r w:rsidRPr="00FA6272">
        <w:rPr>
          <w:smallCaps/>
          <w:strike/>
          <w:highlight w:val="yellow"/>
          <w:lang w:val="fr-FR"/>
        </w:rPr>
        <w:t>, Xu L</w:t>
      </w:r>
      <w:r w:rsidR="00BF40D3" w:rsidRPr="00FA6272">
        <w:rPr>
          <w:smallCaps/>
          <w:strike/>
          <w:highlight w:val="yellow"/>
          <w:lang w:val="fr-FR"/>
        </w:rPr>
        <w:t>.</w:t>
      </w:r>
      <w:r w:rsidRPr="00FA6272">
        <w:rPr>
          <w:smallCaps/>
          <w:strike/>
          <w:highlight w:val="yellow"/>
          <w:lang w:val="fr-FR"/>
        </w:rPr>
        <w:t>, Zhang S</w:t>
      </w:r>
      <w:r w:rsidR="00BF40D3" w:rsidRPr="00FA6272">
        <w:rPr>
          <w:smallCaps/>
          <w:strike/>
          <w:highlight w:val="yellow"/>
          <w:lang w:val="fr-FR"/>
        </w:rPr>
        <w:t>.</w:t>
      </w:r>
      <w:r w:rsidRPr="00FA6272">
        <w:rPr>
          <w:smallCaps/>
          <w:strike/>
          <w:highlight w:val="yellow"/>
          <w:lang w:val="fr-FR"/>
        </w:rPr>
        <w:t>, Yokoyama N</w:t>
      </w:r>
      <w:r w:rsidR="00BF40D3" w:rsidRPr="00FA6272">
        <w:rPr>
          <w:smallCaps/>
          <w:strike/>
          <w:highlight w:val="yellow"/>
          <w:lang w:val="fr-FR"/>
        </w:rPr>
        <w:t>.</w:t>
      </w:r>
      <w:r w:rsidRPr="00FA6272">
        <w:rPr>
          <w:smallCaps/>
          <w:strike/>
          <w:highlight w:val="yellow"/>
          <w:lang w:val="fr-FR"/>
        </w:rPr>
        <w:t>, Suzuki N</w:t>
      </w:r>
      <w:r w:rsidR="00BF40D3" w:rsidRPr="00FA6272">
        <w:rPr>
          <w:smallCaps/>
          <w:strike/>
          <w:highlight w:val="yellow"/>
          <w:lang w:val="fr-FR"/>
        </w:rPr>
        <w:t>.</w:t>
      </w:r>
      <w:r w:rsidRPr="00FA6272">
        <w:rPr>
          <w:smallCaps/>
          <w:strike/>
          <w:highlight w:val="yellow"/>
          <w:lang w:val="fr-FR"/>
        </w:rPr>
        <w:t xml:space="preserve"> &amp; </w:t>
      </w:r>
      <w:proofErr w:type="spellStart"/>
      <w:r w:rsidRPr="00FA6272">
        <w:rPr>
          <w:smallCaps/>
          <w:strike/>
          <w:highlight w:val="yellow"/>
          <w:lang w:val="fr-FR"/>
        </w:rPr>
        <w:t>Igarashi</w:t>
      </w:r>
      <w:proofErr w:type="spellEnd"/>
      <w:r w:rsidRPr="00FA6272">
        <w:rPr>
          <w:smallCaps/>
          <w:strike/>
          <w:highlight w:val="yellow"/>
          <w:lang w:val="fr-FR"/>
        </w:rPr>
        <w:t xml:space="preserve"> I.</w:t>
      </w:r>
      <w:r w:rsidRPr="00FA6272">
        <w:rPr>
          <w:strike/>
          <w:highlight w:val="yellow"/>
          <w:lang w:val="fr-FR"/>
        </w:rPr>
        <w:t xml:space="preserve"> (2004). </w:t>
      </w:r>
      <w:r w:rsidRPr="00726966">
        <w:rPr>
          <w:strike/>
          <w:highlight w:val="yellow"/>
          <w:lang w:val="en-IE"/>
        </w:rPr>
        <w:t>Development of an</w:t>
      </w:r>
      <w:r w:rsidR="003D41F1" w:rsidRPr="00726966">
        <w:rPr>
          <w:strike/>
          <w:highlight w:val="yellow"/>
          <w:lang w:val="en-IE"/>
        </w:rPr>
        <w:t xml:space="preserve"> </w:t>
      </w:r>
      <w:r w:rsidRPr="00726966">
        <w:rPr>
          <w:strike/>
          <w:highlight w:val="yellow"/>
          <w:lang w:val="en-IE"/>
        </w:rPr>
        <w:t xml:space="preserve">immunochromatographic test with recombinant EMA-2 for the rapid detection of antibodies against </w:t>
      </w:r>
      <w:r w:rsidRPr="00726966">
        <w:rPr>
          <w:i/>
          <w:iCs/>
          <w:strike/>
          <w:highlight w:val="yellow"/>
          <w:lang w:val="en-IE"/>
        </w:rPr>
        <w:t>Babesia</w:t>
      </w:r>
      <w:r w:rsidRPr="00726966">
        <w:rPr>
          <w:strike/>
          <w:highlight w:val="yellow"/>
          <w:lang w:val="en-IE"/>
        </w:rPr>
        <w:t xml:space="preserve"> </w:t>
      </w:r>
      <w:proofErr w:type="spellStart"/>
      <w:r w:rsidRPr="00726966">
        <w:rPr>
          <w:i/>
          <w:iCs/>
          <w:strike/>
          <w:highlight w:val="yellow"/>
          <w:lang w:val="en-IE"/>
        </w:rPr>
        <w:t>equi</w:t>
      </w:r>
      <w:proofErr w:type="spellEnd"/>
      <w:r w:rsidRPr="00726966">
        <w:rPr>
          <w:strike/>
          <w:highlight w:val="yellow"/>
          <w:lang w:val="en-IE"/>
        </w:rPr>
        <w:t xml:space="preserve"> in horses.</w:t>
      </w:r>
      <w:r w:rsidR="003D41F1" w:rsidRPr="00726966">
        <w:rPr>
          <w:strike/>
          <w:highlight w:val="yellow"/>
          <w:lang w:val="en-IE"/>
        </w:rPr>
        <w:t xml:space="preserve"> </w:t>
      </w:r>
      <w:r w:rsidRPr="00726966">
        <w:rPr>
          <w:i/>
          <w:strike/>
          <w:highlight w:val="yellow"/>
          <w:lang w:val="en-IE"/>
        </w:rPr>
        <w:t>J</w:t>
      </w:r>
      <w:r w:rsidR="002A0C84" w:rsidRPr="00726966">
        <w:rPr>
          <w:i/>
          <w:strike/>
          <w:highlight w:val="yellow"/>
          <w:lang w:val="en-IE"/>
        </w:rPr>
        <w:t>.</w:t>
      </w:r>
      <w:r w:rsidRPr="00726966">
        <w:rPr>
          <w:i/>
          <w:strike/>
          <w:highlight w:val="yellow"/>
          <w:lang w:val="en-IE"/>
        </w:rPr>
        <w:t xml:space="preserve"> Clin</w:t>
      </w:r>
      <w:r w:rsidR="002A0C84" w:rsidRPr="00726966">
        <w:rPr>
          <w:i/>
          <w:strike/>
          <w:highlight w:val="yellow"/>
          <w:lang w:val="en-IE"/>
        </w:rPr>
        <w:t>.</w:t>
      </w:r>
      <w:r w:rsidRPr="00726966">
        <w:rPr>
          <w:i/>
          <w:strike/>
          <w:highlight w:val="yellow"/>
          <w:lang w:val="en-IE"/>
        </w:rPr>
        <w:t xml:space="preserve"> </w:t>
      </w:r>
      <w:proofErr w:type="spellStart"/>
      <w:r w:rsidRPr="00726966">
        <w:rPr>
          <w:i/>
          <w:strike/>
          <w:highlight w:val="yellow"/>
          <w:lang w:val="en-IE"/>
        </w:rPr>
        <w:t>Microbiol</w:t>
      </w:r>
      <w:proofErr w:type="spellEnd"/>
      <w:r w:rsidR="002A0C84" w:rsidRPr="00726966">
        <w:rPr>
          <w:i/>
          <w:strike/>
          <w:highlight w:val="yellow"/>
          <w:lang w:val="en-IE"/>
        </w:rPr>
        <w:t>.</w:t>
      </w:r>
      <w:r w:rsidRPr="00726966">
        <w:rPr>
          <w:strike/>
          <w:highlight w:val="yellow"/>
          <w:lang w:val="en-IE"/>
        </w:rPr>
        <w:t xml:space="preserve">, </w:t>
      </w:r>
      <w:r w:rsidRPr="00726966">
        <w:rPr>
          <w:b/>
          <w:strike/>
          <w:highlight w:val="yellow"/>
          <w:lang w:val="en-IE"/>
        </w:rPr>
        <w:t>42</w:t>
      </w:r>
      <w:r w:rsidRPr="00726966">
        <w:rPr>
          <w:strike/>
          <w:highlight w:val="yellow"/>
          <w:lang w:val="en-IE"/>
        </w:rPr>
        <w:t>, 359</w:t>
      </w:r>
      <w:r w:rsidR="002A0C84" w:rsidRPr="00726966">
        <w:rPr>
          <w:strike/>
          <w:highlight w:val="yellow"/>
          <w:lang w:val="en-IE"/>
        </w:rPr>
        <w:t>–</w:t>
      </w:r>
      <w:r w:rsidRPr="00726966">
        <w:rPr>
          <w:strike/>
          <w:highlight w:val="yellow"/>
          <w:lang w:val="en-IE"/>
        </w:rPr>
        <w:t>361.</w:t>
      </w:r>
    </w:p>
    <w:p w14:paraId="663E0C11" w14:textId="77777777" w:rsidR="004A44B6" w:rsidRPr="006E3F3A" w:rsidRDefault="004A44B6" w:rsidP="00E565F4">
      <w:pPr>
        <w:pStyle w:val="Ref"/>
        <w:rPr>
          <w:lang w:val="en-IE"/>
        </w:rPr>
      </w:pPr>
      <w:r w:rsidRPr="006E3F3A">
        <w:rPr>
          <w:smallCaps/>
          <w:lang w:val="en-IE"/>
        </w:rPr>
        <w:t>Huang X., Xuan X., Yokoyama N., Xu L., Suzuki H., Sugimoto C., Nagasawa H., Fujisaki K. &amp; Igarashi I.</w:t>
      </w:r>
      <w:r w:rsidRPr="006E3F3A">
        <w:rPr>
          <w:lang w:val="en-IE"/>
        </w:rPr>
        <w:t xml:space="preserve"> (2003). High-level expression and purification of a truncated merozoite antigen-2 of </w:t>
      </w:r>
      <w:r w:rsidRPr="006E3F3A">
        <w:rPr>
          <w:i/>
          <w:iCs/>
          <w:lang w:val="en-IE"/>
        </w:rPr>
        <w:t xml:space="preserve">Babesia </w:t>
      </w:r>
      <w:proofErr w:type="spellStart"/>
      <w:r w:rsidRPr="006E3F3A">
        <w:rPr>
          <w:i/>
          <w:iCs/>
          <w:lang w:val="en-IE"/>
        </w:rPr>
        <w:t>equi</w:t>
      </w:r>
      <w:proofErr w:type="spellEnd"/>
      <w:r w:rsidRPr="006E3F3A">
        <w:rPr>
          <w:lang w:val="en-IE"/>
        </w:rPr>
        <w:t xml:space="preserve"> in </w:t>
      </w:r>
      <w:r w:rsidRPr="006E3F3A">
        <w:rPr>
          <w:i/>
          <w:iCs/>
          <w:lang w:val="en-IE"/>
        </w:rPr>
        <w:t>Escherichia coli</w:t>
      </w:r>
      <w:r w:rsidRPr="006E3F3A">
        <w:rPr>
          <w:lang w:val="en-IE"/>
        </w:rPr>
        <w:t xml:space="preserve"> and its potential for </w:t>
      </w:r>
      <w:proofErr w:type="spellStart"/>
      <w:r w:rsidRPr="006E3F3A">
        <w:rPr>
          <w:lang w:val="en-IE"/>
        </w:rPr>
        <w:t>immunodiagnosis</w:t>
      </w:r>
      <w:proofErr w:type="spellEnd"/>
      <w:r w:rsidRPr="006E3F3A">
        <w:rPr>
          <w:lang w:val="en-IE"/>
        </w:rPr>
        <w:t xml:space="preserve">. </w:t>
      </w:r>
      <w:r w:rsidRPr="006E3F3A">
        <w:rPr>
          <w:i/>
          <w:iCs/>
          <w:lang w:val="en-IE"/>
        </w:rPr>
        <w:t xml:space="preserve">J. Clin. </w:t>
      </w:r>
      <w:proofErr w:type="spellStart"/>
      <w:r w:rsidRPr="006E3F3A">
        <w:rPr>
          <w:i/>
          <w:iCs/>
          <w:lang w:val="en-IE"/>
        </w:rPr>
        <w:t>Microbiol</w:t>
      </w:r>
      <w:proofErr w:type="spellEnd"/>
      <w:r w:rsidRPr="006E3F3A">
        <w:rPr>
          <w:i/>
          <w:iCs/>
          <w:lang w:val="en-IE"/>
        </w:rPr>
        <w:t>.,</w:t>
      </w:r>
      <w:r w:rsidRPr="006E3F3A">
        <w:rPr>
          <w:lang w:val="en-IE"/>
        </w:rPr>
        <w:t xml:space="preserve"> </w:t>
      </w:r>
      <w:r w:rsidRPr="006E3F3A">
        <w:rPr>
          <w:b/>
          <w:bCs/>
          <w:lang w:val="en-IE"/>
        </w:rPr>
        <w:t>41</w:t>
      </w:r>
      <w:r w:rsidRPr="006E3F3A">
        <w:rPr>
          <w:lang w:val="en-IE"/>
        </w:rPr>
        <w:t>, 1147–1151.</w:t>
      </w:r>
    </w:p>
    <w:p w14:paraId="663E0C12" w14:textId="77777777" w:rsidR="00FC674A" w:rsidRPr="006E3F3A" w:rsidRDefault="00FC674A" w:rsidP="00E565F4">
      <w:pPr>
        <w:pStyle w:val="Ref"/>
        <w:rPr>
          <w:lang w:val="en-IE"/>
        </w:rPr>
      </w:pPr>
      <w:proofErr w:type="spellStart"/>
      <w:r w:rsidRPr="006E3F3A">
        <w:rPr>
          <w:lang w:val="en-IE"/>
        </w:rPr>
        <w:t>I</w:t>
      </w:r>
      <w:r w:rsidRPr="006E3F3A">
        <w:rPr>
          <w:smallCaps/>
          <w:lang w:val="en-IE"/>
        </w:rPr>
        <w:t>kadai</w:t>
      </w:r>
      <w:proofErr w:type="spellEnd"/>
      <w:r w:rsidRPr="006E3F3A">
        <w:rPr>
          <w:smallCaps/>
          <w:lang w:val="en-IE"/>
        </w:rPr>
        <w:t xml:space="preserve"> H., Xuan X., Igarashi I., Tanaka S., Kanemaru T., Nagasawa H., Fujisaki K., Suzuki N. &amp; </w:t>
      </w:r>
      <w:proofErr w:type="spellStart"/>
      <w:r w:rsidRPr="006E3F3A">
        <w:rPr>
          <w:smallCaps/>
          <w:lang w:val="en-IE"/>
        </w:rPr>
        <w:t>Mikami</w:t>
      </w:r>
      <w:proofErr w:type="spellEnd"/>
      <w:r w:rsidRPr="006E3F3A">
        <w:rPr>
          <w:smallCaps/>
          <w:lang w:val="en-IE"/>
        </w:rPr>
        <w:t xml:space="preserve"> T.</w:t>
      </w:r>
      <w:r w:rsidRPr="006E3F3A">
        <w:rPr>
          <w:lang w:val="en-IE"/>
        </w:rPr>
        <w:t xml:space="preserve"> (1999). Cloning and expression of a 48-kilodalton </w:t>
      </w:r>
      <w:r w:rsidRPr="006E3F3A">
        <w:rPr>
          <w:i/>
          <w:lang w:val="en-IE"/>
        </w:rPr>
        <w:t xml:space="preserve">Babesia </w:t>
      </w:r>
      <w:proofErr w:type="spellStart"/>
      <w:r w:rsidRPr="006E3F3A">
        <w:rPr>
          <w:i/>
          <w:lang w:val="en-IE"/>
        </w:rPr>
        <w:t>caballi</w:t>
      </w:r>
      <w:proofErr w:type="spellEnd"/>
      <w:r w:rsidRPr="006E3F3A">
        <w:rPr>
          <w:i/>
          <w:lang w:val="en-IE"/>
        </w:rPr>
        <w:t xml:space="preserve"> </w:t>
      </w:r>
      <w:r w:rsidRPr="006E3F3A">
        <w:rPr>
          <w:lang w:val="en-IE"/>
        </w:rPr>
        <w:t xml:space="preserve">merozoite rhoptry protein and potential use of the recombinant antigen in an enzyme-linked immunosorbent assay. </w:t>
      </w:r>
      <w:r w:rsidRPr="006E3F3A">
        <w:rPr>
          <w:i/>
          <w:iCs/>
          <w:lang w:val="en-IE"/>
        </w:rPr>
        <w:t xml:space="preserve">J. Clin. </w:t>
      </w:r>
      <w:proofErr w:type="spellStart"/>
      <w:r w:rsidRPr="006E3F3A">
        <w:rPr>
          <w:i/>
          <w:iCs/>
          <w:lang w:val="en-IE"/>
        </w:rPr>
        <w:t>Microbiol</w:t>
      </w:r>
      <w:proofErr w:type="spellEnd"/>
      <w:r w:rsidRPr="006E3F3A">
        <w:rPr>
          <w:i/>
          <w:iCs/>
          <w:lang w:val="en-IE"/>
        </w:rPr>
        <w:t>.,</w:t>
      </w:r>
      <w:r w:rsidRPr="006E3F3A">
        <w:rPr>
          <w:lang w:val="en-IE"/>
        </w:rPr>
        <w:t xml:space="preserve"> </w:t>
      </w:r>
      <w:r w:rsidRPr="006E3F3A">
        <w:rPr>
          <w:b/>
          <w:bCs/>
          <w:lang w:val="en-IE"/>
        </w:rPr>
        <w:t>37</w:t>
      </w:r>
      <w:r w:rsidR="002A0C84" w:rsidRPr="006E3F3A">
        <w:rPr>
          <w:lang w:val="en-IE"/>
        </w:rPr>
        <w:t>,</w:t>
      </w:r>
      <w:r w:rsidRPr="006E3F3A">
        <w:rPr>
          <w:lang w:val="en-IE"/>
        </w:rPr>
        <w:t xml:space="preserve"> 3475</w:t>
      </w:r>
      <w:r w:rsidR="002A0C84" w:rsidRPr="006E3F3A">
        <w:rPr>
          <w:lang w:val="en-IE"/>
        </w:rPr>
        <w:t>–</w:t>
      </w:r>
      <w:r w:rsidRPr="006E3F3A">
        <w:rPr>
          <w:lang w:val="en-IE"/>
        </w:rPr>
        <w:t>3480.</w:t>
      </w:r>
    </w:p>
    <w:p w14:paraId="663E0C13" w14:textId="77777777" w:rsidR="00FC674A" w:rsidRPr="006E3F3A" w:rsidRDefault="00FC674A" w:rsidP="00291CD5">
      <w:pPr>
        <w:pStyle w:val="Ref"/>
        <w:rPr>
          <w:i/>
          <w:iCs/>
          <w:lang w:val="en-IE"/>
        </w:rPr>
      </w:pPr>
      <w:proofErr w:type="spellStart"/>
      <w:r w:rsidRPr="006E3F3A">
        <w:rPr>
          <w:smallCaps/>
          <w:lang w:val="en-IE"/>
        </w:rPr>
        <w:t>Kappmeyer</w:t>
      </w:r>
      <w:proofErr w:type="spellEnd"/>
      <w:r w:rsidRPr="006E3F3A">
        <w:rPr>
          <w:smallCaps/>
          <w:lang w:val="en-IE"/>
        </w:rPr>
        <w:t xml:space="preserve"> L.S., Perryman L.E., Hines S.A., Baszler T.V., Katz J.B., </w:t>
      </w:r>
      <w:proofErr w:type="spellStart"/>
      <w:r w:rsidRPr="006E3F3A">
        <w:rPr>
          <w:smallCaps/>
          <w:lang w:val="en-IE"/>
        </w:rPr>
        <w:t>Hennager</w:t>
      </w:r>
      <w:proofErr w:type="spellEnd"/>
      <w:r w:rsidRPr="006E3F3A">
        <w:rPr>
          <w:smallCaps/>
          <w:lang w:val="en-IE"/>
        </w:rPr>
        <w:t xml:space="preserve"> S.G. &amp; Knowles D.P. (1999). D</w:t>
      </w:r>
      <w:r w:rsidRPr="006E3F3A">
        <w:rPr>
          <w:lang w:val="en-IE"/>
        </w:rPr>
        <w:t xml:space="preserve">etection of equine antibodies to </w:t>
      </w:r>
      <w:r w:rsidRPr="006E3F3A">
        <w:rPr>
          <w:i/>
          <w:iCs/>
          <w:lang w:val="en-IE"/>
        </w:rPr>
        <w:t xml:space="preserve">Babesia </w:t>
      </w:r>
      <w:proofErr w:type="spellStart"/>
      <w:r w:rsidRPr="006E3F3A">
        <w:rPr>
          <w:i/>
          <w:iCs/>
          <w:lang w:val="en-IE"/>
        </w:rPr>
        <w:t>caballi</w:t>
      </w:r>
      <w:proofErr w:type="spellEnd"/>
      <w:r w:rsidRPr="006E3F3A">
        <w:rPr>
          <w:lang w:val="en-IE"/>
        </w:rPr>
        <w:t xml:space="preserve"> recombinant </w:t>
      </w:r>
      <w:r w:rsidR="00C021CD" w:rsidRPr="006E3F3A">
        <w:rPr>
          <w:i/>
          <w:iCs/>
          <w:lang w:val="en-IE"/>
        </w:rPr>
        <w:t>B. </w:t>
      </w:r>
      <w:proofErr w:type="spellStart"/>
      <w:r w:rsidR="00C021CD" w:rsidRPr="006E3F3A">
        <w:rPr>
          <w:i/>
          <w:iCs/>
          <w:lang w:val="en-IE"/>
        </w:rPr>
        <w:t>caballi</w:t>
      </w:r>
      <w:proofErr w:type="spellEnd"/>
      <w:r w:rsidRPr="006E3F3A">
        <w:rPr>
          <w:lang w:val="en-IE"/>
        </w:rPr>
        <w:t xml:space="preserve"> rhoptry-associated protein 1 in a competitive-inhibition enzyme-linked immunosorbent assay. </w:t>
      </w:r>
      <w:r w:rsidRPr="006E3F3A">
        <w:rPr>
          <w:i/>
          <w:iCs/>
          <w:lang w:val="en-IE"/>
        </w:rPr>
        <w:t xml:space="preserve">J. Clin. </w:t>
      </w:r>
      <w:proofErr w:type="spellStart"/>
      <w:r w:rsidRPr="006E3F3A">
        <w:rPr>
          <w:i/>
          <w:iCs/>
          <w:lang w:val="en-IE"/>
        </w:rPr>
        <w:t>Microbiol</w:t>
      </w:r>
      <w:proofErr w:type="spellEnd"/>
      <w:r w:rsidRPr="006E3F3A">
        <w:rPr>
          <w:i/>
          <w:iCs/>
          <w:lang w:val="en-IE"/>
        </w:rPr>
        <w:t xml:space="preserve">., </w:t>
      </w:r>
      <w:r w:rsidRPr="006E3F3A">
        <w:rPr>
          <w:b/>
          <w:bCs/>
          <w:lang w:val="en-IE"/>
        </w:rPr>
        <w:t>37</w:t>
      </w:r>
      <w:r w:rsidRPr="006E3F3A">
        <w:rPr>
          <w:lang w:val="en-IE"/>
        </w:rPr>
        <w:t>, 2285–2290.</w:t>
      </w:r>
    </w:p>
    <w:p w14:paraId="663E0C14" w14:textId="77777777" w:rsidR="00053752" w:rsidRDefault="00C56139" w:rsidP="007556C2">
      <w:pPr>
        <w:pStyle w:val="Ref"/>
        <w:rPr>
          <w:lang w:val="en-US" w:eastAsia="ja-JP"/>
        </w:rPr>
      </w:pPr>
      <w:proofErr w:type="spellStart"/>
      <w:r w:rsidRPr="006E3F3A">
        <w:rPr>
          <w:smallCaps/>
          <w:lang w:val="en-US"/>
        </w:rPr>
        <w:t>Kappmeyer</w:t>
      </w:r>
      <w:proofErr w:type="spellEnd"/>
      <w:r w:rsidRPr="006E3F3A">
        <w:rPr>
          <w:smallCaps/>
          <w:lang w:val="en-US"/>
        </w:rPr>
        <w:t xml:space="preserve"> L.S., Thiagarajan M., Herndon D.R., Ramsay J.D., </w:t>
      </w:r>
      <w:proofErr w:type="spellStart"/>
      <w:r w:rsidRPr="006E3F3A">
        <w:rPr>
          <w:smallCaps/>
          <w:lang w:val="en-US"/>
        </w:rPr>
        <w:t>Caler</w:t>
      </w:r>
      <w:proofErr w:type="spellEnd"/>
      <w:r w:rsidRPr="006E3F3A">
        <w:rPr>
          <w:smallCaps/>
          <w:lang w:val="en-US"/>
        </w:rPr>
        <w:t xml:space="preserve"> E., </w:t>
      </w:r>
      <w:proofErr w:type="spellStart"/>
      <w:r w:rsidRPr="006E3F3A">
        <w:rPr>
          <w:smallCaps/>
          <w:lang w:val="en-US"/>
        </w:rPr>
        <w:t>Djikeng</w:t>
      </w:r>
      <w:proofErr w:type="spellEnd"/>
      <w:r w:rsidRPr="006E3F3A">
        <w:rPr>
          <w:smallCaps/>
          <w:lang w:val="en-US"/>
        </w:rPr>
        <w:t xml:space="preserve"> A., Gillespie J.J., Lau A.O., </w:t>
      </w:r>
      <w:proofErr w:type="spellStart"/>
      <w:r w:rsidRPr="006E3F3A">
        <w:rPr>
          <w:smallCaps/>
          <w:lang w:val="en-US"/>
        </w:rPr>
        <w:t>Roalson</w:t>
      </w:r>
      <w:proofErr w:type="spellEnd"/>
      <w:r w:rsidRPr="006E3F3A">
        <w:rPr>
          <w:smallCaps/>
          <w:lang w:val="en-US"/>
        </w:rPr>
        <w:t xml:space="preserve"> E.</w:t>
      </w:r>
      <w:r w:rsidR="007556C2" w:rsidRPr="006E3F3A">
        <w:rPr>
          <w:smallCaps/>
          <w:lang w:val="en-US"/>
        </w:rPr>
        <w:t>H.</w:t>
      </w:r>
      <w:r w:rsidRPr="006E3F3A">
        <w:rPr>
          <w:smallCaps/>
          <w:lang w:val="en-US"/>
        </w:rPr>
        <w:t xml:space="preserve">, Silva J.C., Silva M.G., </w:t>
      </w:r>
      <w:r w:rsidR="007556C2" w:rsidRPr="006E3F3A">
        <w:rPr>
          <w:smallCaps/>
          <w:lang w:val="en-US"/>
        </w:rPr>
        <w:t>Suarez</w:t>
      </w:r>
      <w:r w:rsidRPr="006E3F3A">
        <w:rPr>
          <w:smallCaps/>
          <w:lang w:val="en-US"/>
        </w:rPr>
        <w:t xml:space="preserve"> C.E., </w:t>
      </w:r>
      <w:proofErr w:type="spellStart"/>
      <w:r w:rsidRPr="006E3F3A">
        <w:rPr>
          <w:smallCaps/>
          <w:lang w:val="en-US"/>
        </w:rPr>
        <w:t>Ueti</w:t>
      </w:r>
      <w:proofErr w:type="spellEnd"/>
      <w:r w:rsidRPr="006E3F3A">
        <w:rPr>
          <w:smallCaps/>
          <w:lang w:val="en-US"/>
        </w:rPr>
        <w:t xml:space="preserve"> M.W., Nene V.M., </w:t>
      </w:r>
      <w:proofErr w:type="spellStart"/>
      <w:r w:rsidRPr="006E3F3A">
        <w:rPr>
          <w:smallCaps/>
          <w:lang w:val="en-US"/>
        </w:rPr>
        <w:t>Mealey</w:t>
      </w:r>
      <w:proofErr w:type="spellEnd"/>
      <w:r w:rsidRPr="006E3F3A">
        <w:rPr>
          <w:smallCaps/>
          <w:lang w:val="en-US"/>
        </w:rPr>
        <w:t xml:space="preserve"> R.H., Knowles D.P. </w:t>
      </w:r>
      <w:r w:rsidR="007556C2" w:rsidRPr="006E3F3A">
        <w:rPr>
          <w:smallCaps/>
          <w:lang w:val="en-US"/>
        </w:rPr>
        <w:t>&amp;</w:t>
      </w:r>
      <w:r w:rsidRPr="006E3F3A">
        <w:rPr>
          <w:smallCaps/>
          <w:lang w:val="en-US"/>
        </w:rPr>
        <w:t xml:space="preserve"> Brayton</w:t>
      </w:r>
      <w:r w:rsidR="007556C2" w:rsidRPr="006E3F3A">
        <w:rPr>
          <w:lang w:val="en-US"/>
        </w:rPr>
        <w:t xml:space="preserve"> K.A. </w:t>
      </w:r>
      <w:r w:rsidRPr="006E3F3A">
        <w:rPr>
          <w:lang w:val="en-US"/>
        </w:rPr>
        <w:t>(2012)</w:t>
      </w:r>
      <w:r w:rsidR="007556C2" w:rsidRPr="006E3F3A">
        <w:rPr>
          <w:lang w:val="en-US"/>
        </w:rPr>
        <w:t>.</w:t>
      </w:r>
      <w:r w:rsidRPr="006E3F3A">
        <w:rPr>
          <w:lang w:val="en-US"/>
        </w:rPr>
        <w:t xml:space="preserve"> Comparative genomic analysis and phylogenetic position of </w:t>
      </w:r>
      <w:proofErr w:type="spellStart"/>
      <w:r w:rsidRPr="006E3F3A">
        <w:rPr>
          <w:i/>
          <w:lang w:val="en-US"/>
        </w:rPr>
        <w:t>Theileria</w:t>
      </w:r>
      <w:proofErr w:type="spellEnd"/>
      <w:r w:rsidRPr="006E3F3A">
        <w:rPr>
          <w:i/>
          <w:lang w:val="en-US"/>
        </w:rPr>
        <w:t xml:space="preserve"> </w:t>
      </w:r>
      <w:proofErr w:type="spellStart"/>
      <w:r w:rsidRPr="006E3F3A">
        <w:rPr>
          <w:i/>
          <w:lang w:val="en-US"/>
        </w:rPr>
        <w:t>equi</w:t>
      </w:r>
      <w:proofErr w:type="spellEnd"/>
      <w:r w:rsidR="00AE0527" w:rsidRPr="006E3F3A">
        <w:rPr>
          <w:i/>
          <w:lang w:val="en-US"/>
        </w:rPr>
        <w:t>.</w:t>
      </w:r>
      <w:r w:rsidRPr="006E3F3A">
        <w:rPr>
          <w:i/>
          <w:lang w:val="en-US"/>
        </w:rPr>
        <w:t xml:space="preserve"> BMC Genomics</w:t>
      </w:r>
      <w:r w:rsidR="007556C2" w:rsidRPr="006E3F3A">
        <w:rPr>
          <w:lang w:val="en-US"/>
        </w:rPr>
        <w:t>,</w:t>
      </w:r>
      <w:r w:rsidRPr="006E3F3A">
        <w:rPr>
          <w:lang w:val="en-US"/>
        </w:rPr>
        <w:t xml:space="preserve"> </w:t>
      </w:r>
      <w:r w:rsidRPr="006E3F3A">
        <w:rPr>
          <w:b/>
          <w:lang w:val="en-US"/>
        </w:rPr>
        <w:t>13</w:t>
      </w:r>
      <w:r w:rsidR="007556C2" w:rsidRPr="006E3F3A">
        <w:rPr>
          <w:lang w:val="en-US"/>
        </w:rPr>
        <w:t xml:space="preserve">, </w:t>
      </w:r>
      <w:r w:rsidRPr="006E3F3A">
        <w:rPr>
          <w:lang w:val="en-US"/>
        </w:rPr>
        <w:t>603</w:t>
      </w:r>
      <w:r w:rsidR="007556C2" w:rsidRPr="006E3F3A">
        <w:rPr>
          <w:lang w:val="en-US"/>
        </w:rPr>
        <w:t>.</w:t>
      </w:r>
    </w:p>
    <w:p w14:paraId="663E0C15" w14:textId="77777777" w:rsidR="00053752" w:rsidRPr="004D7007" w:rsidRDefault="00053752" w:rsidP="007556C2">
      <w:pPr>
        <w:pStyle w:val="Ref"/>
        <w:rPr>
          <w:u w:val="double"/>
          <w:lang w:val="en-US" w:eastAsia="ja-JP"/>
        </w:rPr>
      </w:pPr>
      <w:r w:rsidRPr="004D7007">
        <w:rPr>
          <w:smallCaps/>
          <w:u w:val="double"/>
          <w:lang w:val="en-IE"/>
        </w:rPr>
        <w:t>Knowles D.P</w:t>
      </w:r>
      <w:r w:rsidRPr="004D7007">
        <w:rPr>
          <w:smallCaps/>
          <w:u w:val="double"/>
          <w:lang w:val="en-US" w:eastAsia="ja-JP"/>
        </w:rPr>
        <w:t xml:space="preserve">., </w:t>
      </w:r>
      <w:proofErr w:type="spellStart"/>
      <w:r w:rsidRPr="004D7007">
        <w:rPr>
          <w:smallCaps/>
          <w:u w:val="double"/>
          <w:lang w:val="en-US" w:eastAsia="ja-JP"/>
        </w:rPr>
        <w:t>Kappmeyer</w:t>
      </w:r>
      <w:proofErr w:type="spellEnd"/>
      <w:r w:rsidRPr="004D7007">
        <w:rPr>
          <w:smallCaps/>
          <w:u w:val="double"/>
          <w:lang w:val="en-US" w:eastAsia="ja-JP"/>
        </w:rPr>
        <w:t xml:space="preserve"> L.S., Haney D., Herndon D.R., Fry L.M., Munro J.B., Sears K., </w:t>
      </w:r>
      <w:proofErr w:type="spellStart"/>
      <w:r w:rsidRPr="004D7007">
        <w:rPr>
          <w:smallCaps/>
          <w:u w:val="double"/>
          <w:lang w:val="en-US" w:eastAsia="ja-JP"/>
        </w:rPr>
        <w:t>Ueti</w:t>
      </w:r>
      <w:proofErr w:type="spellEnd"/>
      <w:r w:rsidRPr="004D7007">
        <w:rPr>
          <w:smallCaps/>
          <w:u w:val="double"/>
          <w:lang w:val="en-US" w:eastAsia="ja-JP"/>
        </w:rPr>
        <w:t xml:space="preserve"> M.W., Wise L.N., Silva M., Schneider D.A., </w:t>
      </w:r>
      <w:proofErr w:type="spellStart"/>
      <w:r w:rsidRPr="004D7007">
        <w:rPr>
          <w:smallCaps/>
          <w:u w:val="double"/>
          <w:lang w:val="en-US" w:eastAsia="ja-JP"/>
        </w:rPr>
        <w:t>Grause</w:t>
      </w:r>
      <w:proofErr w:type="spellEnd"/>
      <w:r w:rsidRPr="004D7007">
        <w:rPr>
          <w:smallCaps/>
          <w:u w:val="double"/>
          <w:lang w:val="en-US" w:eastAsia="ja-JP"/>
        </w:rPr>
        <w:t xml:space="preserve"> J., White S.N., </w:t>
      </w:r>
      <w:proofErr w:type="spellStart"/>
      <w:r w:rsidRPr="004D7007">
        <w:rPr>
          <w:smallCaps/>
          <w:u w:val="double"/>
          <w:lang w:val="en-US" w:eastAsia="ja-JP"/>
        </w:rPr>
        <w:t>Tretina</w:t>
      </w:r>
      <w:proofErr w:type="spellEnd"/>
      <w:r w:rsidRPr="004D7007">
        <w:rPr>
          <w:smallCaps/>
          <w:u w:val="double"/>
          <w:lang w:val="en-US" w:eastAsia="ja-JP"/>
        </w:rPr>
        <w:t xml:space="preserve"> K., Bishop R.P., Odongo D.O., </w:t>
      </w:r>
      <w:proofErr w:type="spellStart"/>
      <w:r w:rsidRPr="004D7007">
        <w:rPr>
          <w:smallCaps/>
          <w:u w:val="double"/>
          <w:lang w:val="en-US" w:eastAsia="ja-JP"/>
        </w:rPr>
        <w:t>Pelzel</w:t>
      </w:r>
      <w:proofErr w:type="spellEnd"/>
      <w:r w:rsidRPr="004D7007">
        <w:rPr>
          <w:smallCaps/>
          <w:u w:val="double"/>
          <w:lang w:val="en-US" w:eastAsia="ja-JP"/>
        </w:rPr>
        <w:t xml:space="preserve">-McCluskey A.M., </w:t>
      </w:r>
      <w:proofErr w:type="spellStart"/>
      <w:r w:rsidRPr="004D7007">
        <w:rPr>
          <w:smallCaps/>
          <w:u w:val="double"/>
          <w:lang w:val="en-US" w:eastAsia="ja-JP"/>
        </w:rPr>
        <w:t>Scoles</w:t>
      </w:r>
      <w:proofErr w:type="spellEnd"/>
      <w:r w:rsidRPr="004D7007">
        <w:rPr>
          <w:smallCaps/>
          <w:u w:val="double"/>
          <w:lang w:val="en-US" w:eastAsia="ja-JP"/>
        </w:rPr>
        <w:t xml:space="preserve"> G.A., </w:t>
      </w:r>
      <w:proofErr w:type="spellStart"/>
      <w:r w:rsidRPr="004D7007">
        <w:rPr>
          <w:smallCaps/>
          <w:u w:val="double"/>
          <w:lang w:val="en-US" w:eastAsia="ja-JP"/>
        </w:rPr>
        <w:t>Mealey</w:t>
      </w:r>
      <w:proofErr w:type="spellEnd"/>
      <w:r w:rsidRPr="004D7007">
        <w:rPr>
          <w:smallCaps/>
          <w:u w:val="double"/>
          <w:lang w:val="en-US" w:eastAsia="ja-JP"/>
        </w:rPr>
        <w:t xml:space="preserve"> R.H. &amp; Silva J.C.</w:t>
      </w:r>
      <w:r w:rsidRPr="004D7007">
        <w:rPr>
          <w:u w:val="double"/>
          <w:lang w:val="en-US" w:eastAsia="ja-JP"/>
        </w:rPr>
        <w:t xml:space="preserve"> (2018). Discovery of a novel species, </w:t>
      </w:r>
      <w:proofErr w:type="spellStart"/>
      <w:r w:rsidRPr="004D7007">
        <w:rPr>
          <w:i/>
          <w:u w:val="double"/>
          <w:lang w:val="en-US" w:eastAsia="ja-JP"/>
        </w:rPr>
        <w:t>Theileria</w:t>
      </w:r>
      <w:proofErr w:type="spellEnd"/>
      <w:r w:rsidRPr="004D7007">
        <w:rPr>
          <w:i/>
          <w:u w:val="double"/>
          <w:lang w:val="en-US" w:eastAsia="ja-JP"/>
        </w:rPr>
        <w:t xml:space="preserve"> </w:t>
      </w:r>
      <w:proofErr w:type="spellStart"/>
      <w:r w:rsidRPr="004D7007">
        <w:rPr>
          <w:i/>
          <w:u w:val="double"/>
          <w:lang w:val="en-US" w:eastAsia="ja-JP"/>
        </w:rPr>
        <w:t>haneyi</w:t>
      </w:r>
      <w:proofErr w:type="spellEnd"/>
      <w:r w:rsidRPr="004D7007">
        <w:rPr>
          <w:u w:val="double"/>
          <w:lang w:val="en-US" w:eastAsia="ja-JP"/>
        </w:rPr>
        <w:t xml:space="preserve"> n. sp., infective to equids, highlights exceptional genomic diversity within the genus </w:t>
      </w:r>
      <w:proofErr w:type="spellStart"/>
      <w:r w:rsidRPr="004D7007">
        <w:rPr>
          <w:i/>
          <w:u w:val="double"/>
          <w:lang w:val="en-US" w:eastAsia="ja-JP"/>
        </w:rPr>
        <w:t>Theileria</w:t>
      </w:r>
      <w:proofErr w:type="spellEnd"/>
      <w:r w:rsidRPr="00E903F8">
        <w:rPr>
          <w:i/>
          <w:u w:val="double"/>
          <w:lang w:val="en-US" w:eastAsia="ja-JP"/>
        </w:rPr>
        <w:t>:</w:t>
      </w:r>
      <w:r w:rsidRPr="004D7007">
        <w:rPr>
          <w:u w:val="double"/>
          <w:lang w:val="en-US" w:eastAsia="ja-JP"/>
        </w:rPr>
        <w:t xml:space="preserve"> implications for apicomplexan parasite surveillance. </w:t>
      </w:r>
      <w:r w:rsidRPr="004D7007">
        <w:rPr>
          <w:i/>
          <w:u w:val="double"/>
          <w:lang w:val="en-US" w:eastAsia="ja-JP"/>
        </w:rPr>
        <w:t>Int</w:t>
      </w:r>
      <w:r w:rsidRPr="004D7007">
        <w:rPr>
          <w:u w:val="double"/>
          <w:lang w:val="en-US" w:eastAsia="ja-JP"/>
        </w:rPr>
        <w:t xml:space="preserve">. </w:t>
      </w:r>
      <w:r w:rsidRPr="004D7007">
        <w:rPr>
          <w:i/>
          <w:u w:val="double"/>
          <w:lang w:val="en-US" w:eastAsia="ja-JP"/>
        </w:rPr>
        <w:t>J</w:t>
      </w:r>
      <w:r w:rsidRPr="004D7007">
        <w:rPr>
          <w:u w:val="double"/>
          <w:lang w:val="en-US" w:eastAsia="ja-JP"/>
        </w:rPr>
        <w:t xml:space="preserve">. </w:t>
      </w:r>
      <w:proofErr w:type="spellStart"/>
      <w:r w:rsidRPr="004D7007">
        <w:rPr>
          <w:i/>
          <w:u w:val="double"/>
          <w:lang w:val="en-US" w:eastAsia="ja-JP"/>
        </w:rPr>
        <w:t>Parasitol</w:t>
      </w:r>
      <w:proofErr w:type="spellEnd"/>
      <w:r w:rsidRPr="004D7007">
        <w:rPr>
          <w:u w:val="double"/>
          <w:lang w:val="en-US" w:eastAsia="ja-JP"/>
        </w:rPr>
        <w:t xml:space="preserve">., </w:t>
      </w:r>
      <w:r w:rsidRPr="004D7007">
        <w:rPr>
          <w:b/>
          <w:u w:val="double"/>
          <w:lang w:val="en-US" w:eastAsia="ja-JP"/>
        </w:rPr>
        <w:t>48</w:t>
      </w:r>
      <w:r w:rsidRPr="004D7007">
        <w:rPr>
          <w:u w:val="double"/>
          <w:lang w:val="en-US" w:eastAsia="ja-JP"/>
        </w:rPr>
        <w:t>, 679–690.</w:t>
      </w:r>
    </w:p>
    <w:p w14:paraId="663E0C16" w14:textId="77777777" w:rsidR="00FC674A" w:rsidRPr="006E3F3A" w:rsidRDefault="00FC674A" w:rsidP="00291CD5">
      <w:pPr>
        <w:pStyle w:val="Ref"/>
        <w:rPr>
          <w:lang w:val="en-IE"/>
        </w:rPr>
      </w:pPr>
      <w:r w:rsidRPr="006E3F3A">
        <w:rPr>
          <w:smallCaps/>
          <w:lang w:val="en-IE"/>
        </w:rPr>
        <w:lastRenderedPageBreak/>
        <w:t xml:space="preserve">Knowles D.P. </w:t>
      </w:r>
      <w:proofErr w:type="spellStart"/>
      <w:r w:rsidRPr="006E3F3A">
        <w:rPr>
          <w:smallCaps/>
          <w:lang w:val="en-IE"/>
        </w:rPr>
        <w:t>Kappmeyer</w:t>
      </w:r>
      <w:proofErr w:type="spellEnd"/>
      <w:r w:rsidRPr="006E3F3A">
        <w:rPr>
          <w:smallCaps/>
          <w:lang w:val="en-IE"/>
        </w:rPr>
        <w:t>, L.S. &amp; Perryman L.E. (1997). G</w:t>
      </w:r>
      <w:r w:rsidRPr="006E3F3A">
        <w:rPr>
          <w:lang w:val="en-IE"/>
        </w:rPr>
        <w:t xml:space="preserve">enetic and biochemical analysis of erythrocyte-stage surface antigens belonging to a family of highly conserved proteins of </w:t>
      </w:r>
      <w:r w:rsidRPr="006E3F3A">
        <w:rPr>
          <w:i/>
          <w:lang w:val="en-IE"/>
        </w:rPr>
        <w:t xml:space="preserve">Babesia </w:t>
      </w:r>
      <w:proofErr w:type="spellStart"/>
      <w:r w:rsidRPr="006E3F3A">
        <w:rPr>
          <w:i/>
          <w:lang w:val="en-IE"/>
        </w:rPr>
        <w:t>equi</w:t>
      </w:r>
      <w:proofErr w:type="spellEnd"/>
      <w:r w:rsidRPr="006E3F3A">
        <w:rPr>
          <w:lang w:val="en-IE"/>
        </w:rPr>
        <w:t xml:space="preserve"> and </w:t>
      </w:r>
      <w:proofErr w:type="spellStart"/>
      <w:r w:rsidRPr="006E3F3A">
        <w:rPr>
          <w:i/>
          <w:lang w:val="en-IE"/>
        </w:rPr>
        <w:t>Theileria</w:t>
      </w:r>
      <w:proofErr w:type="spellEnd"/>
      <w:r w:rsidRPr="006E3F3A">
        <w:rPr>
          <w:lang w:val="en-IE"/>
        </w:rPr>
        <w:t xml:space="preserve"> species. </w:t>
      </w:r>
      <w:r w:rsidRPr="006E3F3A">
        <w:rPr>
          <w:i/>
          <w:iCs/>
          <w:lang w:val="en-IE"/>
        </w:rPr>
        <w:t xml:space="preserve">Mol. </w:t>
      </w:r>
      <w:proofErr w:type="spellStart"/>
      <w:r w:rsidRPr="006E3F3A">
        <w:rPr>
          <w:i/>
          <w:iCs/>
          <w:lang w:val="en-IE"/>
        </w:rPr>
        <w:t>Biochem</w:t>
      </w:r>
      <w:proofErr w:type="spellEnd"/>
      <w:r w:rsidRPr="006E3F3A">
        <w:rPr>
          <w:i/>
          <w:iCs/>
          <w:lang w:val="en-IE"/>
        </w:rPr>
        <w:t xml:space="preserve">. </w:t>
      </w:r>
      <w:proofErr w:type="spellStart"/>
      <w:r w:rsidRPr="006E3F3A">
        <w:rPr>
          <w:i/>
          <w:iCs/>
          <w:lang w:val="en-IE"/>
        </w:rPr>
        <w:t>Parasitol</w:t>
      </w:r>
      <w:proofErr w:type="spellEnd"/>
      <w:r w:rsidRPr="006E3F3A">
        <w:rPr>
          <w:lang w:val="en-IE"/>
        </w:rPr>
        <w:t xml:space="preserve">., </w:t>
      </w:r>
      <w:r w:rsidRPr="006E3F3A">
        <w:rPr>
          <w:b/>
          <w:lang w:val="en-IE"/>
        </w:rPr>
        <w:t>90</w:t>
      </w:r>
      <w:r w:rsidRPr="006E3F3A">
        <w:rPr>
          <w:lang w:val="en-IE"/>
        </w:rPr>
        <w:t>, 69–79.</w:t>
      </w:r>
    </w:p>
    <w:p w14:paraId="663E0C17" w14:textId="77777777" w:rsidR="00FC674A" w:rsidRPr="006E3F3A" w:rsidRDefault="00FC674A" w:rsidP="00291CD5">
      <w:pPr>
        <w:pStyle w:val="Ref"/>
        <w:rPr>
          <w:color w:val="000000" w:themeColor="text1"/>
          <w:lang w:val="en-IE"/>
        </w:rPr>
      </w:pPr>
      <w:r w:rsidRPr="006E3F3A">
        <w:rPr>
          <w:smallCaps/>
          <w:color w:val="000000" w:themeColor="text1"/>
          <w:lang w:val="en-IE"/>
        </w:rPr>
        <w:t xml:space="preserve">Knowles D.P., </w:t>
      </w:r>
      <w:proofErr w:type="spellStart"/>
      <w:r w:rsidRPr="006E3F3A">
        <w:rPr>
          <w:smallCaps/>
          <w:color w:val="000000" w:themeColor="text1"/>
          <w:lang w:val="en-IE"/>
        </w:rPr>
        <w:t>Kappmeyer</w:t>
      </w:r>
      <w:proofErr w:type="spellEnd"/>
      <w:r w:rsidRPr="006E3F3A">
        <w:rPr>
          <w:smallCaps/>
          <w:color w:val="000000" w:themeColor="text1"/>
          <w:lang w:val="en-IE"/>
        </w:rPr>
        <w:t xml:space="preserve">, L.S., Stiller D., </w:t>
      </w:r>
      <w:proofErr w:type="spellStart"/>
      <w:r w:rsidRPr="006E3F3A">
        <w:rPr>
          <w:smallCaps/>
          <w:color w:val="000000" w:themeColor="text1"/>
          <w:lang w:val="en-IE"/>
        </w:rPr>
        <w:t>Hennager</w:t>
      </w:r>
      <w:proofErr w:type="spellEnd"/>
      <w:r w:rsidRPr="006E3F3A">
        <w:rPr>
          <w:smallCaps/>
          <w:color w:val="000000" w:themeColor="text1"/>
          <w:lang w:val="en-IE"/>
        </w:rPr>
        <w:t xml:space="preserve"> S.G. &amp; Perryman L.E.</w:t>
      </w:r>
      <w:r w:rsidRPr="006E3F3A">
        <w:rPr>
          <w:color w:val="000000" w:themeColor="text1"/>
          <w:lang w:val="en-IE"/>
        </w:rPr>
        <w:t xml:space="preserve"> (1992). Antibody to a recombinant merozoite protein epitope identifies horses infected with </w:t>
      </w:r>
      <w:r w:rsidRPr="006E3F3A">
        <w:rPr>
          <w:i/>
          <w:color w:val="000000" w:themeColor="text1"/>
          <w:lang w:val="en-IE"/>
        </w:rPr>
        <w:t xml:space="preserve">Babesia </w:t>
      </w:r>
      <w:proofErr w:type="spellStart"/>
      <w:r w:rsidRPr="006E3F3A">
        <w:rPr>
          <w:i/>
          <w:color w:val="000000" w:themeColor="text1"/>
          <w:lang w:val="en-IE"/>
        </w:rPr>
        <w:t>equi</w:t>
      </w:r>
      <w:proofErr w:type="spellEnd"/>
      <w:r w:rsidRPr="006E3F3A">
        <w:rPr>
          <w:color w:val="000000" w:themeColor="text1"/>
          <w:lang w:val="en-IE"/>
        </w:rPr>
        <w:t xml:space="preserve">. </w:t>
      </w:r>
      <w:r w:rsidRPr="006E3F3A">
        <w:rPr>
          <w:i/>
          <w:color w:val="000000" w:themeColor="text1"/>
          <w:lang w:val="en-IE"/>
        </w:rPr>
        <w:t xml:space="preserve">J. Clin. </w:t>
      </w:r>
      <w:proofErr w:type="spellStart"/>
      <w:r w:rsidRPr="006E3F3A">
        <w:rPr>
          <w:i/>
          <w:color w:val="000000" w:themeColor="text1"/>
          <w:lang w:val="en-IE"/>
        </w:rPr>
        <w:t>Microbiol</w:t>
      </w:r>
      <w:proofErr w:type="spellEnd"/>
      <w:r w:rsidRPr="006E3F3A">
        <w:rPr>
          <w:i/>
          <w:color w:val="000000" w:themeColor="text1"/>
          <w:lang w:val="en-IE"/>
        </w:rPr>
        <w:t>.</w:t>
      </w:r>
      <w:r w:rsidRPr="006E3F3A">
        <w:rPr>
          <w:color w:val="000000" w:themeColor="text1"/>
          <w:lang w:val="en-IE"/>
        </w:rPr>
        <w:t xml:space="preserve">, </w:t>
      </w:r>
      <w:r w:rsidRPr="006E3F3A">
        <w:rPr>
          <w:b/>
          <w:color w:val="000000" w:themeColor="text1"/>
          <w:lang w:val="en-IE"/>
        </w:rPr>
        <w:t>30</w:t>
      </w:r>
      <w:r w:rsidRPr="006E3F3A">
        <w:rPr>
          <w:color w:val="000000" w:themeColor="text1"/>
          <w:lang w:val="en-IE"/>
        </w:rPr>
        <w:t>, 3122–3126</w:t>
      </w:r>
      <w:r w:rsidRPr="006E3F3A">
        <w:rPr>
          <w:i/>
          <w:color w:val="000000" w:themeColor="text1"/>
          <w:lang w:val="en-IE"/>
        </w:rPr>
        <w:t>.</w:t>
      </w:r>
    </w:p>
    <w:p w14:paraId="663E0C18" w14:textId="77777777" w:rsidR="00FC674A" w:rsidRPr="006E3F3A" w:rsidRDefault="00FC674A" w:rsidP="00291CD5">
      <w:pPr>
        <w:pStyle w:val="Ref"/>
        <w:rPr>
          <w:color w:val="000000" w:themeColor="text1"/>
          <w:lang w:val="en-IE"/>
        </w:rPr>
      </w:pPr>
      <w:r w:rsidRPr="006E3F3A">
        <w:rPr>
          <w:smallCaps/>
          <w:color w:val="000000" w:themeColor="text1"/>
          <w:lang w:val="en-IE"/>
        </w:rPr>
        <w:t xml:space="preserve">Knowles D.P., Perryman L.E. &amp; </w:t>
      </w:r>
      <w:proofErr w:type="spellStart"/>
      <w:r w:rsidRPr="006E3F3A">
        <w:rPr>
          <w:smallCaps/>
          <w:color w:val="000000" w:themeColor="text1"/>
          <w:lang w:val="en-IE"/>
        </w:rPr>
        <w:t>Kappmeyer</w:t>
      </w:r>
      <w:proofErr w:type="spellEnd"/>
      <w:r w:rsidRPr="006E3F3A">
        <w:rPr>
          <w:smallCaps/>
          <w:color w:val="000000" w:themeColor="text1"/>
          <w:lang w:val="en-IE"/>
        </w:rPr>
        <w:t xml:space="preserve"> L.S.</w:t>
      </w:r>
      <w:r w:rsidRPr="006E3F3A">
        <w:rPr>
          <w:color w:val="000000" w:themeColor="text1"/>
          <w:lang w:val="en-IE"/>
        </w:rPr>
        <w:t xml:space="preserve"> (1991). Detection of equine antibody to </w:t>
      </w:r>
      <w:r w:rsidRPr="006E3F3A">
        <w:rPr>
          <w:i/>
          <w:color w:val="000000" w:themeColor="text1"/>
          <w:lang w:val="en-IE"/>
        </w:rPr>
        <w:t xml:space="preserve">Babesia </w:t>
      </w:r>
      <w:proofErr w:type="spellStart"/>
      <w:r w:rsidRPr="006E3F3A">
        <w:rPr>
          <w:i/>
          <w:color w:val="000000" w:themeColor="text1"/>
          <w:lang w:val="en-IE"/>
        </w:rPr>
        <w:t>equi</w:t>
      </w:r>
      <w:proofErr w:type="spellEnd"/>
      <w:r w:rsidRPr="006E3F3A">
        <w:rPr>
          <w:i/>
          <w:color w:val="000000" w:themeColor="text1"/>
          <w:lang w:val="en-IE"/>
        </w:rPr>
        <w:t xml:space="preserve"> </w:t>
      </w:r>
      <w:r w:rsidRPr="006E3F3A">
        <w:rPr>
          <w:color w:val="000000" w:themeColor="text1"/>
          <w:lang w:val="en-IE"/>
        </w:rPr>
        <w:t xml:space="preserve">merozoite proteins by a monoclonal antibody-based competitive inhibition enzyme-linked immunosorbent assay. </w:t>
      </w:r>
      <w:r w:rsidRPr="006E3F3A">
        <w:rPr>
          <w:i/>
          <w:color w:val="000000" w:themeColor="text1"/>
          <w:lang w:val="en-IE"/>
        </w:rPr>
        <w:t xml:space="preserve">J. Clin. </w:t>
      </w:r>
      <w:proofErr w:type="spellStart"/>
      <w:r w:rsidRPr="006E3F3A">
        <w:rPr>
          <w:i/>
          <w:color w:val="000000" w:themeColor="text1"/>
          <w:lang w:val="en-IE"/>
        </w:rPr>
        <w:t>Microbiol</w:t>
      </w:r>
      <w:proofErr w:type="spellEnd"/>
      <w:r w:rsidRPr="006E3F3A">
        <w:rPr>
          <w:i/>
          <w:color w:val="000000" w:themeColor="text1"/>
          <w:lang w:val="en-IE"/>
        </w:rPr>
        <w:t>.</w:t>
      </w:r>
      <w:r w:rsidRPr="006E3F3A">
        <w:rPr>
          <w:color w:val="000000" w:themeColor="text1"/>
          <w:lang w:val="en-IE"/>
        </w:rPr>
        <w:t xml:space="preserve">, </w:t>
      </w:r>
      <w:r w:rsidRPr="006E3F3A">
        <w:rPr>
          <w:b/>
          <w:color w:val="000000" w:themeColor="text1"/>
          <w:lang w:val="en-IE"/>
        </w:rPr>
        <w:t>29</w:t>
      </w:r>
      <w:r w:rsidRPr="006E3F3A">
        <w:rPr>
          <w:color w:val="000000" w:themeColor="text1"/>
          <w:lang w:val="en-IE"/>
        </w:rPr>
        <w:t>, 2056–2058.</w:t>
      </w:r>
    </w:p>
    <w:p w14:paraId="30AB4A76" w14:textId="73DA65E2" w:rsidR="00320F4A" w:rsidRPr="00676A46" w:rsidRDefault="00320F4A" w:rsidP="00AD7947">
      <w:pPr>
        <w:pStyle w:val="Ref"/>
        <w:rPr>
          <w:u w:val="double"/>
        </w:rPr>
      </w:pPr>
      <w:r w:rsidRPr="00676A46">
        <w:rPr>
          <w:iCs/>
          <w:smallCaps/>
          <w:color w:val="000000"/>
          <w:highlight w:val="yellow"/>
          <w:u w:val="double"/>
        </w:rPr>
        <w:t>Kumar</w:t>
      </w:r>
      <w:r w:rsidR="00676A46" w:rsidRPr="00676A46">
        <w:rPr>
          <w:iCs/>
          <w:smallCaps/>
          <w:color w:val="000000"/>
          <w:highlight w:val="yellow"/>
          <w:u w:val="double"/>
        </w:rPr>
        <w:t xml:space="preserve"> </w:t>
      </w:r>
      <w:r w:rsidRPr="00676A46">
        <w:rPr>
          <w:iCs/>
          <w:smallCaps/>
          <w:color w:val="000000"/>
          <w:highlight w:val="yellow"/>
          <w:u w:val="double"/>
        </w:rPr>
        <w:t>S</w:t>
      </w:r>
      <w:r w:rsidR="00676A46" w:rsidRPr="00676A46">
        <w:rPr>
          <w:iCs/>
          <w:smallCaps/>
          <w:color w:val="000000"/>
          <w:highlight w:val="yellow"/>
          <w:u w:val="double"/>
        </w:rPr>
        <w:t>.</w:t>
      </w:r>
      <w:r w:rsidRPr="00676A46">
        <w:rPr>
          <w:iCs/>
          <w:smallCaps/>
          <w:color w:val="000000"/>
          <w:highlight w:val="yellow"/>
          <w:u w:val="double"/>
        </w:rPr>
        <w:t>,</w:t>
      </w:r>
      <w:r w:rsidR="00676A46" w:rsidRPr="00676A46">
        <w:rPr>
          <w:iCs/>
          <w:smallCaps/>
          <w:color w:val="000000"/>
          <w:highlight w:val="yellow"/>
          <w:u w:val="double"/>
        </w:rPr>
        <w:t xml:space="preserve"> </w:t>
      </w:r>
      <w:r w:rsidRPr="00676A46">
        <w:rPr>
          <w:iCs/>
          <w:smallCaps/>
          <w:color w:val="000000"/>
          <w:highlight w:val="yellow"/>
          <w:u w:val="double"/>
        </w:rPr>
        <w:t>Kumar</w:t>
      </w:r>
      <w:r w:rsidR="00676A46" w:rsidRPr="00676A46">
        <w:rPr>
          <w:iCs/>
          <w:smallCaps/>
          <w:color w:val="000000"/>
          <w:highlight w:val="yellow"/>
          <w:u w:val="double"/>
        </w:rPr>
        <w:t xml:space="preserve"> </w:t>
      </w:r>
      <w:r w:rsidRPr="00676A46">
        <w:rPr>
          <w:iCs/>
          <w:smallCaps/>
          <w:color w:val="000000"/>
          <w:highlight w:val="yellow"/>
          <w:u w:val="double"/>
        </w:rPr>
        <w:t>R</w:t>
      </w:r>
      <w:r w:rsidR="00676A46" w:rsidRPr="00676A46">
        <w:rPr>
          <w:iCs/>
          <w:smallCaps/>
          <w:color w:val="000000"/>
          <w:highlight w:val="yellow"/>
          <w:u w:val="double"/>
        </w:rPr>
        <w:t>.</w:t>
      </w:r>
      <w:r w:rsidRPr="00676A46">
        <w:rPr>
          <w:iCs/>
          <w:smallCaps/>
          <w:color w:val="000000"/>
          <w:highlight w:val="yellow"/>
          <w:u w:val="double"/>
        </w:rPr>
        <w:t>, Gupta A</w:t>
      </w:r>
      <w:r w:rsidR="00676A46" w:rsidRPr="00676A46">
        <w:rPr>
          <w:iCs/>
          <w:smallCaps/>
          <w:color w:val="000000"/>
          <w:highlight w:val="yellow"/>
          <w:u w:val="double"/>
        </w:rPr>
        <w:t>.</w:t>
      </w:r>
      <w:r w:rsidRPr="00676A46">
        <w:rPr>
          <w:iCs/>
          <w:smallCaps/>
          <w:color w:val="000000"/>
          <w:highlight w:val="yellow"/>
          <w:u w:val="double"/>
        </w:rPr>
        <w:t>K</w:t>
      </w:r>
      <w:r w:rsidR="00676A46" w:rsidRPr="00676A46">
        <w:rPr>
          <w:iCs/>
          <w:smallCaps/>
          <w:color w:val="000000"/>
          <w:highlight w:val="yellow"/>
          <w:u w:val="double"/>
        </w:rPr>
        <w:t>.</w:t>
      </w:r>
      <w:r w:rsidRPr="00676A46">
        <w:rPr>
          <w:iCs/>
          <w:smallCaps/>
          <w:color w:val="000000"/>
          <w:highlight w:val="yellow"/>
          <w:u w:val="double"/>
        </w:rPr>
        <w:t>, Yadav S</w:t>
      </w:r>
      <w:r w:rsidR="00676A46" w:rsidRPr="00676A46">
        <w:rPr>
          <w:iCs/>
          <w:smallCaps/>
          <w:color w:val="000000"/>
          <w:highlight w:val="yellow"/>
          <w:u w:val="double"/>
        </w:rPr>
        <w:t>.</w:t>
      </w:r>
      <w:r w:rsidRPr="00676A46">
        <w:rPr>
          <w:iCs/>
          <w:smallCaps/>
          <w:color w:val="000000"/>
          <w:highlight w:val="yellow"/>
          <w:u w:val="double"/>
        </w:rPr>
        <w:t>C</w:t>
      </w:r>
      <w:r w:rsidR="00676A46" w:rsidRPr="00676A46">
        <w:rPr>
          <w:iCs/>
          <w:smallCaps/>
          <w:color w:val="000000"/>
          <w:highlight w:val="yellow"/>
          <w:u w:val="double"/>
        </w:rPr>
        <w:t>.</w:t>
      </w:r>
      <w:r w:rsidRPr="00676A46">
        <w:rPr>
          <w:iCs/>
          <w:smallCaps/>
          <w:color w:val="000000"/>
          <w:highlight w:val="yellow"/>
          <w:u w:val="double"/>
        </w:rPr>
        <w:t>, Goyal S</w:t>
      </w:r>
      <w:r w:rsidR="00676A46" w:rsidRPr="00676A46">
        <w:rPr>
          <w:iCs/>
          <w:smallCaps/>
          <w:color w:val="000000"/>
          <w:highlight w:val="yellow"/>
          <w:u w:val="double"/>
        </w:rPr>
        <w:t>.</w:t>
      </w:r>
      <w:r w:rsidRPr="00676A46">
        <w:rPr>
          <w:iCs/>
          <w:smallCaps/>
          <w:color w:val="000000"/>
          <w:highlight w:val="yellow"/>
          <w:u w:val="double"/>
        </w:rPr>
        <w:t>K</w:t>
      </w:r>
      <w:r w:rsidR="00676A46" w:rsidRPr="00676A46">
        <w:rPr>
          <w:iCs/>
          <w:smallCaps/>
          <w:color w:val="000000"/>
          <w:highlight w:val="yellow"/>
          <w:u w:val="double"/>
        </w:rPr>
        <w:t>.</w:t>
      </w:r>
      <w:r w:rsidRPr="00676A46">
        <w:rPr>
          <w:iCs/>
          <w:smallCaps/>
          <w:color w:val="000000"/>
          <w:highlight w:val="yellow"/>
          <w:u w:val="double"/>
        </w:rPr>
        <w:t>, Khurana S</w:t>
      </w:r>
      <w:r w:rsidR="00676A46" w:rsidRPr="00676A46">
        <w:rPr>
          <w:iCs/>
          <w:smallCaps/>
          <w:color w:val="000000"/>
          <w:highlight w:val="yellow"/>
          <w:u w:val="double"/>
        </w:rPr>
        <w:t>.</w:t>
      </w:r>
      <w:r w:rsidRPr="00676A46">
        <w:rPr>
          <w:iCs/>
          <w:smallCaps/>
          <w:color w:val="000000"/>
          <w:highlight w:val="yellow"/>
          <w:u w:val="double"/>
        </w:rPr>
        <w:t>K</w:t>
      </w:r>
      <w:r w:rsidR="00676A46" w:rsidRPr="00676A46">
        <w:rPr>
          <w:iCs/>
          <w:smallCaps/>
          <w:color w:val="000000"/>
          <w:highlight w:val="yellow"/>
          <w:u w:val="double"/>
        </w:rPr>
        <w:t>. &amp;</w:t>
      </w:r>
      <w:r w:rsidRPr="00676A46">
        <w:rPr>
          <w:iCs/>
          <w:smallCaps/>
          <w:color w:val="000000"/>
          <w:highlight w:val="yellow"/>
          <w:u w:val="double"/>
        </w:rPr>
        <w:t xml:space="preserve"> Singh R</w:t>
      </w:r>
      <w:r w:rsidR="00676A46" w:rsidRPr="00676A46">
        <w:rPr>
          <w:iCs/>
          <w:smallCaps/>
          <w:color w:val="000000"/>
          <w:highlight w:val="yellow"/>
          <w:u w:val="double"/>
        </w:rPr>
        <w:t>.</w:t>
      </w:r>
      <w:r w:rsidRPr="00676A46">
        <w:rPr>
          <w:iCs/>
          <w:smallCaps/>
          <w:color w:val="000000"/>
          <w:highlight w:val="yellow"/>
          <w:u w:val="double"/>
        </w:rPr>
        <w:t>K.</w:t>
      </w:r>
      <w:r w:rsidR="00765656" w:rsidRPr="00676A46">
        <w:rPr>
          <w:iCs/>
          <w:color w:val="000000"/>
          <w:highlight w:val="yellow"/>
          <w:u w:val="double"/>
        </w:rPr>
        <w:t xml:space="preserve"> (</w:t>
      </w:r>
      <w:r w:rsidRPr="00676A46">
        <w:rPr>
          <w:iCs/>
          <w:color w:val="000000"/>
          <w:highlight w:val="yellow"/>
          <w:u w:val="double"/>
        </w:rPr>
        <w:t>2013</w:t>
      </w:r>
      <w:r w:rsidR="00765656" w:rsidRPr="00676A46">
        <w:rPr>
          <w:iCs/>
          <w:color w:val="000000"/>
          <w:highlight w:val="yellow"/>
          <w:u w:val="double"/>
        </w:rPr>
        <w:t>)</w:t>
      </w:r>
      <w:r w:rsidRPr="00676A46">
        <w:rPr>
          <w:iCs/>
          <w:color w:val="000000"/>
          <w:highlight w:val="yellow"/>
          <w:u w:val="double"/>
        </w:rPr>
        <w:t>.</w:t>
      </w:r>
      <w:r w:rsidRPr="00676A46">
        <w:rPr>
          <w:color w:val="000000"/>
          <w:highlight w:val="yellow"/>
          <w:u w:val="double"/>
        </w:rPr>
        <w:t xml:space="preserve"> </w:t>
      </w:r>
      <w:r w:rsidRPr="00676A46">
        <w:rPr>
          <w:highlight w:val="yellow"/>
          <w:u w:val="double"/>
          <w:shd w:val="clear" w:color="auto" w:fill="FFFFFF"/>
        </w:rPr>
        <w:t>Development of EMA-2 recombinant antigen</w:t>
      </w:r>
      <w:r w:rsidR="00676A46" w:rsidRPr="00676A46">
        <w:rPr>
          <w:highlight w:val="yellow"/>
          <w:u w:val="double"/>
          <w:shd w:val="clear" w:color="auto" w:fill="FFFFFF"/>
        </w:rPr>
        <w:t>-</w:t>
      </w:r>
      <w:r w:rsidRPr="00676A46">
        <w:rPr>
          <w:highlight w:val="yellow"/>
          <w:u w:val="double"/>
          <w:shd w:val="clear" w:color="auto" w:fill="FFFFFF"/>
        </w:rPr>
        <w:t>based enzyme-linked immunosorbent assay for seroprevalence studies of</w:t>
      </w:r>
      <w:r w:rsidR="00676A46">
        <w:rPr>
          <w:highlight w:val="yellow"/>
          <w:u w:val="double"/>
          <w:shd w:val="clear" w:color="auto" w:fill="FFFFFF"/>
        </w:rPr>
        <w:t xml:space="preserve"> </w:t>
      </w:r>
      <w:proofErr w:type="spellStart"/>
      <w:r w:rsidRPr="00676A46">
        <w:rPr>
          <w:bCs/>
          <w:i/>
          <w:highlight w:val="yellow"/>
          <w:u w:val="double"/>
          <w:shd w:val="clear" w:color="auto" w:fill="FFFFFF"/>
        </w:rPr>
        <w:t>Theileria</w:t>
      </w:r>
      <w:proofErr w:type="spellEnd"/>
      <w:r w:rsidR="00676A46">
        <w:rPr>
          <w:i/>
          <w:highlight w:val="yellow"/>
          <w:u w:val="double"/>
          <w:shd w:val="clear" w:color="auto" w:fill="FFFFFF"/>
        </w:rPr>
        <w:t xml:space="preserve"> </w:t>
      </w:r>
      <w:proofErr w:type="spellStart"/>
      <w:r w:rsidRPr="00676A46">
        <w:rPr>
          <w:bCs/>
          <w:i/>
          <w:highlight w:val="yellow"/>
          <w:u w:val="double"/>
          <w:shd w:val="clear" w:color="auto" w:fill="FFFFFF"/>
        </w:rPr>
        <w:t>equi</w:t>
      </w:r>
      <w:proofErr w:type="spellEnd"/>
      <w:r w:rsidR="00676A46">
        <w:rPr>
          <w:highlight w:val="yellow"/>
          <w:u w:val="double"/>
          <w:shd w:val="clear" w:color="auto" w:fill="FFFFFF"/>
        </w:rPr>
        <w:t xml:space="preserve"> </w:t>
      </w:r>
      <w:r w:rsidRPr="00676A46">
        <w:rPr>
          <w:highlight w:val="yellow"/>
          <w:u w:val="double"/>
          <w:shd w:val="clear" w:color="auto" w:fill="FFFFFF"/>
        </w:rPr>
        <w:t>infection in Indian equine population.</w:t>
      </w:r>
      <w:r w:rsidRPr="00676A46">
        <w:rPr>
          <w:rStyle w:val="jrnl"/>
          <w:color w:val="000000"/>
          <w:highlight w:val="yellow"/>
          <w:u w:val="double"/>
        </w:rPr>
        <w:t xml:space="preserve"> </w:t>
      </w:r>
      <w:r w:rsidRPr="005D7713">
        <w:rPr>
          <w:rStyle w:val="jrnl"/>
          <w:i/>
          <w:iCs/>
          <w:color w:val="000000"/>
          <w:highlight w:val="yellow"/>
          <w:u w:val="double"/>
        </w:rPr>
        <w:t>Vet</w:t>
      </w:r>
      <w:r w:rsidR="00676A46" w:rsidRPr="005D7713">
        <w:rPr>
          <w:rStyle w:val="jrnl"/>
          <w:i/>
          <w:iCs/>
          <w:color w:val="000000"/>
          <w:highlight w:val="yellow"/>
          <w:u w:val="double"/>
        </w:rPr>
        <w:t>.</w:t>
      </w:r>
      <w:r w:rsidRPr="005D7713">
        <w:rPr>
          <w:rStyle w:val="jrnl"/>
          <w:i/>
          <w:iCs/>
          <w:color w:val="000000"/>
          <w:highlight w:val="yellow"/>
          <w:u w:val="double"/>
        </w:rPr>
        <w:t xml:space="preserve"> </w:t>
      </w:r>
      <w:proofErr w:type="spellStart"/>
      <w:r w:rsidRPr="005D7713">
        <w:rPr>
          <w:rStyle w:val="jrnl"/>
          <w:i/>
          <w:iCs/>
          <w:color w:val="000000"/>
          <w:highlight w:val="yellow"/>
          <w:u w:val="double"/>
        </w:rPr>
        <w:t>Parasitol</w:t>
      </w:r>
      <w:proofErr w:type="spellEnd"/>
      <w:r w:rsidRPr="005D7713">
        <w:rPr>
          <w:rStyle w:val="jrnl"/>
          <w:i/>
          <w:iCs/>
          <w:color w:val="000000"/>
          <w:highlight w:val="yellow"/>
          <w:u w:val="double"/>
        </w:rPr>
        <w:t>,</w:t>
      </w:r>
      <w:r w:rsidR="00676A46" w:rsidRPr="005D7713">
        <w:rPr>
          <w:rStyle w:val="jrnl"/>
          <w:i/>
          <w:iCs/>
          <w:color w:val="000000"/>
          <w:highlight w:val="yellow"/>
          <w:u w:val="double"/>
        </w:rPr>
        <w:t>,</w:t>
      </w:r>
      <w:r w:rsidRPr="00676A46">
        <w:rPr>
          <w:rStyle w:val="jrnl"/>
          <w:color w:val="000000"/>
          <w:highlight w:val="yellow"/>
          <w:u w:val="double"/>
        </w:rPr>
        <w:t xml:space="preserve"> </w:t>
      </w:r>
      <w:r w:rsidRPr="00676A46">
        <w:rPr>
          <w:b/>
          <w:bCs/>
          <w:color w:val="000000"/>
          <w:highlight w:val="yellow"/>
          <w:u w:val="double"/>
        </w:rPr>
        <w:t>198</w:t>
      </w:r>
      <w:r w:rsidR="00676A46">
        <w:rPr>
          <w:color w:val="000000"/>
          <w:highlight w:val="yellow"/>
          <w:u w:val="double"/>
        </w:rPr>
        <w:t xml:space="preserve">, </w:t>
      </w:r>
      <w:r w:rsidRPr="00676A46">
        <w:rPr>
          <w:color w:val="000000"/>
          <w:highlight w:val="yellow"/>
          <w:u w:val="double"/>
        </w:rPr>
        <w:t>10</w:t>
      </w:r>
      <w:r w:rsidR="00676A46">
        <w:rPr>
          <w:color w:val="000000"/>
          <w:highlight w:val="yellow"/>
          <w:u w:val="double"/>
        </w:rPr>
        <w:t>–</w:t>
      </w:r>
      <w:r w:rsidRPr="00676A46">
        <w:rPr>
          <w:color w:val="000000"/>
          <w:highlight w:val="yellow"/>
          <w:u w:val="double"/>
        </w:rPr>
        <w:t>17.</w:t>
      </w:r>
    </w:p>
    <w:p w14:paraId="663E0C19" w14:textId="77777777" w:rsidR="00FC674A" w:rsidRPr="006E3F3A" w:rsidRDefault="00FC674A" w:rsidP="00E565F4">
      <w:pPr>
        <w:pStyle w:val="Ref"/>
        <w:rPr>
          <w:lang w:val="en-IE"/>
        </w:rPr>
      </w:pPr>
      <w:r w:rsidRPr="006E3F3A">
        <w:rPr>
          <w:smallCaps/>
          <w:lang w:val="en-IE"/>
        </w:rPr>
        <w:t>Levine N.D.</w:t>
      </w:r>
      <w:r w:rsidRPr="006E3F3A">
        <w:rPr>
          <w:lang w:val="en-IE"/>
        </w:rPr>
        <w:t xml:space="preserve"> (1985). Veterinary protozoology. Iowa State University Press, Ames, Iowa, USA.</w:t>
      </w:r>
    </w:p>
    <w:p w14:paraId="663E0C1A" w14:textId="77777777" w:rsidR="00FC674A" w:rsidRPr="006E3F3A" w:rsidRDefault="00FC674A" w:rsidP="00E565F4">
      <w:pPr>
        <w:pStyle w:val="Ref"/>
        <w:rPr>
          <w:color w:val="000000" w:themeColor="text1"/>
          <w:lang w:val="en-IE"/>
        </w:rPr>
      </w:pPr>
      <w:r w:rsidRPr="006E3F3A">
        <w:rPr>
          <w:smallCaps/>
          <w:color w:val="000000" w:themeColor="text1"/>
          <w:lang w:val="en-IE"/>
        </w:rPr>
        <w:t>Madden P.A. &amp; Holbrook A.A.</w:t>
      </w:r>
      <w:r w:rsidRPr="006E3F3A">
        <w:rPr>
          <w:color w:val="000000" w:themeColor="text1"/>
          <w:lang w:val="en-IE"/>
        </w:rPr>
        <w:t xml:space="preserve"> (1968). Equine piroplasmosis: Indirect fluorescent antibody test for </w:t>
      </w:r>
      <w:r w:rsidRPr="006E3F3A">
        <w:rPr>
          <w:i/>
          <w:color w:val="000000" w:themeColor="text1"/>
          <w:lang w:val="en-IE"/>
        </w:rPr>
        <w:t xml:space="preserve">Babesia </w:t>
      </w:r>
      <w:proofErr w:type="spellStart"/>
      <w:r w:rsidRPr="006E3F3A">
        <w:rPr>
          <w:i/>
          <w:color w:val="000000" w:themeColor="text1"/>
          <w:lang w:val="en-IE"/>
        </w:rPr>
        <w:t>caballi</w:t>
      </w:r>
      <w:proofErr w:type="spellEnd"/>
      <w:r w:rsidRPr="006E3F3A">
        <w:rPr>
          <w:i/>
          <w:color w:val="000000" w:themeColor="text1"/>
          <w:lang w:val="en-IE"/>
        </w:rPr>
        <w:t>. Am. J. Vet. Res</w:t>
      </w:r>
      <w:r w:rsidRPr="006E3F3A">
        <w:rPr>
          <w:color w:val="000000" w:themeColor="text1"/>
          <w:lang w:val="en-IE"/>
        </w:rPr>
        <w:t xml:space="preserve">., </w:t>
      </w:r>
      <w:r w:rsidRPr="006E3F3A">
        <w:rPr>
          <w:b/>
          <w:color w:val="000000" w:themeColor="text1"/>
          <w:lang w:val="en-IE"/>
        </w:rPr>
        <w:t>29</w:t>
      </w:r>
      <w:r w:rsidRPr="006E3F3A">
        <w:rPr>
          <w:color w:val="000000" w:themeColor="text1"/>
          <w:lang w:val="en-IE"/>
        </w:rPr>
        <w:t>, 117–123.</w:t>
      </w:r>
    </w:p>
    <w:p w14:paraId="663E0C1B" w14:textId="77777777" w:rsidR="00FC674A" w:rsidRPr="00AD7947" w:rsidRDefault="00FC674A" w:rsidP="00E565F4">
      <w:pPr>
        <w:pStyle w:val="Ref"/>
        <w:rPr>
          <w:lang w:val="es-ES" w:eastAsia="ja-JP"/>
        </w:rPr>
      </w:pPr>
      <w:proofErr w:type="spellStart"/>
      <w:r w:rsidRPr="006E3F3A">
        <w:rPr>
          <w:smallCaps/>
          <w:lang w:val="en-IE"/>
        </w:rPr>
        <w:t>Me</w:t>
      </w:r>
      <w:r w:rsidR="00F52775">
        <w:rPr>
          <w:smallCaps/>
          <w:lang w:val="en-IE"/>
        </w:rPr>
        <w:t>h</w:t>
      </w:r>
      <w:r w:rsidRPr="006E3F3A">
        <w:rPr>
          <w:smallCaps/>
          <w:lang w:val="en-IE"/>
        </w:rPr>
        <w:t>lhorn</w:t>
      </w:r>
      <w:proofErr w:type="spellEnd"/>
      <w:r w:rsidRPr="006E3F3A">
        <w:rPr>
          <w:smallCaps/>
          <w:lang w:val="en-IE"/>
        </w:rPr>
        <w:t xml:space="preserve"> </w:t>
      </w:r>
      <w:r w:rsidR="00117DBD">
        <w:rPr>
          <w:smallCaps/>
          <w:lang w:val="en-IE"/>
        </w:rPr>
        <w:t>H</w:t>
      </w:r>
      <w:r w:rsidRPr="006E3F3A">
        <w:rPr>
          <w:smallCaps/>
          <w:lang w:val="en-IE"/>
        </w:rPr>
        <w:t xml:space="preserve">. &amp; Schein E. (1998). </w:t>
      </w:r>
      <w:proofErr w:type="spellStart"/>
      <w:r w:rsidRPr="006E3F3A">
        <w:rPr>
          <w:lang w:val="en-IE"/>
        </w:rPr>
        <w:t>Redescription</w:t>
      </w:r>
      <w:proofErr w:type="spellEnd"/>
      <w:r w:rsidRPr="006E3F3A">
        <w:rPr>
          <w:lang w:val="en-IE"/>
        </w:rPr>
        <w:t xml:space="preserve"> of </w:t>
      </w:r>
      <w:r w:rsidRPr="006E3F3A">
        <w:rPr>
          <w:i/>
          <w:lang w:val="en-IE"/>
        </w:rPr>
        <w:t xml:space="preserve">Babesia </w:t>
      </w:r>
      <w:proofErr w:type="spellStart"/>
      <w:r w:rsidRPr="006E3F3A">
        <w:rPr>
          <w:i/>
          <w:lang w:val="en-IE"/>
        </w:rPr>
        <w:t>equi</w:t>
      </w:r>
      <w:proofErr w:type="spellEnd"/>
      <w:r w:rsidRPr="006E3F3A">
        <w:rPr>
          <w:lang w:val="en-IE"/>
        </w:rPr>
        <w:t xml:space="preserve"> Laveran, 1901 as </w:t>
      </w:r>
      <w:proofErr w:type="spellStart"/>
      <w:r w:rsidRPr="006E3F3A">
        <w:rPr>
          <w:i/>
          <w:lang w:val="en-IE"/>
        </w:rPr>
        <w:t>Theileria</w:t>
      </w:r>
      <w:proofErr w:type="spellEnd"/>
      <w:r w:rsidRPr="006E3F3A">
        <w:rPr>
          <w:lang w:val="en-IE"/>
        </w:rPr>
        <w:t xml:space="preserve"> </w:t>
      </w:r>
      <w:proofErr w:type="spellStart"/>
      <w:r w:rsidRPr="006E3F3A">
        <w:rPr>
          <w:i/>
          <w:lang w:val="en-IE"/>
        </w:rPr>
        <w:t>equi</w:t>
      </w:r>
      <w:proofErr w:type="spellEnd"/>
      <w:r w:rsidR="00F52775">
        <w:rPr>
          <w:i/>
          <w:lang w:val="en-IE"/>
        </w:rPr>
        <w:t xml:space="preserve"> </w:t>
      </w:r>
      <w:proofErr w:type="spellStart"/>
      <w:r w:rsidR="00F52775" w:rsidRPr="00F52775">
        <w:rPr>
          <w:lang w:val="en-IE"/>
        </w:rPr>
        <w:t>Mehlhorn</w:t>
      </w:r>
      <w:proofErr w:type="spellEnd"/>
      <w:r w:rsidR="00F52775" w:rsidRPr="00F52775">
        <w:rPr>
          <w:lang w:val="en-IE"/>
        </w:rPr>
        <w:t>, Schein 1998</w:t>
      </w:r>
      <w:r w:rsidRPr="006E3F3A">
        <w:rPr>
          <w:lang w:val="en-IE"/>
        </w:rPr>
        <w:t xml:space="preserve">. </w:t>
      </w:r>
      <w:r w:rsidRPr="00AD7947">
        <w:rPr>
          <w:i/>
          <w:lang w:val="es-ES"/>
        </w:rPr>
        <w:t>Parasitol Res</w:t>
      </w:r>
      <w:r w:rsidRPr="00AD7947">
        <w:rPr>
          <w:lang w:val="es-ES"/>
        </w:rPr>
        <w:t xml:space="preserve">., </w:t>
      </w:r>
      <w:r w:rsidRPr="00AD7947">
        <w:rPr>
          <w:b/>
          <w:lang w:val="es-ES"/>
        </w:rPr>
        <w:t>84</w:t>
      </w:r>
      <w:r w:rsidRPr="00AD7947">
        <w:rPr>
          <w:lang w:val="es-ES"/>
        </w:rPr>
        <w:t>, 467-475.</w:t>
      </w:r>
    </w:p>
    <w:p w14:paraId="09E64350" w14:textId="6EB886DB" w:rsidR="009903BD" w:rsidRPr="00480C54" w:rsidRDefault="009903BD" w:rsidP="00E565F4">
      <w:pPr>
        <w:pStyle w:val="Ref"/>
        <w:rPr>
          <w:u w:val="double"/>
        </w:rPr>
      </w:pPr>
      <w:proofErr w:type="spellStart"/>
      <w:r w:rsidRPr="00480C54">
        <w:rPr>
          <w:smallCaps/>
          <w:highlight w:val="yellow"/>
          <w:u w:val="double"/>
          <w:lang w:val="es-SV"/>
        </w:rPr>
        <w:t>Onyiche</w:t>
      </w:r>
      <w:proofErr w:type="spellEnd"/>
      <w:r w:rsidRPr="00480C54">
        <w:rPr>
          <w:smallCaps/>
          <w:highlight w:val="yellow"/>
          <w:u w:val="double"/>
          <w:lang w:val="es-SV"/>
        </w:rPr>
        <w:t xml:space="preserve"> T.E., </w:t>
      </w:r>
      <w:proofErr w:type="spellStart"/>
      <w:r w:rsidRPr="00480C54">
        <w:rPr>
          <w:smallCaps/>
          <w:highlight w:val="yellow"/>
          <w:u w:val="double"/>
          <w:lang w:val="es-SV"/>
        </w:rPr>
        <w:t>Suganuma</w:t>
      </w:r>
      <w:proofErr w:type="spellEnd"/>
      <w:r w:rsidRPr="00480C54">
        <w:rPr>
          <w:smallCaps/>
          <w:highlight w:val="yellow"/>
          <w:u w:val="double"/>
          <w:lang w:val="es-SV"/>
        </w:rPr>
        <w:t xml:space="preserve"> K., Igarashi I., Yokoyama N., </w:t>
      </w:r>
      <w:proofErr w:type="spellStart"/>
      <w:r w:rsidRPr="00480C54">
        <w:rPr>
          <w:smallCaps/>
          <w:highlight w:val="yellow"/>
          <w:u w:val="double"/>
          <w:lang w:val="es-SV"/>
        </w:rPr>
        <w:t>Xuan</w:t>
      </w:r>
      <w:proofErr w:type="spellEnd"/>
      <w:r w:rsidRPr="00480C54">
        <w:rPr>
          <w:smallCaps/>
          <w:highlight w:val="yellow"/>
          <w:u w:val="double"/>
          <w:lang w:val="es-SV"/>
        </w:rPr>
        <w:t xml:space="preserve"> X. &amp; </w:t>
      </w:r>
      <w:proofErr w:type="spellStart"/>
      <w:r w:rsidRPr="00480C54">
        <w:rPr>
          <w:smallCaps/>
          <w:highlight w:val="yellow"/>
          <w:u w:val="double"/>
          <w:lang w:val="es-SV"/>
        </w:rPr>
        <w:t>Thekisoe</w:t>
      </w:r>
      <w:proofErr w:type="spellEnd"/>
      <w:r w:rsidRPr="00480C54">
        <w:rPr>
          <w:smallCaps/>
          <w:highlight w:val="yellow"/>
          <w:u w:val="double"/>
          <w:lang w:val="es-SV"/>
        </w:rPr>
        <w:t xml:space="preserve"> O.</w:t>
      </w:r>
      <w:r w:rsidRPr="00480C54">
        <w:rPr>
          <w:highlight w:val="yellow"/>
          <w:u w:val="double"/>
          <w:lang w:val="es-ES"/>
        </w:rPr>
        <w:t xml:space="preserve"> (2019). </w:t>
      </w:r>
      <w:r w:rsidRPr="00480C54">
        <w:rPr>
          <w:highlight w:val="yellow"/>
          <w:u w:val="double"/>
          <w:lang w:val="en-AU"/>
        </w:rPr>
        <w:t>A Review on Equine Piroplasmosis: Epidemiology, Vector Ecology, Risk Fa</w:t>
      </w:r>
      <w:r w:rsidR="008A7710" w:rsidRPr="00480C54">
        <w:rPr>
          <w:highlight w:val="yellow"/>
          <w:u w:val="double"/>
          <w:lang w:val="en-AU"/>
        </w:rPr>
        <w:t>c</w:t>
      </w:r>
      <w:r w:rsidRPr="00480C54">
        <w:rPr>
          <w:highlight w:val="yellow"/>
          <w:u w:val="double"/>
          <w:lang w:val="en-AU"/>
        </w:rPr>
        <w:t xml:space="preserve">tors, Host Immunity, Diagnosis and Control. </w:t>
      </w:r>
      <w:r w:rsidRPr="00726966">
        <w:rPr>
          <w:i/>
          <w:iCs/>
          <w:highlight w:val="yellow"/>
          <w:u w:val="double"/>
          <w:lang w:val="en-AU"/>
        </w:rPr>
        <w:t>Int</w:t>
      </w:r>
      <w:r w:rsidR="00480C54" w:rsidRPr="00726966">
        <w:rPr>
          <w:i/>
          <w:iCs/>
          <w:highlight w:val="yellow"/>
          <w:u w:val="double"/>
          <w:lang w:val="en-AU"/>
        </w:rPr>
        <w:t>.</w:t>
      </w:r>
      <w:r w:rsidRPr="00726966">
        <w:rPr>
          <w:i/>
          <w:iCs/>
          <w:highlight w:val="yellow"/>
          <w:u w:val="double"/>
          <w:lang w:val="en-AU"/>
        </w:rPr>
        <w:t xml:space="preserve"> </w:t>
      </w:r>
      <w:r w:rsidR="00480C54" w:rsidRPr="00726966">
        <w:rPr>
          <w:i/>
          <w:iCs/>
          <w:highlight w:val="yellow"/>
          <w:u w:val="double"/>
          <w:lang w:val="en-AU"/>
        </w:rPr>
        <w:t>J.</w:t>
      </w:r>
      <w:r w:rsidRPr="00726966">
        <w:rPr>
          <w:i/>
          <w:iCs/>
          <w:highlight w:val="yellow"/>
          <w:u w:val="double"/>
          <w:lang w:val="en-AU"/>
        </w:rPr>
        <w:t xml:space="preserve"> </w:t>
      </w:r>
      <w:r w:rsidR="00480C54" w:rsidRPr="00726966">
        <w:rPr>
          <w:i/>
          <w:iCs/>
          <w:highlight w:val="yellow"/>
          <w:u w:val="double"/>
          <w:lang w:val="en-AU"/>
        </w:rPr>
        <w:t>Environ</w:t>
      </w:r>
      <w:r w:rsidR="00726966" w:rsidRPr="00726966">
        <w:rPr>
          <w:i/>
          <w:iCs/>
          <w:highlight w:val="yellow"/>
          <w:u w:val="double"/>
          <w:lang w:val="en-AU"/>
        </w:rPr>
        <w:t>.</w:t>
      </w:r>
      <w:r w:rsidR="00480C54" w:rsidRPr="00726966">
        <w:rPr>
          <w:i/>
          <w:iCs/>
          <w:highlight w:val="yellow"/>
          <w:u w:val="double"/>
          <w:lang w:val="en-AU"/>
        </w:rPr>
        <w:t xml:space="preserve"> Res</w:t>
      </w:r>
      <w:r w:rsidR="00726966" w:rsidRPr="00726966">
        <w:rPr>
          <w:i/>
          <w:iCs/>
          <w:highlight w:val="yellow"/>
          <w:u w:val="double"/>
          <w:lang w:val="en-AU"/>
        </w:rPr>
        <w:t>.</w:t>
      </w:r>
      <w:r w:rsidRPr="00726966">
        <w:rPr>
          <w:i/>
          <w:iCs/>
          <w:highlight w:val="yellow"/>
          <w:u w:val="double"/>
          <w:lang w:val="en-AU"/>
        </w:rPr>
        <w:t xml:space="preserve"> </w:t>
      </w:r>
      <w:r w:rsidR="00480C54" w:rsidRPr="00726966">
        <w:rPr>
          <w:i/>
          <w:iCs/>
          <w:highlight w:val="yellow"/>
          <w:u w:val="double"/>
          <w:lang w:val="en-AU"/>
        </w:rPr>
        <w:t>Public Health</w:t>
      </w:r>
      <w:r w:rsidRPr="00480C54">
        <w:rPr>
          <w:highlight w:val="yellow"/>
          <w:u w:val="double"/>
          <w:lang w:val="en-AU"/>
        </w:rPr>
        <w:t xml:space="preserve">, </w:t>
      </w:r>
      <w:r w:rsidRPr="00480C54">
        <w:rPr>
          <w:b/>
          <w:bCs/>
          <w:highlight w:val="yellow"/>
          <w:u w:val="double"/>
          <w:lang w:val="en-AU"/>
        </w:rPr>
        <w:t>16</w:t>
      </w:r>
      <w:r w:rsidR="00726966">
        <w:rPr>
          <w:highlight w:val="yellow"/>
          <w:u w:val="double"/>
          <w:lang w:val="en-AU"/>
        </w:rPr>
        <w:t>,</w:t>
      </w:r>
      <w:r w:rsidRPr="00480C54">
        <w:rPr>
          <w:highlight w:val="yellow"/>
          <w:u w:val="double"/>
          <w:lang w:val="en-AU"/>
        </w:rPr>
        <w:t xml:space="preserve"> 1736.</w:t>
      </w:r>
    </w:p>
    <w:p w14:paraId="6AF3C666" w14:textId="11ABE113" w:rsidR="00112D2C" w:rsidRPr="006A39D3" w:rsidRDefault="00112D2C" w:rsidP="00E565F4">
      <w:pPr>
        <w:pStyle w:val="Ref"/>
        <w:rPr>
          <w:u w:val="double"/>
          <w:lang w:eastAsia="ja-JP"/>
        </w:rPr>
      </w:pPr>
      <w:proofErr w:type="spellStart"/>
      <w:r w:rsidRPr="006A39D3">
        <w:rPr>
          <w:u w:val="double"/>
        </w:rPr>
        <w:t>P</w:t>
      </w:r>
      <w:r w:rsidRPr="006A39D3">
        <w:rPr>
          <w:smallCaps/>
          <w:u w:val="double"/>
        </w:rPr>
        <w:t>itel</w:t>
      </w:r>
      <w:proofErr w:type="spellEnd"/>
      <w:r w:rsidRPr="006A39D3">
        <w:rPr>
          <w:smallCaps/>
          <w:u w:val="double"/>
        </w:rPr>
        <w:t xml:space="preserve"> P.H., </w:t>
      </w:r>
      <w:proofErr w:type="spellStart"/>
      <w:r w:rsidRPr="006A39D3">
        <w:rPr>
          <w:smallCaps/>
          <w:u w:val="double"/>
        </w:rPr>
        <w:t>Pronost</w:t>
      </w:r>
      <w:proofErr w:type="spellEnd"/>
      <w:r w:rsidRPr="006A39D3">
        <w:rPr>
          <w:smallCaps/>
          <w:u w:val="double"/>
        </w:rPr>
        <w:t xml:space="preserve"> S., Scrive T., Léon A., Richard E. &amp; Fortier G.</w:t>
      </w:r>
      <w:r w:rsidRPr="006A39D3">
        <w:rPr>
          <w:u w:val="double"/>
        </w:rPr>
        <w:t xml:space="preserve"> (2010). Molecular detection of </w:t>
      </w:r>
      <w:proofErr w:type="spellStart"/>
      <w:r w:rsidRPr="006A39D3">
        <w:rPr>
          <w:i/>
          <w:u w:val="double"/>
        </w:rPr>
        <w:t>Theileria</w:t>
      </w:r>
      <w:proofErr w:type="spellEnd"/>
      <w:r w:rsidRPr="006A39D3">
        <w:rPr>
          <w:u w:val="double"/>
        </w:rPr>
        <w:t xml:space="preserve"> </w:t>
      </w:r>
      <w:proofErr w:type="spellStart"/>
      <w:r w:rsidRPr="006A39D3">
        <w:rPr>
          <w:i/>
          <w:u w:val="double"/>
        </w:rPr>
        <w:t>equi</w:t>
      </w:r>
      <w:proofErr w:type="spellEnd"/>
      <w:r w:rsidRPr="006A39D3">
        <w:rPr>
          <w:u w:val="double"/>
        </w:rPr>
        <w:t xml:space="preserve"> and </w:t>
      </w:r>
      <w:r w:rsidRPr="006A39D3">
        <w:rPr>
          <w:i/>
          <w:u w:val="double"/>
        </w:rPr>
        <w:t>Babesia</w:t>
      </w:r>
      <w:r w:rsidRPr="006A39D3">
        <w:rPr>
          <w:u w:val="double"/>
        </w:rPr>
        <w:t xml:space="preserve"> </w:t>
      </w:r>
      <w:proofErr w:type="spellStart"/>
      <w:r w:rsidRPr="006A39D3">
        <w:rPr>
          <w:i/>
          <w:u w:val="double"/>
        </w:rPr>
        <w:t>caballi</w:t>
      </w:r>
      <w:proofErr w:type="spellEnd"/>
      <w:r w:rsidRPr="006A39D3">
        <w:rPr>
          <w:u w:val="double"/>
        </w:rPr>
        <w:t xml:space="preserve"> in the bone marrow of asymptomatic horses. </w:t>
      </w:r>
      <w:r w:rsidRPr="006A39D3">
        <w:rPr>
          <w:i/>
          <w:u w:val="double"/>
        </w:rPr>
        <w:t>Vet</w:t>
      </w:r>
      <w:r w:rsidRPr="006A39D3">
        <w:rPr>
          <w:u w:val="double"/>
        </w:rPr>
        <w:t xml:space="preserve">. </w:t>
      </w:r>
      <w:proofErr w:type="spellStart"/>
      <w:r w:rsidRPr="006A39D3">
        <w:rPr>
          <w:i/>
          <w:u w:val="double"/>
        </w:rPr>
        <w:t>Parasitol</w:t>
      </w:r>
      <w:proofErr w:type="spellEnd"/>
      <w:r w:rsidRPr="006A39D3">
        <w:rPr>
          <w:u w:val="double"/>
        </w:rPr>
        <w:t xml:space="preserve">., </w:t>
      </w:r>
      <w:r w:rsidRPr="006A39D3">
        <w:rPr>
          <w:b/>
          <w:u w:val="double"/>
        </w:rPr>
        <w:t>170</w:t>
      </w:r>
      <w:r w:rsidRPr="006A39D3">
        <w:rPr>
          <w:u w:val="double"/>
        </w:rPr>
        <w:t>, 182–184.</w:t>
      </w:r>
    </w:p>
    <w:p w14:paraId="5D35F674" w14:textId="66F6F26F" w:rsidR="00112D2C" w:rsidRPr="006A39D3" w:rsidRDefault="00112D2C" w:rsidP="00E565F4">
      <w:pPr>
        <w:pStyle w:val="Ref"/>
        <w:rPr>
          <w:u w:val="double"/>
          <w:lang w:val="en-IE" w:eastAsia="ja-JP"/>
        </w:rPr>
      </w:pPr>
      <w:r w:rsidRPr="006A39D3">
        <w:rPr>
          <w:smallCaps/>
          <w:u w:val="double"/>
        </w:rPr>
        <w:t>Posada-Guzm</w:t>
      </w:r>
      <w:r w:rsidR="006A39D3" w:rsidRPr="006A39D3">
        <w:rPr>
          <w:smallCaps/>
          <w:u w:val="double"/>
        </w:rPr>
        <w:t>a</w:t>
      </w:r>
      <w:r w:rsidRPr="006A39D3">
        <w:rPr>
          <w:smallCaps/>
          <w:u w:val="double"/>
        </w:rPr>
        <w:t xml:space="preserve">n M.F., </w:t>
      </w:r>
      <w:proofErr w:type="spellStart"/>
      <w:r w:rsidRPr="006A39D3">
        <w:rPr>
          <w:smallCaps/>
          <w:u w:val="double"/>
        </w:rPr>
        <w:t>Dolz</w:t>
      </w:r>
      <w:proofErr w:type="spellEnd"/>
      <w:r w:rsidRPr="006A39D3">
        <w:rPr>
          <w:smallCaps/>
          <w:u w:val="double"/>
        </w:rPr>
        <w:t xml:space="preserve"> G., Romero-</w:t>
      </w:r>
      <w:proofErr w:type="spellStart"/>
      <w:r w:rsidRPr="006A39D3">
        <w:rPr>
          <w:smallCaps/>
          <w:u w:val="double"/>
        </w:rPr>
        <w:t>Zúñiga</w:t>
      </w:r>
      <w:proofErr w:type="spellEnd"/>
      <w:r w:rsidRPr="006A39D3">
        <w:rPr>
          <w:smallCaps/>
          <w:u w:val="double"/>
        </w:rPr>
        <w:t xml:space="preserve"> J.J. &amp; Jiménez-Rocha A.E</w:t>
      </w:r>
      <w:r w:rsidRPr="006A39D3">
        <w:rPr>
          <w:u w:val="double"/>
        </w:rPr>
        <w:t xml:space="preserve">. (2015). Detection of </w:t>
      </w:r>
      <w:r w:rsidRPr="006A39D3">
        <w:rPr>
          <w:i/>
          <w:u w:val="double"/>
        </w:rPr>
        <w:t>Babesia</w:t>
      </w:r>
      <w:r w:rsidRPr="006A39D3">
        <w:rPr>
          <w:u w:val="double"/>
        </w:rPr>
        <w:t xml:space="preserve"> </w:t>
      </w:r>
      <w:proofErr w:type="spellStart"/>
      <w:r w:rsidRPr="006A39D3">
        <w:rPr>
          <w:i/>
          <w:u w:val="double"/>
        </w:rPr>
        <w:t>caballi</w:t>
      </w:r>
      <w:proofErr w:type="spellEnd"/>
      <w:r w:rsidRPr="006A39D3">
        <w:rPr>
          <w:u w:val="double"/>
        </w:rPr>
        <w:t xml:space="preserve"> and </w:t>
      </w:r>
      <w:proofErr w:type="spellStart"/>
      <w:r w:rsidRPr="006A39D3">
        <w:rPr>
          <w:i/>
          <w:u w:val="double"/>
        </w:rPr>
        <w:t>Theileria</w:t>
      </w:r>
      <w:proofErr w:type="spellEnd"/>
      <w:r w:rsidRPr="006A39D3">
        <w:rPr>
          <w:u w:val="double"/>
        </w:rPr>
        <w:t xml:space="preserve"> </w:t>
      </w:r>
      <w:proofErr w:type="spellStart"/>
      <w:r w:rsidRPr="006A39D3">
        <w:rPr>
          <w:i/>
          <w:u w:val="double"/>
        </w:rPr>
        <w:t>equi</w:t>
      </w:r>
      <w:proofErr w:type="spellEnd"/>
      <w:r w:rsidRPr="006A39D3">
        <w:rPr>
          <w:u w:val="double"/>
        </w:rPr>
        <w:t xml:space="preserve"> in blood from equines from four indigenous communities in Costa Rica. </w:t>
      </w:r>
      <w:r w:rsidRPr="006A39D3">
        <w:rPr>
          <w:i/>
          <w:u w:val="double"/>
        </w:rPr>
        <w:t>Vet</w:t>
      </w:r>
      <w:r w:rsidRPr="006A39D3">
        <w:rPr>
          <w:u w:val="double"/>
        </w:rPr>
        <w:t xml:space="preserve">. </w:t>
      </w:r>
      <w:r w:rsidRPr="006A39D3">
        <w:rPr>
          <w:i/>
          <w:u w:val="double"/>
        </w:rPr>
        <w:t>Med</w:t>
      </w:r>
      <w:r w:rsidRPr="006A39D3">
        <w:rPr>
          <w:u w:val="double"/>
        </w:rPr>
        <w:t xml:space="preserve">. </w:t>
      </w:r>
      <w:r w:rsidRPr="006A39D3">
        <w:rPr>
          <w:i/>
          <w:u w:val="double"/>
        </w:rPr>
        <w:t>Int</w:t>
      </w:r>
      <w:r w:rsidRPr="006A39D3">
        <w:rPr>
          <w:u w:val="double"/>
        </w:rPr>
        <w:t xml:space="preserve">., </w:t>
      </w:r>
      <w:r w:rsidRPr="006A39D3">
        <w:rPr>
          <w:b/>
          <w:u w:val="double"/>
        </w:rPr>
        <w:t>2015</w:t>
      </w:r>
      <w:r w:rsidRPr="006A39D3">
        <w:rPr>
          <w:u w:val="double"/>
        </w:rPr>
        <w:t>, 236278.</w:t>
      </w:r>
    </w:p>
    <w:p w14:paraId="663E0C1C" w14:textId="77777777" w:rsidR="00FC674A" w:rsidRPr="006E3F3A" w:rsidRDefault="00FC674A" w:rsidP="00291CD5">
      <w:pPr>
        <w:pStyle w:val="Ref"/>
        <w:rPr>
          <w:lang w:val="en-IE"/>
        </w:rPr>
      </w:pPr>
      <w:proofErr w:type="spellStart"/>
      <w:r w:rsidRPr="006E3F3A">
        <w:rPr>
          <w:smallCaps/>
          <w:lang w:val="en-IE"/>
        </w:rPr>
        <w:t>Rampersad</w:t>
      </w:r>
      <w:proofErr w:type="spellEnd"/>
      <w:r w:rsidRPr="006E3F3A">
        <w:rPr>
          <w:smallCaps/>
          <w:lang w:val="en-IE"/>
        </w:rPr>
        <w:t xml:space="preserve"> J., Cesar E., Campbell M.D., </w:t>
      </w:r>
      <w:proofErr w:type="spellStart"/>
      <w:r w:rsidRPr="006E3F3A">
        <w:rPr>
          <w:smallCaps/>
          <w:lang w:val="en-IE"/>
        </w:rPr>
        <w:t>Samlal</w:t>
      </w:r>
      <w:proofErr w:type="spellEnd"/>
      <w:r w:rsidRPr="006E3F3A">
        <w:rPr>
          <w:smallCaps/>
          <w:lang w:val="en-IE"/>
        </w:rPr>
        <w:t xml:space="preserve"> M. &amp; Ammons D.</w:t>
      </w:r>
      <w:r w:rsidRPr="006E3F3A">
        <w:rPr>
          <w:lang w:val="en-IE"/>
        </w:rPr>
        <w:t xml:space="preserve"> (2003). A field evaluation of PCR for the routine detection of </w:t>
      </w:r>
      <w:r w:rsidRPr="006E3F3A">
        <w:rPr>
          <w:i/>
          <w:iCs/>
          <w:lang w:val="en-IE"/>
        </w:rPr>
        <w:t xml:space="preserve">Babesia </w:t>
      </w:r>
      <w:proofErr w:type="spellStart"/>
      <w:r w:rsidRPr="006E3F3A">
        <w:rPr>
          <w:i/>
          <w:iCs/>
          <w:lang w:val="en-IE"/>
        </w:rPr>
        <w:t>equi</w:t>
      </w:r>
      <w:proofErr w:type="spellEnd"/>
      <w:r w:rsidRPr="006E3F3A">
        <w:rPr>
          <w:lang w:val="en-IE"/>
        </w:rPr>
        <w:t xml:space="preserve"> in horses. </w:t>
      </w:r>
      <w:r w:rsidRPr="006E3F3A">
        <w:rPr>
          <w:i/>
          <w:iCs/>
          <w:lang w:val="en-IE"/>
        </w:rPr>
        <w:t xml:space="preserve">Vet. </w:t>
      </w:r>
      <w:proofErr w:type="spellStart"/>
      <w:r w:rsidRPr="006E3F3A">
        <w:rPr>
          <w:i/>
          <w:iCs/>
          <w:lang w:val="en-IE"/>
        </w:rPr>
        <w:t>Parasitol</w:t>
      </w:r>
      <w:proofErr w:type="spellEnd"/>
      <w:r w:rsidRPr="006E3F3A">
        <w:rPr>
          <w:i/>
          <w:iCs/>
          <w:lang w:val="en-IE"/>
        </w:rPr>
        <w:t>.,</w:t>
      </w:r>
      <w:r w:rsidRPr="006E3F3A">
        <w:rPr>
          <w:lang w:val="en-IE"/>
        </w:rPr>
        <w:t xml:space="preserve"> </w:t>
      </w:r>
      <w:r w:rsidRPr="006E3F3A">
        <w:rPr>
          <w:b/>
          <w:bCs/>
          <w:lang w:val="en-IE"/>
        </w:rPr>
        <w:t>114</w:t>
      </w:r>
      <w:r w:rsidR="00071FDA" w:rsidRPr="006E3F3A">
        <w:rPr>
          <w:lang w:val="en-IE"/>
        </w:rPr>
        <w:t>,</w:t>
      </w:r>
      <w:r w:rsidRPr="006E3F3A">
        <w:rPr>
          <w:lang w:val="en-IE"/>
        </w:rPr>
        <w:t xml:space="preserve"> 81</w:t>
      </w:r>
      <w:r w:rsidR="00071FDA" w:rsidRPr="006E3F3A">
        <w:rPr>
          <w:lang w:val="en-IE"/>
        </w:rPr>
        <w:t>–</w:t>
      </w:r>
      <w:r w:rsidRPr="006E3F3A">
        <w:rPr>
          <w:lang w:val="en-IE"/>
        </w:rPr>
        <w:t>87.</w:t>
      </w:r>
    </w:p>
    <w:p w14:paraId="663E0C1D" w14:textId="77777777" w:rsidR="00F52DCD" w:rsidRPr="008414C0" w:rsidRDefault="00FC674A" w:rsidP="00291CD5">
      <w:pPr>
        <w:pStyle w:val="Ref"/>
        <w:rPr>
          <w:color w:val="000000" w:themeColor="text1"/>
          <w:u w:val="double"/>
          <w:lang w:val="en-IE" w:eastAsia="ja-JP"/>
        </w:rPr>
      </w:pPr>
      <w:proofErr w:type="spellStart"/>
      <w:r w:rsidRPr="006E3F3A">
        <w:rPr>
          <w:smallCaps/>
          <w:color w:val="000000" w:themeColor="text1"/>
          <w:lang w:val="en-IE"/>
        </w:rPr>
        <w:t>Rhalem</w:t>
      </w:r>
      <w:proofErr w:type="spellEnd"/>
      <w:r w:rsidRPr="006E3F3A">
        <w:rPr>
          <w:smallCaps/>
          <w:color w:val="000000" w:themeColor="text1"/>
          <w:lang w:val="en-IE"/>
        </w:rPr>
        <w:t xml:space="preserve"> A., Sahibi H., </w:t>
      </w:r>
      <w:proofErr w:type="spellStart"/>
      <w:r w:rsidRPr="006E3F3A">
        <w:rPr>
          <w:smallCaps/>
          <w:color w:val="000000" w:themeColor="text1"/>
          <w:lang w:val="en-IE"/>
        </w:rPr>
        <w:t>Lasri</w:t>
      </w:r>
      <w:proofErr w:type="spellEnd"/>
      <w:r w:rsidRPr="006E3F3A">
        <w:rPr>
          <w:smallCaps/>
          <w:color w:val="000000" w:themeColor="text1"/>
          <w:lang w:val="en-IE"/>
        </w:rPr>
        <w:t xml:space="preserve"> S., Johnson W.C., </w:t>
      </w:r>
      <w:proofErr w:type="spellStart"/>
      <w:r w:rsidRPr="006E3F3A">
        <w:rPr>
          <w:smallCaps/>
          <w:color w:val="000000" w:themeColor="text1"/>
          <w:lang w:val="en-IE"/>
        </w:rPr>
        <w:t>Kappmeyer</w:t>
      </w:r>
      <w:proofErr w:type="spellEnd"/>
      <w:r w:rsidRPr="006E3F3A">
        <w:rPr>
          <w:smallCaps/>
          <w:color w:val="000000" w:themeColor="text1"/>
          <w:lang w:val="en-IE"/>
        </w:rPr>
        <w:t xml:space="preserve"> L.S., </w:t>
      </w:r>
      <w:proofErr w:type="spellStart"/>
      <w:r w:rsidRPr="006E3F3A">
        <w:rPr>
          <w:smallCaps/>
          <w:color w:val="000000" w:themeColor="text1"/>
          <w:lang w:val="en-IE"/>
        </w:rPr>
        <w:t>Hamidouch</w:t>
      </w:r>
      <w:proofErr w:type="spellEnd"/>
      <w:r w:rsidRPr="006E3F3A">
        <w:rPr>
          <w:smallCaps/>
          <w:color w:val="000000" w:themeColor="text1"/>
          <w:lang w:val="en-IE"/>
        </w:rPr>
        <w:t xml:space="preserve"> A., Knowles D.P. &amp; Goff W.L.</w:t>
      </w:r>
      <w:r w:rsidRPr="006E3F3A">
        <w:rPr>
          <w:color w:val="000000" w:themeColor="text1"/>
          <w:lang w:val="en-IE"/>
        </w:rPr>
        <w:t xml:space="preserve"> (2001). Validation of a competitive enzyme-linked immunosorbent assay for diagnosing </w:t>
      </w:r>
      <w:r w:rsidRPr="006E3F3A">
        <w:rPr>
          <w:i/>
          <w:iCs/>
          <w:color w:val="000000" w:themeColor="text1"/>
          <w:lang w:val="en-IE"/>
        </w:rPr>
        <w:t xml:space="preserve">Babesia </w:t>
      </w:r>
      <w:proofErr w:type="spellStart"/>
      <w:r w:rsidRPr="006E3F3A">
        <w:rPr>
          <w:i/>
          <w:iCs/>
          <w:color w:val="000000" w:themeColor="text1"/>
          <w:lang w:val="en-IE"/>
        </w:rPr>
        <w:t>equi</w:t>
      </w:r>
      <w:proofErr w:type="spellEnd"/>
      <w:r w:rsidRPr="006E3F3A">
        <w:rPr>
          <w:i/>
          <w:iCs/>
          <w:color w:val="000000" w:themeColor="text1"/>
          <w:lang w:val="en-IE"/>
        </w:rPr>
        <w:t xml:space="preserve"> </w:t>
      </w:r>
      <w:r w:rsidRPr="006E3F3A">
        <w:rPr>
          <w:color w:val="000000" w:themeColor="text1"/>
          <w:lang w:val="en-IE"/>
        </w:rPr>
        <w:t xml:space="preserve">infections of Moroccan origin and its use in determining the seroprevalence of </w:t>
      </w:r>
      <w:r w:rsidRPr="006E3F3A">
        <w:rPr>
          <w:i/>
          <w:iCs/>
          <w:color w:val="000000" w:themeColor="text1"/>
          <w:lang w:val="en-IE"/>
        </w:rPr>
        <w:t xml:space="preserve">B. </w:t>
      </w:r>
      <w:proofErr w:type="spellStart"/>
      <w:r w:rsidRPr="006E3F3A">
        <w:rPr>
          <w:i/>
          <w:iCs/>
          <w:color w:val="000000" w:themeColor="text1"/>
          <w:lang w:val="en-IE"/>
        </w:rPr>
        <w:t>equi</w:t>
      </w:r>
      <w:proofErr w:type="spellEnd"/>
      <w:r w:rsidRPr="006E3F3A">
        <w:rPr>
          <w:i/>
          <w:iCs/>
          <w:color w:val="000000" w:themeColor="text1"/>
          <w:lang w:val="en-IE"/>
        </w:rPr>
        <w:t xml:space="preserve"> </w:t>
      </w:r>
      <w:r w:rsidRPr="006E3F3A">
        <w:rPr>
          <w:color w:val="000000" w:themeColor="text1"/>
          <w:lang w:val="en-IE"/>
        </w:rPr>
        <w:t xml:space="preserve">in Morocco. </w:t>
      </w:r>
      <w:r w:rsidRPr="006E3F3A">
        <w:rPr>
          <w:i/>
          <w:iCs/>
          <w:color w:val="000000" w:themeColor="text1"/>
          <w:lang w:val="en-IE"/>
        </w:rPr>
        <w:t>J. Vet. Diagn. Invest</w:t>
      </w:r>
      <w:r w:rsidRPr="006E3F3A">
        <w:rPr>
          <w:color w:val="000000" w:themeColor="text1"/>
          <w:lang w:val="en-IE"/>
        </w:rPr>
        <w:t xml:space="preserve">., </w:t>
      </w:r>
      <w:r w:rsidRPr="006E3F3A">
        <w:rPr>
          <w:b/>
          <w:bCs/>
          <w:color w:val="000000" w:themeColor="text1"/>
          <w:lang w:val="en-IE"/>
        </w:rPr>
        <w:t>13</w:t>
      </w:r>
      <w:r w:rsidRPr="006E3F3A">
        <w:rPr>
          <w:color w:val="000000" w:themeColor="text1"/>
          <w:lang w:val="en-IE"/>
        </w:rPr>
        <w:t>, 249–251.</w:t>
      </w:r>
    </w:p>
    <w:p w14:paraId="79A6B2AA" w14:textId="515F2CEF" w:rsidR="00112D2C" w:rsidRPr="008414C0" w:rsidRDefault="00112D2C" w:rsidP="00291CD5">
      <w:pPr>
        <w:pStyle w:val="Ref"/>
        <w:rPr>
          <w:color w:val="000000" w:themeColor="text1"/>
          <w:u w:val="double"/>
          <w:lang w:val="en-IE" w:eastAsia="ja-JP"/>
        </w:rPr>
      </w:pPr>
      <w:r w:rsidRPr="008414C0">
        <w:rPr>
          <w:smallCaps/>
          <w:u w:val="double"/>
        </w:rPr>
        <w:t xml:space="preserve">Ribeiro I.B., </w:t>
      </w:r>
      <w:proofErr w:type="spellStart"/>
      <w:r w:rsidRPr="008414C0">
        <w:rPr>
          <w:smallCaps/>
          <w:u w:val="double"/>
        </w:rPr>
        <w:t>Câmara</w:t>
      </w:r>
      <w:proofErr w:type="spellEnd"/>
      <w:r w:rsidRPr="008414C0">
        <w:rPr>
          <w:smallCaps/>
          <w:u w:val="double"/>
        </w:rPr>
        <w:t xml:space="preserve"> A.C., </w:t>
      </w:r>
      <w:proofErr w:type="spellStart"/>
      <w:r w:rsidRPr="008414C0">
        <w:rPr>
          <w:smallCaps/>
          <w:u w:val="double"/>
        </w:rPr>
        <w:t>Bittencourt</w:t>
      </w:r>
      <w:proofErr w:type="spellEnd"/>
      <w:r w:rsidRPr="008414C0">
        <w:rPr>
          <w:smallCaps/>
          <w:u w:val="double"/>
        </w:rPr>
        <w:t xml:space="preserve"> M.V., </w:t>
      </w:r>
      <w:proofErr w:type="spellStart"/>
      <w:r w:rsidRPr="008414C0">
        <w:rPr>
          <w:smallCaps/>
          <w:u w:val="double"/>
        </w:rPr>
        <w:t>Marçola</w:t>
      </w:r>
      <w:proofErr w:type="spellEnd"/>
      <w:r w:rsidRPr="008414C0">
        <w:rPr>
          <w:smallCaps/>
          <w:u w:val="double"/>
        </w:rPr>
        <w:t xml:space="preserve"> T.G., </w:t>
      </w:r>
      <w:proofErr w:type="spellStart"/>
      <w:r w:rsidRPr="008414C0">
        <w:rPr>
          <w:smallCaps/>
          <w:u w:val="double"/>
        </w:rPr>
        <w:t>Paludo</w:t>
      </w:r>
      <w:proofErr w:type="spellEnd"/>
      <w:r w:rsidRPr="008414C0">
        <w:rPr>
          <w:smallCaps/>
          <w:u w:val="double"/>
        </w:rPr>
        <w:t xml:space="preserve"> G.R. &amp; Soto-Blanco B.</w:t>
      </w:r>
      <w:r w:rsidRPr="008414C0">
        <w:rPr>
          <w:u w:val="double"/>
        </w:rPr>
        <w:t xml:space="preserve"> (2013). Detection of </w:t>
      </w:r>
      <w:proofErr w:type="spellStart"/>
      <w:r w:rsidRPr="008414C0">
        <w:rPr>
          <w:i/>
          <w:u w:val="double"/>
        </w:rPr>
        <w:t>Theileria</w:t>
      </w:r>
      <w:proofErr w:type="spellEnd"/>
      <w:r w:rsidRPr="008414C0">
        <w:rPr>
          <w:u w:val="double"/>
        </w:rPr>
        <w:t xml:space="preserve"> </w:t>
      </w:r>
      <w:proofErr w:type="spellStart"/>
      <w:r w:rsidRPr="008414C0">
        <w:rPr>
          <w:i/>
          <w:u w:val="double"/>
        </w:rPr>
        <w:t>equi</w:t>
      </w:r>
      <w:proofErr w:type="spellEnd"/>
      <w:r w:rsidRPr="008414C0">
        <w:rPr>
          <w:u w:val="double"/>
        </w:rPr>
        <w:t xml:space="preserve"> in spleen and blood of asymptomatic piroplasm carrier horses. </w:t>
      </w:r>
      <w:r w:rsidRPr="008414C0">
        <w:rPr>
          <w:i/>
          <w:u w:val="double"/>
        </w:rPr>
        <w:t>Acta</w:t>
      </w:r>
      <w:r w:rsidRPr="008414C0">
        <w:rPr>
          <w:u w:val="double"/>
        </w:rPr>
        <w:t xml:space="preserve"> </w:t>
      </w:r>
      <w:proofErr w:type="spellStart"/>
      <w:r w:rsidRPr="008414C0">
        <w:rPr>
          <w:i/>
          <w:u w:val="double"/>
        </w:rPr>
        <w:t>Parasitol</w:t>
      </w:r>
      <w:proofErr w:type="spellEnd"/>
      <w:r w:rsidRPr="008414C0">
        <w:rPr>
          <w:u w:val="double"/>
        </w:rPr>
        <w:t xml:space="preserve">., </w:t>
      </w:r>
      <w:r w:rsidRPr="008414C0">
        <w:rPr>
          <w:b/>
          <w:u w:val="double"/>
        </w:rPr>
        <w:t>58</w:t>
      </w:r>
      <w:r w:rsidRPr="008414C0">
        <w:rPr>
          <w:u w:val="double"/>
        </w:rPr>
        <w:t>, 218–222.</w:t>
      </w:r>
    </w:p>
    <w:p w14:paraId="663E0C1E" w14:textId="77777777" w:rsidR="00FC674A" w:rsidRPr="006E3F3A" w:rsidRDefault="00FC674A" w:rsidP="00291CD5">
      <w:pPr>
        <w:pStyle w:val="Ref"/>
        <w:rPr>
          <w:lang w:val="en-IE"/>
        </w:rPr>
      </w:pPr>
      <w:r w:rsidRPr="006E3F3A">
        <w:rPr>
          <w:smallCaps/>
          <w:lang w:val="en-IE"/>
        </w:rPr>
        <w:t xml:space="preserve">Schein E., </w:t>
      </w:r>
      <w:proofErr w:type="spellStart"/>
      <w:r w:rsidRPr="006E3F3A">
        <w:rPr>
          <w:smallCaps/>
          <w:lang w:val="en-IE"/>
        </w:rPr>
        <w:t>Rehbein</w:t>
      </w:r>
      <w:proofErr w:type="spellEnd"/>
      <w:r w:rsidRPr="006E3F3A">
        <w:rPr>
          <w:smallCaps/>
          <w:lang w:val="en-IE"/>
        </w:rPr>
        <w:t xml:space="preserve"> G., Voigt W.P. &amp; </w:t>
      </w:r>
      <w:proofErr w:type="spellStart"/>
      <w:r w:rsidRPr="006E3F3A">
        <w:rPr>
          <w:smallCaps/>
          <w:lang w:val="en-IE"/>
        </w:rPr>
        <w:t>Zweygarth</w:t>
      </w:r>
      <w:proofErr w:type="spellEnd"/>
      <w:r w:rsidRPr="006E3F3A">
        <w:rPr>
          <w:smallCaps/>
          <w:lang w:val="en-IE"/>
        </w:rPr>
        <w:t xml:space="preserve"> E. </w:t>
      </w:r>
      <w:r w:rsidRPr="006E3F3A">
        <w:rPr>
          <w:lang w:val="en-IE"/>
        </w:rPr>
        <w:t xml:space="preserve">(1981). </w:t>
      </w:r>
      <w:r w:rsidRPr="006E3F3A">
        <w:rPr>
          <w:i/>
          <w:lang w:val="en-IE"/>
        </w:rPr>
        <w:t xml:space="preserve">Babesia </w:t>
      </w:r>
      <w:proofErr w:type="spellStart"/>
      <w:r w:rsidRPr="006E3F3A">
        <w:rPr>
          <w:i/>
          <w:lang w:val="en-IE"/>
        </w:rPr>
        <w:t>equi</w:t>
      </w:r>
      <w:proofErr w:type="spellEnd"/>
      <w:r w:rsidRPr="006E3F3A">
        <w:rPr>
          <w:lang w:val="en-IE"/>
        </w:rPr>
        <w:t xml:space="preserve"> (</w:t>
      </w:r>
      <w:proofErr w:type="spellStart"/>
      <w:r w:rsidRPr="006E3F3A">
        <w:rPr>
          <w:lang w:val="en-IE"/>
        </w:rPr>
        <w:t>Leveran</w:t>
      </w:r>
      <w:proofErr w:type="spellEnd"/>
      <w:r w:rsidRPr="006E3F3A">
        <w:rPr>
          <w:lang w:val="en-IE"/>
        </w:rPr>
        <w:t xml:space="preserve">, 1901). Development in horses and in lymphocyte culture. </w:t>
      </w:r>
      <w:proofErr w:type="spellStart"/>
      <w:r w:rsidRPr="006E3F3A">
        <w:rPr>
          <w:i/>
          <w:lang w:val="en-IE"/>
        </w:rPr>
        <w:t>Tropenmed</w:t>
      </w:r>
      <w:proofErr w:type="spellEnd"/>
      <w:r w:rsidRPr="006E3F3A">
        <w:rPr>
          <w:i/>
          <w:lang w:val="en-IE"/>
        </w:rPr>
        <w:t xml:space="preserve"> </w:t>
      </w:r>
      <w:proofErr w:type="spellStart"/>
      <w:r w:rsidRPr="006E3F3A">
        <w:rPr>
          <w:i/>
          <w:lang w:val="en-IE"/>
        </w:rPr>
        <w:t>Parasitol</w:t>
      </w:r>
      <w:proofErr w:type="spellEnd"/>
      <w:r w:rsidRPr="006E3F3A">
        <w:rPr>
          <w:i/>
          <w:lang w:val="en-IE"/>
        </w:rPr>
        <w:t>.</w:t>
      </w:r>
      <w:r w:rsidRPr="006E3F3A">
        <w:rPr>
          <w:lang w:val="en-IE"/>
        </w:rPr>
        <w:t xml:space="preserve">, </w:t>
      </w:r>
      <w:r w:rsidRPr="006E3F3A">
        <w:rPr>
          <w:b/>
          <w:lang w:val="en-IE"/>
        </w:rPr>
        <w:t>32</w:t>
      </w:r>
      <w:r w:rsidRPr="006E3F3A">
        <w:rPr>
          <w:lang w:val="en-IE"/>
        </w:rPr>
        <w:t>, 223–227.</w:t>
      </w:r>
    </w:p>
    <w:p w14:paraId="663E0C1F" w14:textId="77777777" w:rsidR="00FC674A" w:rsidRDefault="00FC674A" w:rsidP="00291CD5">
      <w:pPr>
        <w:pStyle w:val="Ref"/>
        <w:rPr>
          <w:color w:val="000000" w:themeColor="text1"/>
          <w:szCs w:val="20"/>
          <w:lang w:val="en-IE"/>
        </w:rPr>
      </w:pPr>
      <w:proofErr w:type="spellStart"/>
      <w:r w:rsidRPr="006E3F3A">
        <w:rPr>
          <w:smallCaps/>
          <w:color w:val="000000" w:themeColor="text1"/>
          <w:szCs w:val="20"/>
          <w:lang w:val="en-IE"/>
        </w:rPr>
        <w:t>Shkap</w:t>
      </w:r>
      <w:proofErr w:type="spellEnd"/>
      <w:r w:rsidRPr="006E3F3A">
        <w:rPr>
          <w:smallCaps/>
          <w:color w:val="000000" w:themeColor="text1"/>
          <w:szCs w:val="20"/>
          <w:lang w:val="en-IE"/>
        </w:rPr>
        <w:t xml:space="preserve"> V., Cohen I., Leibovitz B., </w:t>
      </w:r>
      <w:proofErr w:type="spellStart"/>
      <w:r w:rsidRPr="006E3F3A">
        <w:rPr>
          <w:smallCaps/>
          <w:color w:val="000000" w:themeColor="text1"/>
          <w:szCs w:val="20"/>
          <w:lang w:val="en-IE"/>
        </w:rPr>
        <w:t>Savitsky</w:t>
      </w:r>
      <w:proofErr w:type="spellEnd"/>
      <w:r w:rsidRPr="006E3F3A">
        <w:rPr>
          <w:smallCaps/>
          <w:color w:val="000000" w:themeColor="text1"/>
          <w:szCs w:val="20"/>
          <w:lang w:val="en-IE"/>
        </w:rPr>
        <w:t xml:space="preserve">, </w:t>
      </w:r>
      <w:proofErr w:type="spellStart"/>
      <w:r w:rsidRPr="006E3F3A">
        <w:rPr>
          <w:smallCaps/>
          <w:color w:val="000000" w:themeColor="text1"/>
          <w:szCs w:val="20"/>
          <w:lang w:val="en-IE"/>
        </w:rPr>
        <w:t>Pipano</w:t>
      </w:r>
      <w:proofErr w:type="spellEnd"/>
      <w:r w:rsidRPr="006E3F3A">
        <w:rPr>
          <w:smallCaps/>
          <w:color w:val="000000" w:themeColor="text1"/>
          <w:szCs w:val="20"/>
          <w:lang w:val="en-IE"/>
        </w:rPr>
        <w:t xml:space="preserve"> E., </w:t>
      </w:r>
      <w:proofErr w:type="spellStart"/>
      <w:r w:rsidRPr="006E3F3A">
        <w:rPr>
          <w:smallCaps/>
          <w:color w:val="000000" w:themeColor="text1"/>
          <w:szCs w:val="20"/>
          <w:lang w:val="en-IE"/>
        </w:rPr>
        <w:t>Avni</w:t>
      </w:r>
      <w:proofErr w:type="spellEnd"/>
      <w:r w:rsidRPr="006E3F3A">
        <w:rPr>
          <w:smallCaps/>
          <w:color w:val="000000" w:themeColor="text1"/>
          <w:szCs w:val="20"/>
          <w:lang w:val="en-IE"/>
        </w:rPr>
        <w:t xml:space="preserve"> G., </w:t>
      </w:r>
      <w:proofErr w:type="spellStart"/>
      <w:r w:rsidRPr="006E3F3A">
        <w:rPr>
          <w:smallCaps/>
          <w:color w:val="000000" w:themeColor="text1"/>
          <w:szCs w:val="20"/>
          <w:lang w:val="en-IE"/>
        </w:rPr>
        <w:t>Shofer</w:t>
      </w:r>
      <w:proofErr w:type="spellEnd"/>
      <w:r w:rsidRPr="006E3F3A">
        <w:rPr>
          <w:smallCaps/>
          <w:color w:val="000000" w:themeColor="text1"/>
          <w:szCs w:val="20"/>
          <w:lang w:val="en-IE"/>
        </w:rPr>
        <w:t xml:space="preserve"> S., Giger U., </w:t>
      </w:r>
      <w:proofErr w:type="spellStart"/>
      <w:r w:rsidRPr="006E3F3A">
        <w:rPr>
          <w:smallCaps/>
          <w:color w:val="000000" w:themeColor="text1"/>
          <w:szCs w:val="20"/>
          <w:lang w:val="en-IE"/>
        </w:rPr>
        <w:t>Kappmeyer</w:t>
      </w:r>
      <w:proofErr w:type="spellEnd"/>
      <w:r w:rsidRPr="006E3F3A">
        <w:rPr>
          <w:smallCaps/>
          <w:color w:val="000000" w:themeColor="text1"/>
          <w:szCs w:val="20"/>
          <w:lang w:val="en-IE"/>
        </w:rPr>
        <w:t xml:space="preserve"> L. &amp; Knowles D. (1998). </w:t>
      </w:r>
      <w:r w:rsidRPr="006E3F3A">
        <w:rPr>
          <w:color w:val="000000" w:themeColor="text1"/>
          <w:szCs w:val="20"/>
          <w:lang w:val="en-IE"/>
        </w:rPr>
        <w:t xml:space="preserve">Seroprevalence of </w:t>
      </w:r>
      <w:r w:rsidRPr="006E3F3A">
        <w:rPr>
          <w:i/>
          <w:color w:val="000000" w:themeColor="text1"/>
          <w:szCs w:val="20"/>
          <w:lang w:val="en-IE"/>
        </w:rPr>
        <w:t xml:space="preserve">Babesia </w:t>
      </w:r>
      <w:proofErr w:type="spellStart"/>
      <w:r w:rsidRPr="006E3F3A">
        <w:rPr>
          <w:i/>
          <w:color w:val="000000" w:themeColor="text1"/>
          <w:szCs w:val="20"/>
          <w:lang w:val="en-IE"/>
        </w:rPr>
        <w:t>equi</w:t>
      </w:r>
      <w:proofErr w:type="spellEnd"/>
      <w:r w:rsidRPr="006E3F3A">
        <w:rPr>
          <w:color w:val="000000" w:themeColor="text1"/>
          <w:szCs w:val="20"/>
          <w:lang w:val="en-IE"/>
        </w:rPr>
        <w:t xml:space="preserve"> among horses in Israel using competitive inhibition ELISA and IFA assays. </w:t>
      </w:r>
      <w:r w:rsidRPr="006E3F3A">
        <w:rPr>
          <w:i/>
          <w:iCs/>
          <w:color w:val="000000" w:themeColor="text1"/>
          <w:szCs w:val="20"/>
          <w:lang w:val="en-IE"/>
        </w:rPr>
        <w:t xml:space="preserve">Vet. </w:t>
      </w:r>
      <w:proofErr w:type="spellStart"/>
      <w:r w:rsidRPr="006E3F3A">
        <w:rPr>
          <w:i/>
          <w:iCs/>
          <w:color w:val="000000" w:themeColor="text1"/>
          <w:szCs w:val="20"/>
          <w:lang w:val="en-IE"/>
        </w:rPr>
        <w:t>Parasitol</w:t>
      </w:r>
      <w:proofErr w:type="spellEnd"/>
      <w:r w:rsidRPr="006E3F3A">
        <w:rPr>
          <w:color w:val="000000" w:themeColor="text1"/>
          <w:szCs w:val="20"/>
          <w:lang w:val="en-IE"/>
        </w:rPr>
        <w:t xml:space="preserve">., </w:t>
      </w:r>
      <w:r w:rsidRPr="006E3F3A">
        <w:rPr>
          <w:b/>
          <w:bCs/>
          <w:color w:val="000000" w:themeColor="text1"/>
          <w:szCs w:val="20"/>
          <w:lang w:val="en-IE"/>
        </w:rPr>
        <w:t>76</w:t>
      </w:r>
      <w:r w:rsidRPr="006E3F3A">
        <w:rPr>
          <w:color w:val="000000" w:themeColor="text1"/>
          <w:szCs w:val="20"/>
          <w:lang w:val="en-IE"/>
        </w:rPr>
        <w:t>, 251–259.</w:t>
      </w:r>
    </w:p>
    <w:p w14:paraId="663E0C20" w14:textId="2222695D" w:rsidR="00F52DCD" w:rsidRPr="00480C54" w:rsidRDefault="007556C2" w:rsidP="007556C2">
      <w:pPr>
        <w:pStyle w:val="Ref"/>
        <w:rPr>
          <w:strike/>
          <w:highlight w:val="yellow"/>
        </w:rPr>
      </w:pPr>
      <w:r w:rsidRPr="00480C54">
        <w:rPr>
          <w:smallCaps/>
          <w:strike/>
          <w:highlight w:val="yellow"/>
          <w:lang w:val="en-IE"/>
        </w:rPr>
        <w:t xml:space="preserve">Sloboda M., </w:t>
      </w:r>
      <w:proofErr w:type="spellStart"/>
      <w:r w:rsidRPr="00480C54">
        <w:rPr>
          <w:smallCaps/>
          <w:strike/>
          <w:highlight w:val="yellow"/>
          <w:lang w:val="en-IE"/>
        </w:rPr>
        <w:t>Jirků</w:t>
      </w:r>
      <w:proofErr w:type="spellEnd"/>
      <w:r w:rsidRPr="00480C54">
        <w:rPr>
          <w:smallCaps/>
          <w:strike/>
          <w:highlight w:val="yellow"/>
          <w:lang w:val="en-IE"/>
        </w:rPr>
        <w:t xml:space="preserve"> M., </w:t>
      </w:r>
      <w:proofErr w:type="spellStart"/>
      <w:r w:rsidRPr="00480C54">
        <w:rPr>
          <w:smallCaps/>
          <w:strike/>
          <w:highlight w:val="yellow"/>
          <w:lang w:val="en-IE"/>
        </w:rPr>
        <w:t>Lukešová</w:t>
      </w:r>
      <w:proofErr w:type="spellEnd"/>
      <w:r w:rsidRPr="00480C54">
        <w:rPr>
          <w:smallCaps/>
          <w:strike/>
          <w:highlight w:val="yellow"/>
          <w:lang w:val="en-IE"/>
        </w:rPr>
        <w:t xml:space="preserve"> D., </w:t>
      </w:r>
      <w:proofErr w:type="spellStart"/>
      <w:r w:rsidRPr="00480C54">
        <w:rPr>
          <w:smallCaps/>
          <w:strike/>
          <w:highlight w:val="yellow"/>
          <w:lang w:val="en-IE"/>
        </w:rPr>
        <w:t>Qablan</w:t>
      </w:r>
      <w:proofErr w:type="spellEnd"/>
      <w:r w:rsidRPr="00480C54">
        <w:rPr>
          <w:smallCaps/>
          <w:strike/>
          <w:highlight w:val="yellow"/>
          <w:lang w:val="en-IE"/>
        </w:rPr>
        <w:t xml:space="preserve"> M., </w:t>
      </w:r>
      <w:proofErr w:type="spellStart"/>
      <w:r w:rsidRPr="00480C54">
        <w:rPr>
          <w:smallCaps/>
          <w:strike/>
          <w:highlight w:val="yellow"/>
          <w:lang w:val="en-IE"/>
        </w:rPr>
        <w:t>Batsukh</w:t>
      </w:r>
      <w:proofErr w:type="spellEnd"/>
      <w:r w:rsidRPr="00480C54">
        <w:rPr>
          <w:smallCaps/>
          <w:strike/>
          <w:highlight w:val="yellow"/>
          <w:lang w:val="en-IE"/>
        </w:rPr>
        <w:t xml:space="preserve"> Z., </w:t>
      </w:r>
      <w:proofErr w:type="spellStart"/>
      <w:r w:rsidRPr="00480C54">
        <w:rPr>
          <w:smallCaps/>
          <w:strike/>
          <w:highlight w:val="yellow"/>
          <w:lang w:val="en-IE"/>
        </w:rPr>
        <w:t>Fiala</w:t>
      </w:r>
      <w:proofErr w:type="spellEnd"/>
      <w:r w:rsidRPr="00480C54">
        <w:rPr>
          <w:smallCaps/>
          <w:strike/>
          <w:highlight w:val="yellow"/>
          <w:lang w:val="en-IE"/>
        </w:rPr>
        <w:t xml:space="preserve"> I., </w:t>
      </w:r>
      <w:proofErr w:type="spellStart"/>
      <w:r w:rsidRPr="00480C54">
        <w:rPr>
          <w:smallCaps/>
          <w:strike/>
          <w:highlight w:val="yellow"/>
          <w:lang w:val="en-IE"/>
        </w:rPr>
        <w:t>Ho</w:t>
      </w:r>
      <w:r w:rsidRPr="00480C54">
        <w:rPr>
          <w:smallCaps/>
          <w:strike/>
          <w:highlight w:val="yellow"/>
          <w:u w:color="333333"/>
          <w:lang w:val="en-IE"/>
        </w:rPr>
        <w:t>řin</w:t>
      </w:r>
      <w:proofErr w:type="spellEnd"/>
      <w:r w:rsidRPr="00480C54">
        <w:rPr>
          <w:smallCaps/>
          <w:strike/>
          <w:highlight w:val="yellow"/>
          <w:lang w:val="en-IE"/>
        </w:rPr>
        <w:t xml:space="preserve"> P., </w:t>
      </w:r>
      <w:proofErr w:type="spellStart"/>
      <w:r w:rsidRPr="00480C54">
        <w:rPr>
          <w:smallCaps/>
          <w:strike/>
          <w:highlight w:val="yellow"/>
          <w:lang w:val="en-IE"/>
        </w:rPr>
        <w:t>Modrý</w:t>
      </w:r>
      <w:proofErr w:type="spellEnd"/>
      <w:r w:rsidRPr="00480C54">
        <w:rPr>
          <w:smallCaps/>
          <w:strike/>
          <w:highlight w:val="yellow"/>
          <w:lang w:val="en-IE"/>
        </w:rPr>
        <w:t xml:space="preserve"> D. &amp; </w:t>
      </w:r>
      <w:proofErr w:type="spellStart"/>
      <w:r w:rsidRPr="00480C54">
        <w:rPr>
          <w:smallCaps/>
          <w:strike/>
          <w:highlight w:val="yellow"/>
          <w:lang w:val="en-IE"/>
        </w:rPr>
        <w:t>Lukeš</w:t>
      </w:r>
      <w:proofErr w:type="spellEnd"/>
      <w:r w:rsidRPr="00480C54">
        <w:rPr>
          <w:smallCaps/>
          <w:strike/>
          <w:highlight w:val="yellow"/>
          <w:lang w:val="en-IE"/>
        </w:rPr>
        <w:t xml:space="preserve"> J.</w:t>
      </w:r>
      <w:r w:rsidRPr="00480C54">
        <w:rPr>
          <w:strike/>
          <w:highlight w:val="yellow"/>
          <w:lang w:val="en-IE"/>
        </w:rPr>
        <w:t xml:space="preserve"> </w:t>
      </w:r>
      <w:r w:rsidR="00F52DCD" w:rsidRPr="00480C54">
        <w:rPr>
          <w:strike/>
          <w:highlight w:val="yellow"/>
          <w:lang w:val="en-IE"/>
        </w:rPr>
        <w:t xml:space="preserve">(2011). </w:t>
      </w:r>
      <w:hyperlink r:id="rId11" w:history="1">
        <w:r w:rsidR="00F52DCD" w:rsidRPr="00480C54">
          <w:rPr>
            <w:strike/>
            <w:highlight w:val="yellow"/>
            <w:u w:color="1923CE"/>
            <w:lang w:val="en-US"/>
          </w:rPr>
          <w:t>A survey for piroplasmids in horses and Bactrian camels in North-Eastern Mongolia.</w:t>
        </w:r>
      </w:hyperlink>
      <w:r w:rsidR="00F52DCD" w:rsidRPr="00480C54">
        <w:rPr>
          <w:strike/>
          <w:szCs w:val="26"/>
          <w:highlight w:val="yellow"/>
          <w:lang w:val="en-US"/>
        </w:rPr>
        <w:t xml:space="preserve"> </w:t>
      </w:r>
      <w:r w:rsidR="00F52DCD" w:rsidRPr="00480C54">
        <w:rPr>
          <w:i/>
          <w:strike/>
          <w:highlight w:val="yellow"/>
          <w:lang w:val="en-US"/>
        </w:rPr>
        <w:t>Vet</w:t>
      </w:r>
      <w:r w:rsidRPr="00480C54">
        <w:rPr>
          <w:i/>
          <w:strike/>
          <w:highlight w:val="yellow"/>
          <w:lang w:val="en-US"/>
        </w:rPr>
        <w:t>.</w:t>
      </w:r>
      <w:r w:rsidR="00F52DCD" w:rsidRPr="00480C54">
        <w:rPr>
          <w:i/>
          <w:strike/>
          <w:highlight w:val="yellow"/>
          <w:lang w:val="en-US"/>
        </w:rPr>
        <w:t xml:space="preserve"> </w:t>
      </w:r>
      <w:proofErr w:type="spellStart"/>
      <w:r w:rsidR="00F52DCD" w:rsidRPr="00480C54">
        <w:rPr>
          <w:i/>
          <w:strike/>
          <w:highlight w:val="yellow"/>
          <w:lang w:val="en-US"/>
        </w:rPr>
        <w:t>Parasitol</w:t>
      </w:r>
      <w:proofErr w:type="spellEnd"/>
      <w:r w:rsidR="00F52DCD" w:rsidRPr="00480C54">
        <w:rPr>
          <w:strike/>
          <w:highlight w:val="yellow"/>
          <w:lang w:val="en-US"/>
        </w:rPr>
        <w:t xml:space="preserve">., </w:t>
      </w:r>
      <w:r w:rsidR="00F52DCD" w:rsidRPr="00480C54">
        <w:rPr>
          <w:b/>
          <w:strike/>
          <w:highlight w:val="yellow"/>
          <w:lang w:val="en-US"/>
        </w:rPr>
        <w:t>179</w:t>
      </w:r>
      <w:r w:rsidR="00F52DCD" w:rsidRPr="00480C54">
        <w:rPr>
          <w:strike/>
          <w:highlight w:val="yellow"/>
          <w:lang w:val="en-US"/>
        </w:rPr>
        <w:t>, 246</w:t>
      </w:r>
      <w:r w:rsidRPr="00480C54">
        <w:rPr>
          <w:strike/>
          <w:highlight w:val="yellow"/>
          <w:lang w:val="en-US"/>
        </w:rPr>
        <w:t>–</w:t>
      </w:r>
      <w:r w:rsidR="00F52DCD" w:rsidRPr="00480C54">
        <w:rPr>
          <w:strike/>
          <w:highlight w:val="yellow"/>
          <w:lang w:val="en-US"/>
        </w:rPr>
        <w:t xml:space="preserve">249. </w:t>
      </w:r>
    </w:p>
    <w:p w14:paraId="663E0C21" w14:textId="04893F85" w:rsidR="00FC674A" w:rsidRPr="00480C54" w:rsidRDefault="00FC674A" w:rsidP="00291CD5">
      <w:pPr>
        <w:pStyle w:val="Ref"/>
        <w:rPr>
          <w:strike/>
          <w:lang w:val="en-IE"/>
        </w:rPr>
      </w:pPr>
      <w:r w:rsidRPr="00480C54">
        <w:rPr>
          <w:smallCaps/>
          <w:strike/>
          <w:highlight w:val="yellow"/>
          <w:lang w:val="en-IE"/>
        </w:rPr>
        <w:t xml:space="preserve">Stiller D., </w:t>
      </w:r>
      <w:proofErr w:type="spellStart"/>
      <w:r w:rsidRPr="00480C54">
        <w:rPr>
          <w:smallCaps/>
          <w:strike/>
          <w:highlight w:val="yellow"/>
          <w:lang w:val="en-IE"/>
        </w:rPr>
        <w:t>Frerichs</w:t>
      </w:r>
      <w:proofErr w:type="spellEnd"/>
      <w:r w:rsidRPr="00480C54">
        <w:rPr>
          <w:smallCaps/>
          <w:strike/>
          <w:highlight w:val="yellow"/>
          <w:lang w:val="en-IE"/>
        </w:rPr>
        <w:t xml:space="preserve"> W.M., </w:t>
      </w:r>
      <w:proofErr w:type="spellStart"/>
      <w:r w:rsidRPr="00480C54">
        <w:rPr>
          <w:smallCaps/>
          <w:strike/>
          <w:highlight w:val="yellow"/>
          <w:lang w:val="en-IE"/>
        </w:rPr>
        <w:t>Leatch</w:t>
      </w:r>
      <w:proofErr w:type="spellEnd"/>
      <w:r w:rsidRPr="00480C54">
        <w:rPr>
          <w:smallCaps/>
          <w:strike/>
          <w:highlight w:val="yellow"/>
          <w:lang w:val="en-IE"/>
        </w:rPr>
        <w:t xml:space="preserve"> G. &amp; </w:t>
      </w:r>
      <w:proofErr w:type="spellStart"/>
      <w:r w:rsidRPr="00480C54">
        <w:rPr>
          <w:smallCaps/>
          <w:strike/>
          <w:highlight w:val="yellow"/>
          <w:lang w:val="en-IE"/>
        </w:rPr>
        <w:t>Kuttler</w:t>
      </w:r>
      <w:proofErr w:type="spellEnd"/>
      <w:r w:rsidRPr="00480C54">
        <w:rPr>
          <w:smallCaps/>
          <w:strike/>
          <w:highlight w:val="yellow"/>
          <w:lang w:val="en-IE"/>
        </w:rPr>
        <w:t xml:space="preserve"> K.L.</w:t>
      </w:r>
      <w:r w:rsidRPr="00480C54">
        <w:rPr>
          <w:strike/>
          <w:highlight w:val="yellow"/>
          <w:lang w:val="en-IE"/>
        </w:rPr>
        <w:t xml:space="preserve"> (1980). Transmission of equine babesiosis and bovine anaplasmosis by </w:t>
      </w:r>
      <w:proofErr w:type="spellStart"/>
      <w:r w:rsidRPr="00480C54">
        <w:rPr>
          <w:i/>
          <w:strike/>
          <w:highlight w:val="yellow"/>
          <w:lang w:val="en-IE"/>
        </w:rPr>
        <w:t>Dermacentor</w:t>
      </w:r>
      <w:proofErr w:type="spellEnd"/>
      <w:r w:rsidRPr="00480C54">
        <w:rPr>
          <w:i/>
          <w:strike/>
          <w:highlight w:val="yellow"/>
          <w:lang w:val="en-IE"/>
        </w:rPr>
        <w:t xml:space="preserve"> </w:t>
      </w:r>
      <w:proofErr w:type="spellStart"/>
      <w:r w:rsidRPr="00480C54">
        <w:rPr>
          <w:i/>
          <w:strike/>
          <w:highlight w:val="yellow"/>
          <w:lang w:val="en-IE"/>
        </w:rPr>
        <w:t>albipictus</w:t>
      </w:r>
      <w:proofErr w:type="spellEnd"/>
      <w:r w:rsidRPr="00480C54">
        <w:rPr>
          <w:strike/>
          <w:highlight w:val="yellow"/>
          <w:lang w:val="en-IE"/>
        </w:rPr>
        <w:t xml:space="preserve"> (Packard) (Acari: Ixodidae). </w:t>
      </w:r>
      <w:r w:rsidRPr="00480C54">
        <w:rPr>
          <w:i/>
          <w:strike/>
          <w:highlight w:val="yellow"/>
          <w:lang w:val="en-IE"/>
        </w:rPr>
        <w:t>J. N.Y. Ent. Soc</w:t>
      </w:r>
      <w:r w:rsidRPr="00480C54">
        <w:rPr>
          <w:strike/>
          <w:highlight w:val="yellow"/>
          <w:lang w:val="en-IE"/>
        </w:rPr>
        <w:t xml:space="preserve">., </w:t>
      </w:r>
      <w:r w:rsidRPr="00480C54">
        <w:rPr>
          <w:b/>
          <w:strike/>
          <w:highlight w:val="yellow"/>
          <w:lang w:val="en-IE"/>
        </w:rPr>
        <w:t>88</w:t>
      </w:r>
      <w:r w:rsidRPr="00480C54">
        <w:rPr>
          <w:strike/>
          <w:highlight w:val="yellow"/>
          <w:lang w:val="en-IE"/>
        </w:rPr>
        <w:t>, 75–76.</w:t>
      </w:r>
    </w:p>
    <w:p w14:paraId="663E0C22" w14:textId="77777777" w:rsidR="00FC674A" w:rsidRPr="006E3F3A" w:rsidRDefault="00FC674A" w:rsidP="00E143C3">
      <w:pPr>
        <w:pStyle w:val="Ref"/>
        <w:rPr>
          <w:lang w:val="en-IE"/>
        </w:rPr>
      </w:pPr>
      <w:proofErr w:type="spellStart"/>
      <w:r w:rsidRPr="006E3F3A">
        <w:rPr>
          <w:smallCaps/>
          <w:lang w:val="en-IE"/>
        </w:rPr>
        <w:t>Tenter</w:t>
      </w:r>
      <w:proofErr w:type="spellEnd"/>
      <w:r w:rsidRPr="006E3F3A">
        <w:rPr>
          <w:smallCaps/>
          <w:lang w:val="en-IE"/>
        </w:rPr>
        <w:t xml:space="preserve"> A.M. &amp; </w:t>
      </w:r>
      <w:proofErr w:type="spellStart"/>
      <w:r w:rsidRPr="006E3F3A">
        <w:rPr>
          <w:smallCaps/>
          <w:lang w:val="en-IE"/>
        </w:rPr>
        <w:t>Freidhoff</w:t>
      </w:r>
      <w:proofErr w:type="spellEnd"/>
      <w:r w:rsidRPr="006E3F3A">
        <w:rPr>
          <w:smallCaps/>
          <w:lang w:val="en-IE"/>
        </w:rPr>
        <w:t xml:space="preserve"> K.T.</w:t>
      </w:r>
      <w:r w:rsidRPr="006E3F3A">
        <w:rPr>
          <w:lang w:val="en-IE"/>
        </w:rPr>
        <w:t xml:space="preserve"> (1986). Serodiagnosis of experimental and natural </w:t>
      </w:r>
      <w:r w:rsidRPr="006E3F3A">
        <w:rPr>
          <w:i/>
          <w:lang w:val="en-IE"/>
        </w:rPr>
        <w:t xml:space="preserve">Babesia </w:t>
      </w:r>
      <w:proofErr w:type="spellStart"/>
      <w:r w:rsidRPr="006E3F3A">
        <w:rPr>
          <w:i/>
          <w:lang w:val="en-IE"/>
        </w:rPr>
        <w:t>equi</w:t>
      </w:r>
      <w:proofErr w:type="spellEnd"/>
      <w:r w:rsidRPr="006E3F3A">
        <w:rPr>
          <w:lang w:val="en-IE"/>
        </w:rPr>
        <w:t xml:space="preserve"> and </w:t>
      </w:r>
      <w:r w:rsidR="00C021CD" w:rsidRPr="006E3F3A">
        <w:rPr>
          <w:i/>
          <w:lang w:val="en-IE"/>
        </w:rPr>
        <w:t>B. </w:t>
      </w:r>
      <w:proofErr w:type="spellStart"/>
      <w:r w:rsidR="00C021CD" w:rsidRPr="006E3F3A">
        <w:rPr>
          <w:i/>
          <w:lang w:val="en-IE"/>
        </w:rPr>
        <w:t>caballi</w:t>
      </w:r>
      <w:proofErr w:type="spellEnd"/>
      <w:r w:rsidRPr="006E3F3A">
        <w:rPr>
          <w:lang w:val="en-IE"/>
        </w:rPr>
        <w:t xml:space="preserve"> infections. </w:t>
      </w:r>
      <w:r w:rsidRPr="006E3F3A">
        <w:rPr>
          <w:i/>
          <w:lang w:val="en-IE"/>
        </w:rPr>
        <w:t xml:space="preserve">Vet. </w:t>
      </w:r>
      <w:proofErr w:type="spellStart"/>
      <w:r w:rsidRPr="006E3F3A">
        <w:rPr>
          <w:i/>
          <w:lang w:val="en-IE"/>
        </w:rPr>
        <w:t>Parasitol</w:t>
      </w:r>
      <w:proofErr w:type="spellEnd"/>
      <w:r w:rsidRPr="006E3F3A">
        <w:rPr>
          <w:lang w:val="en-IE"/>
        </w:rPr>
        <w:t xml:space="preserve">., </w:t>
      </w:r>
      <w:r w:rsidRPr="006E3F3A">
        <w:rPr>
          <w:b/>
          <w:lang w:val="en-IE"/>
        </w:rPr>
        <w:t>20</w:t>
      </w:r>
      <w:r w:rsidRPr="006E3F3A">
        <w:rPr>
          <w:lang w:val="en-IE"/>
        </w:rPr>
        <w:t>, 49–61.</w:t>
      </w:r>
    </w:p>
    <w:p w14:paraId="663E0C23" w14:textId="403FA049" w:rsidR="00FC674A" w:rsidRPr="00480C54" w:rsidRDefault="00FC674A" w:rsidP="00E143C3">
      <w:pPr>
        <w:pStyle w:val="Ref"/>
        <w:rPr>
          <w:strike/>
          <w:lang w:val="en-IE"/>
        </w:rPr>
      </w:pPr>
      <w:r w:rsidRPr="00480C54">
        <w:rPr>
          <w:smallCaps/>
          <w:strike/>
          <w:highlight w:val="yellow"/>
          <w:lang w:val="en-IE"/>
        </w:rPr>
        <w:t xml:space="preserve">United States Department of Agriculture (USDA) </w:t>
      </w:r>
      <w:r w:rsidR="00E143C3" w:rsidRPr="00480C54">
        <w:rPr>
          <w:strike/>
          <w:highlight w:val="yellow"/>
          <w:lang w:val="en-IE"/>
        </w:rPr>
        <w:t xml:space="preserve">(1997). </w:t>
      </w:r>
      <w:r w:rsidRPr="00480C54">
        <w:rPr>
          <w:strike/>
          <w:highlight w:val="yellow"/>
          <w:lang w:val="en-IE"/>
        </w:rPr>
        <w:t xml:space="preserve">Complement fixation test for the detection of antibodies to </w:t>
      </w:r>
      <w:r w:rsidRPr="00480C54">
        <w:rPr>
          <w:i/>
          <w:strike/>
          <w:highlight w:val="yellow"/>
          <w:lang w:val="en-IE"/>
        </w:rPr>
        <w:t xml:space="preserve">Babesia </w:t>
      </w:r>
      <w:proofErr w:type="spellStart"/>
      <w:r w:rsidRPr="00480C54">
        <w:rPr>
          <w:i/>
          <w:strike/>
          <w:highlight w:val="yellow"/>
          <w:lang w:val="en-IE"/>
        </w:rPr>
        <w:t>caballi</w:t>
      </w:r>
      <w:proofErr w:type="spellEnd"/>
      <w:r w:rsidRPr="00480C54">
        <w:rPr>
          <w:strike/>
          <w:highlight w:val="yellow"/>
          <w:lang w:val="en-IE"/>
        </w:rPr>
        <w:t xml:space="preserve"> and </w:t>
      </w:r>
      <w:r w:rsidRPr="00480C54">
        <w:rPr>
          <w:i/>
          <w:strike/>
          <w:highlight w:val="yellow"/>
          <w:lang w:val="en-IE"/>
        </w:rPr>
        <w:t xml:space="preserve">Babesia </w:t>
      </w:r>
      <w:proofErr w:type="spellStart"/>
      <w:r w:rsidRPr="00480C54">
        <w:rPr>
          <w:i/>
          <w:strike/>
          <w:highlight w:val="yellow"/>
          <w:lang w:val="en-IE"/>
        </w:rPr>
        <w:t>equi</w:t>
      </w:r>
      <w:proofErr w:type="spellEnd"/>
      <w:r w:rsidRPr="00480C54">
        <w:rPr>
          <w:strike/>
          <w:highlight w:val="yellow"/>
          <w:lang w:val="en-IE"/>
        </w:rPr>
        <w:t xml:space="preserve"> – microtitration test. USDA, </w:t>
      </w:r>
      <w:r w:rsidR="00E143C3" w:rsidRPr="00480C54">
        <w:rPr>
          <w:strike/>
          <w:highlight w:val="yellow"/>
          <w:lang w:val="en-IE"/>
        </w:rPr>
        <w:t xml:space="preserve">Animal and Plant Health Inspection Service, Veterinary Services, </w:t>
      </w:r>
      <w:r w:rsidRPr="00480C54">
        <w:rPr>
          <w:strike/>
          <w:highlight w:val="yellow"/>
          <w:lang w:val="en-IE"/>
        </w:rPr>
        <w:t>National Veterinary Services Laboratories, Ames, Iowa, USA.</w:t>
      </w:r>
    </w:p>
    <w:p w14:paraId="663E0C24" w14:textId="77777777" w:rsidR="00FC674A" w:rsidRPr="006E3F3A" w:rsidRDefault="00FC674A" w:rsidP="00E143C3">
      <w:pPr>
        <w:pStyle w:val="Ref"/>
        <w:rPr>
          <w:lang w:val="en-IE"/>
        </w:rPr>
      </w:pPr>
      <w:r w:rsidRPr="006E3F3A">
        <w:rPr>
          <w:smallCaps/>
          <w:lang w:val="en-IE"/>
        </w:rPr>
        <w:lastRenderedPageBreak/>
        <w:t xml:space="preserve">United States Department of Agriculture (USDA) </w:t>
      </w:r>
      <w:r w:rsidR="00E143C3" w:rsidRPr="006E3F3A">
        <w:rPr>
          <w:lang w:val="en-IE"/>
        </w:rPr>
        <w:t xml:space="preserve">(2005). </w:t>
      </w:r>
      <w:r w:rsidRPr="006E3F3A">
        <w:rPr>
          <w:lang w:val="en-IE"/>
        </w:rPr>
        <w:t>Competitive ELISA for Serodiagnosis of Equine Piroplasmosis (</w:t>
      </w:r>
      <w:r w:rsidRPr="006E3F3A">
        <w:rPr>
          <w:i/>
          <w:lang w:val="en-IE"/>
        </w:rPr>
        <w:t xml:space="preserve">Babesia </w:t>
      </w:r>
      <w:proofErr w:type="spellStart"/>
      <w:r w:rsidRPr="006E3F3A">
        <w:rPr>
          <w:i/>
          <w:lang w:val="en-IE"/>
        </w:rPr>
        <w:t>equi</w:t>
      </w:r>
      <w:proofErr w:type="spellEnd"/>
      <w:r w:rsidRPr="006E3F3A">
        <w:rPr>
          <w:lang w:val="en-IE"/>
        </w:rPr>
        <w:t xml:space="preserve"> and </w:t>
      </w:r>
      <w:r w:rsidRPr="006E3F3A">
        <w:rPr>
          <w:i/>
          <w:lang w:val="en-IE"/>
        </w:rPr>
        <w:t xml:space="preserve">Babesia </w:t>
      </w:r>
      <w:proofErr w:type="spellStart"/>
      <w:r w:rsidRPr="006E3F3A">
        <w:rPr>
          <w:i/>
          <w:lang w:val="en-IE"/>
        </w:rPr>
        <w:t>caballi</w:t>
      </w:r>
      <w:proofErr w:type="spellEnd"/>
      <w:r w:rsidRPr="006E3F3A">
        <w:rPr>
          <w:i/>
          <w:lang w:val="en-IE"/>
        </w:rPr>
        <w:t>)</w:t>
      </w:r>
      <w:r w:rsidRPr="006E3F3A">
        <w:rPr>
          <w:lang w:val="en-IE"/>
        </w:rPr>
        <w:t xml:space="preserve">, USDA, </w:t>
      </w:r>
      <w:r w:rsidR="00E143C3" w:rsidRPr="006E3F3A">
        <w:rPr>
          <w:lang w:val="en-IE"/>
        </w:rPr>
        <w:t xml:space="preserve">Animal and Plant Health Inspection Service, Veterinary Services, </w:t>
      </w:r>
      <w:r w:rsidRPr="006E3F3A">
        <w:rPr>
          <w:lang w:val="en-IE"/>
        </w:rPr>
        <w:t>National Veterinary Services Laboratories, Ames, Iowa, USA.</w:t>
      </w:r>
    </w:p>
    <w:p w14:paraId="663E0C25" w14:textId="77777777" w:rsidR="00FC674A" w:rsidRPr="006E3F3A" w:rsidRDefault="00FC674A" w:rsidP="00291CD5">
      <w:pPr>
        <w:pStyle w:val="Ref"/>
        <w:rPr>
          <w:smallCaps/>
          <w:lang w:val="en-IE"/>
        </w:rPr>
      </w:pPr>
      <w:r w:rsidRPr="00AD7947">
        <w:rPr>
          <w:smallCaps/>
          <w:lang w:val="en-IE"/>
        </w:rPr>
        <w:t>Xuan X., Larsen A., Idadai H., Tnanka T., Igarashi I., Nagasawa H., Fujisaki K., Toyoda Y., Suzuki N. &amp; Mikami T.</w:t>
      </w:r>
      <w:r w:rsidRPr="00AD7947">
        <w:rPr>
          <w:lang w:val="en-IE"/>
        </w:rPr>
        <w:t xml:space="preserve"> (2001). </w:t>
      </w:r>
      <w:r w:rsidRPr="006E3F3A">
        <w:rPr>
          <w:lang w:val="en-IE"/>
        </w:rPr>
        <w:t xml:space="preserve">Expression of </w:t>
      </w:r>
      <w:r w:rsidRPr="006E3F3A">
        <w:rPr>
          <w:i/>
          <w:lang w:val="en-IE"/>
        </w:rPr>
        <w:t xml:space="preserve">Babesia </w:t>
      </w:r>
      <w:proofErr w:type="spellStart"/>
      <w:r w:rsidRPr="006E3F3A">
        <w:rPr>
          <w:i/>
          <w:lang w:val="en-IE"/>
        </w:rPr>
        <w:t>equi</w:t>
      </w:r>
      <w:proofErr w:type="spellEnd"/>
      <w:r w:rsidRPr="006E3F3A">
        <w:rPr>
          <w:lang w:val="en-IE"/>
        </w:rPr>
        <w:t xml:space="preserve"> merozoite antigen 1 in insect cells by recombinant </w:t>
      </w:r>
      <w:proofErr w:type="spellStart"/>
      <w:r w:rsidRPr="006E3F3A">
        <w:rPr>
          <w:lang w:val="en-IE"/>
        </w:rPr>
        <w:t>baculovirus</w:t>
      </w:r>
      <w:proofErr w:type="spellEnd"/>
      <w:r w:rsidRPr="006E3F3A">
        <w:rPr>
          <w:lang w:val="en-IE"/>
        </w:rPr>
        <w:t xml:space="preserve"> and evaluation of its diagnostic potential in an enzyme-linked </w:t>
      </w:r>
      <w:proofErr w:type="spellStart"/>
      <w:r w:rsidRPr="006E3F3A">
        <w:rPr>
          <w:lang w:val="en-IE"/>
        </w:rPr>
        <w:t>immunosorbant</w:t>
      </w:r>
      <w:proofErr w:type="spellEnd"/>
      <w:r w:rsidRPr="006E3F3A">
        <w:rPr>
          <w:lang w:val="en-IE"/>
        </w:rPr>
        <w:t xml:space="preserve"> assay. </w:t>
      </w:r>
      <w:r w:rsidRPr="006E3F3A">
        <w:rPr>
          <w:i/>
          <w:iCs/>
          <w:lang w:val="en-IE"/>
        </w:rPr>
        <w:t xml:space="preserve">J. Clin. </w:t>
      </w:r>
      <w:proofErr w:type="spellStart"/>
      <w:r w:rsidRPr="006E3F3A">
        <w:rPr>
          <w:i/>
          <w:iCs/>
          <w:lang w:val="en-IE"/>
        </w:rPr>
        <w:t>Microbiol</w:t>
      </w:r>
      <w:proofErr w:type="spellEnd"/>
      <w:r w:rsidRPr="006E3F3A">
        <w:rPr>
          <w:lang w:val="en-IE"/>
        </w:rPr>
        <w:t xml:space="preserve">., </w:t>
      </w:r>
      <w:r w:rsidRPr="006E3F3A">
        <w:rPr>
          <w:b/>
          <w:lang w:val="en-IE"/>
        </w:rPr>
        <w:t>39</w:t>
      </w:r>
      <w:r w:rsidRPr="006E3F3A">
        <w:rPr>
          <w:bCs/>
          <w:lang w:val="en-IE"/>
        </w:rPr>
        <w:t>,</w:t>
      </w:r>
      <w:r w:rsidRPr="006E3F3A">
        <w:rPr>
          <w:lang w:val="en-IE"/>
        </w:rPr>
        <w:t xml:space="preserve"> 705–709.</w:t>
      </w:r>
    </w:p>
    <w:p w14:paraId="663E0C26" w14:textId="77777777" w:rsidR="00FC674A" w:rsidRPr="006E3F3A" w:rsidRDefault="00FC674A" w:rsidP="00291CD5">
      <w:pPr>
        <w:pStyle w:val="Ref"/>
        <w:rPr>
          <w:lang w:val="en-IE"/>
        </w:rPr>
      </w:pPr>
      <w:proofErr w:type="spellStart"/>
      <w:r w:rsidRPr="006E3F3A">
        <w:rPr>
          <w:smallCaps/>
          <w:lang w:val="en-IE"/>
        </w:rPr>
        <w:t>Zweygarth</w:t>
      </w:r>
      <w:proofErr w:type="spellEnd"/>
      <w:r w:rsidRPr="006E3F3A">
        <w:rPr>
          <w:smallCaps/>
          <w:lang w:val="en-IE"/>
        </w:rPr>
        <w:t xml:space="preserve"> E., Just M.C. &amp; De Waal D.T.</w:t>
      </w:r>
      <w:r w:rsidRPr="006E3F3A">
        <w:rPr>
          <w:lang w:val="en-IE"/>
        </w:rPr>
        <w:t xml:space="preserve"> (1997). </w:t>
      </w:r>
      <w:r w:rsidRPr="006E3F3A">
        <w:rPr>
          <w:i/>
          <w:lang w:val="en-IE"/>
        </w:rPr>
        <w:t>In vitro</w:t>
      </w:r>
      <w:r w:rsidRPr="006E3F3A">
        <w:rPr>
          <w:lang w:val="en-IE"/>
        </w:rPr>
        <w:t xml:space="preserve"> cultivation of </w:t>
      </w:r>
      <w:r w:rsidRPr="006E3F3A">
        <w:rPr>
          <w:i/>
          <w:lang w:val="en-IE"/>
        </w:rPr>
        <w:t xml:space="preserve">Babesia </w:t>
      </w:r>
      <w:proofErr w:type="spellStart"/>
      <w:r w:rsidRPr="006E3F3A">
        <w:rPr>
          <w:i/>
          <w:lang w:val="en-IE"/>
        </w:rPr>
        <w:t>equi</w:t>
      </w:r>
      <w:proofErr w:type="spellEnd"/>
      <w:r w:rsidRPr="006E3F3A">
        <w:rPr>
          <w:i/>
          <w:lang w:val="en-IE"/>
        </w:rPr>
        <w:t>:</w:t>
      </w:r>
      <w:r w:rsidRPr="006E3F3A">
        <w:rPr>
          <w:lang w:val="en-IE"/>
        </w:rPr>
        <w:t xml:space="preserve"> detection of carrier animals and isolation of parasites. </w:t>
      </w:r>
      <w:proofErr w:type="spellStart"/>
      <w:r w:rsidRPr="006E3F3A">
        <w:rPr>
          <w:i/>
          <w:lang w:val="en-IE"/>
        </w:rPr>
        <w:t>Onderstepoort</w:t>
      </w:r>
      <w:proofErr w:type="spellEnd"/>
      <w:r w:rsidRPr="006E3F3A">
        <w:rPr>
          <w:i/>
          <w:lang w:val="en-IE"/>
        </w:rPr>
        <w:t xml:space="preserve"> J. Vet Res.</w:t>
      </w:r>
      <w:r w:rsidRPr="006E3F3A">
        <w:rPr>
          <w:lang w:val="en-IE"/>
        </w:rPr>
        <w:t xml:space="preserve">, </w:t>
      </w:r>
      <w:r w:rsidRPr="006E3F3A">
        <w:rPr>
          <w:b/>
          <w:lang w:val="en-IE"/>
        </w:rPr>
        <w:t>64</w:t>
      </w:r>
      <w:r w:rsidRPr="006E3F3A">
        <w:rPr>
          <w:lang w:val="en-IE"/>
        </w:rPr>
        <w:t>, 51–56.</w:t>
      </w:r>
    </w:p>
    <w:p w14:paraId="663E0C27" w14:textId="77777777" w:rsidR="00C5786E" w:rsidRPr="006E3F3A" w:rsidRDefault="00C5786E" w:rsidP="00C5786E">
      <w:pPr>
        <w:pStyle w:val="rtoiles"/>
        <w:rPr>
          <w:lang w:val="en-IE"/>
        </w:rPr>
      </w:pPr>
      <w:r w:rsidRPr="006E3F3A">
        <w:rPr>
          <w:lang w:val="en-IE"/>
        </w:rPr>
        <w:t>*</w:t>
      </w:r>
      <w:r w:rsidRPr="006E3F3A">
        <w:rPr>
          <w:lang w:val="en-IE"/>
        </w:rPr>
        <w:br/>
        <w:t>*   *</w:t>
      </w:r>
    </w:p>
    <w:p w14:paraId="663E0C28" w14:textId="77777777" w:rsidR="00480C5D" w:rsidRPr="006E3F3A" w:rsidRDefault="00453C08" w:rsidP="007C1815">
      <w:pPr>
        <w:pStyle w:val="Reflabnote"/>
        <w:spacing w:after="240"/>
        <w:rPr>
          <w:lang w:val="en-IE"/>
        </w:rPr>
      </w:pPr>
      <w:r w:rsidRPr="006E3F3A">
        <w:rPr>
          <w:b/>
          <w:bCs/>
          <w:lang w:val="en-IE"/>
        </w:rPr>
        <w:t>NB:</w:t>
      </w:r>
      <w:r w:rsidRPr="006E3F3A">
        <w:t xml:space="preserve"> There </w:t>
      </w:r>
      <w:r w:rsidR="00704D65">
        <w:t>is an</w:t>
      </w:r>
      <w:r w:rsidRPr="006E3F3A">
        <w:t xml:space="preserve"> OIE Reference Laborator</w:t>
      </w:r>
      <w:r w:rsidR="00704D65">
        <w:t xml:space="preserve">y </w:t>
      </w:r>
      <w:r w:rsidRPr="006E3F3A">
        <w:t xml:space="preserve">for </w:t>
      </w:r>
      <w:r w:rsidRPr="006E3F3A">
        <w:rPr>
          <w:lang w:val="en-IE"/>
        </w:rPr>
        <w:t>Equine piroplasmosis</w:t>
      </w:r>
      <w:r w:rsidRPr="006E3F3A">
        <w:br/>
        <w:t xml:space="preserve">(see Table in Part </w:t>
      </w:r>
      <w:r w:rsidR="00E70E3D" w:rsidRPr="006E3F3A">
        <w:t>4</w:t>
      </w:r>
      <w:r w:rsidRPr="006E3F3A">
        <w:t xml:space="preserve"> of this </w:t>
      </w:r>
      <w:r w:rsidRPr="006E3F3A">
        <w:rPr>
          <w:i/>
        </w:rPr>
        <w:t xml:space="preserve">Terrestrial Manual </w:t>
      </w:r>
      <w:r w:rsidRPr="006E3F3A">
        <w:t>or consult the OIE Web site for the most up-to-date list:</w:t>
      </w:r>
      <w:r w:rsidR="007C1815">
        <w:br/>
      </w:r>
      <w:hyperlink r:id="rId12" w:history="1">
        <w:r w:rsidR="007C1815" w:rsidRPr="00293A80">
          <w:rPr>
            <w:rStyle w:val="Lienhypertexte"/>
          </w:rPr>
          <w:t>http://www.oie.int/en/scientific-expertise/reference-laboratories/list-of-laboratories/</w:t>
        </w:r>
      </w:hyperlink>
      <w:hyperlink r:id="rId13" w:history="1"/>
      <w:r w:rsidRPr="006E3F3A">
        <w:t xml:space="preserve">). </w:t>
      </w:r>
      <w:r w:rsidRPr="006E3F3A">
        <w:br/>
        <w:t xml:space="preserve">Please contact the OIE Reference Laboratories for any further information on </w:t>
      </w:r>
      <w:r w:rsidRPr="006E3F3A">
        <w:br/>
        <w:t xml:space="preserve">diagnostic tests and reagents for </w:t>
      </w:r>
      <w:r w:rsidRPr="006E3F3A">
        <w:rPr>
          <w:lang w:val="en-IE"/>
        </w:rPr>
        <w:t>equine piroplasmosis</w:t>
      </w:r>
    </w:p>
    <w:p w14:paraId="663E0C29" w14:textId="77777777" w:rsidR="007C1815" w:rsidRPr="00767B73" w:rsidRDefault="007C1815" w:rsidP="007C1815">
      <w:pPr>
        <w:pStyle w:val="Reflabnote"/>
        <w:spacing w:before="0" w:after="240"/>
      </w:pPr>
      <w:r w:rsidRPr="00767B73">
        <w:rPr>
          <w:b/>
          <w:smallCaps/>
        </w:rPr>
        <w:t>NB:</w:t>
      </w:r>
      <w:r w:rsidRPr="00767B73">
        <w:rPr>
          <w:smallCaps/>
        </w:rPr>
        <w:t xml:space="preserve"> first adopted in in 19</w:t>
      </w:r>
      <w:r>
        <w:rPr>
          <w:smallCaps/>
        </w:rPr>
        <w:t>89</w:t>
      </w:r>
      <w:r w:rsidRPr="00767B73">
        <w:rPr>
          <w:smallCaps/>
        </w:rPr>
        <w:t>.</w:t>
      </w:r>
      <w:r w:rsidRPr="00767B73">
        <w:rPr>
          <w:iCs/>
          <w:smallCaps/>
        </w:rPr>
        <w:t xml:space="preserve"> </w:t>
      </w:r>
      <w:r w:rsidRPr="00767B73">
        <w:rPr>
          <w:smallCaps/>
        </w:rPr>
        <w:t>Most recent updates adopted in 201</w:t>
      </w:r>
      <w:r>
        <w:rPr>
          <w:smallCaps/>
        </w:rPr>
        <w:t>4</w:t>
      </w:r>
      <w:r w:rsidRPr="00767B73">
        <w:rPr>
          <w:smallCaps/>
        </w:rPr>
        <w:t>.</w:t>
      </w:r>
    </w:p>
    <w:p w14:paraId="663E0C2A" w14:textId="77777777" w:rsidR="00E70E3D" w:rsidRPr="006E3F3A" w:rsidRDefault="00E70E3D" w:rsidP="00F52DCD">
      <w:pPr>
        <w:pStyle w:val="Reflabnote"/>
      </w:pPr>
    </w:p>
    <w:sectPr w:rsidR="00E70E3D" w:rsidRPr="006E3F3A" w:rsidSect="004E04B1">
      <w:headerReference w:type="even" r:id="rId14"/>
      <w:headerReference w:type="default" r:id="rId15"/>
      <w:footerReference w:type="even" r:id="rId16"/>
      <w:footerReference w:type="default" r:id="rId17"/>
      <w:footerReference w:type="first" r:id="rId18"/>
      <w:pgSz w:w="11906" w:h="16838" w:code="9"/>
      <w:pgMar w:top="1418" w:right="1418" w:bottom="1418" w:left="1418" w:header="567" w:footer="567" w:gutter="0"/>
      <w:paperSrc w:first="7" w:other="7"/>
      <w:lnNumType w:countBy="1" w:restart="continuou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B7D1B" w14:textId="77777777" w:rsidR="0096369E" w:rsidRDefault="0096369E">
      <w:r>
        <w:separator/>
      </w:r>
    </w:p>
  </w:endnote>
  <w:endnote w:type="continuationSeparator" w:id="0">
    <w:p w14:paraId="558B8ED0" w14:textId="77777777" w:rsidR="0096369E" w:rsidRDefault="0096369E">
      <w:r>
        <w:continuationSeparator/>
      </w:r>
    </w:p>
  </w:endnote>
  <w:endnote w:type="continuationNotice" w:id="1">
    <w:p w14:paraId="2A2BEE77" w14:textId="77777777" w:rsidR="0096369E" w:rsidRDefault="009636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ttaw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E0C33" w14:textId="3F94457D" w:rsidR="0045050E" w:rsidRPr="00B65A8E" w:rsidRDefault="0045050E" w:rsidP="00B65A8E">
    <w:pPr>
      <w:pBdr>
        <w:top w:val="single" w:sz="6" w:space="5" w:color="auto"/>
      </w:pBdr>
      <w:tabs>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D810E6">
      <w:rPr>
        <w:rFonts w:ascii="Ottawa" w:hAnsi="Ottawa"/>
        <w:noProof/>
        <w:sz w:val="22"/>
      </w:rPr>
      <w:t>2</w:t>
    </w:r>
    <w:r>
      <w:rPr>
        <w:rFonts w:ascii="Ottawa" w:hAnsi="Ottawa"/>
        <w:sz w:val="22"/>
      </w:rPr>
      <w:fldChar w:fldCharType="end"/>
    </w:r>
    <w:r>
      <w:rPr>
        <w:rFonts w:ascii="Ottawa" w:hAnsi="Ottawa"/>
        <w:sz w:val="22"/>
      </w:rPr>
      <w:tab/>
      <w:t xml:space="preserve">OIE </w:t>
    </w:r>
    <w:r w:rsidRPr="004D4B5E">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E0C34" w14:textId="64E9346D" w:rsidR="0045050E" w:rsidRPr="00B65A8E" w:rsidRDefault="0045050E" w:rsidP="00B65A8E">
    <w:pPr>
      <w:pBdr>
        <w:top w:val="single" w:sz="6" w:space="5" w:color="auto"/>
      </w:pBdr>
      <w:tabs>
        <w:tab w:val="right" w:pos="9072"/>
      </w:tabs>
      <w:spacing w:line="240" w:lineRule="exact"/>
      <w:jc w:val="left"/>
      <w:rPr>
        <w:rFonts w:ascii="Ottawa" w:hAnsi="Ottawa"/>
        <w:sz w:val="22"/>
      </w:rPr>
    </w:pPr>
    <w:r>
      <w:rPr>
        <w:rFonts w:ascii="Ottawa" w:hAnsi="Ottawa"/>
        <w:sz w:val="22"/>
      </w:rPr>
      <w:t xml:space="preserve">OIE </w:t>
    </w:r>
    <w:r w:rsidRPr="004D4B5E">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D810E6">
      <w:rPr>
        <w:rFonts w:ascii="Ottawa" w:hAnsi="Ottawa"/>
        <w:noProof/>
        <w:sz w:val="22"/>
      </w:rPr>
      <w:t>3</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E0C35" w14:textId="60B803FA" w:rsidR="0045050E" w:rsidRDefault="0045050E" w:rsidP="0083122C">
    <w:pPr>
      <w:pBdr>
        <w:top w:val="single" w:sz="6" w:space="5" w:color="auto"/>
      </w:pBdr>
      <w:tabs>
        <w:tab w:val="right" w:pos="9072"/>
      </w:tabs>
      <w:spacing w:line="240" w:lineRule="exact"/>
      <w:jc w:val="left"/>
      <w:rPr>
        <w:rFonts w:ascii="Ottawa" w:hAnsi="Ottawa"/>
        <w:sz w:val="22"/>
      </w:rPr>
    </w:pPr>
    <w:r>
      <w:rPr>
        <w:rFonts w:ascii="Ottawa" w:hAnsi="Ottawa"/>
        <w:sz w:val="22"/>
      </w:rPr>
      <w:t xml:space="preserve">OIE </w:t>
    </w:r>
    <w:r w:rsidRPr="004D4B5E">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066F36">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8ACD6" w14:textId="77777777" w:rsidR="0096369E" w:rsidRPr="00922470" w:rsidRDefault="0096369E">
      <w:pPr>
        <w:rPr>
          <w:rFonts w:ascii="Arial" w:hAnsi="Arial" w:cs="Arial"/>
          <w:sz w:val="20"/>
          <w:szCs w:val="20"/>
        </w:rPr>
      </w:pPr>
      <w:r w:rsidRPr="00922470">
        <w:rPr>
          <w:rFonts w:ascii="Arial" w:hAnsi="Arial" w:cs="Arial"/>
          <w:sz w:val="20"/>
          <w:szCs w:val="20"/>
        </w:rPr>
        <w:separator/>
      </w:r>
    </w:p>
  </w:footnote>
  <w:footnote w:type="continuationSeparator" w:id="0">
    <w:p w14:paraId="75DFF64E" w14:textId="77777777" w:rsidR="0096369E" w:rsidRDefault="0096369E">
      <w:r>
        <w:continuationSeparator/>
      </w:r>
    </w:p>
  </w:footnote>
  <w:footnote w:type="continuationNotice" w:id="1">
    <w:p w14:paraId="0B314729" w14:textId="77777777" w:rsidR="0096369E" w:rsidRDefault="0096369E"/>
  </w:footnote>
  <w:footnote w:id="2">
    <w:p w14:paraId="38235270" w14:textId="77777777" w:rsidR="00552944" w:rsidRPr="003B3EF6" w:rsidRDefault="00552944" w:rsidP="00552944">
      <w:pPr>
        <w:pStyle w:val="Notedebasdepage"/>
        <w:spacing w:line="240" w:lineRule="auto"/>
        <w:ind w:left="425" w:hanging="425"/>
        <w:rPr>
          <w:rFonts w:ascii="Arial" w:hAnsi="Arial" w:cs="Arial"/>
          <w:sz w:val="16"/>
          <w:szCs w:val="16"/>
          <w:lang w:val="en-IE"/>
        </w:rPr>
      </w:pPr>
      <w:r w:rsidRPr="00552944">
        <w:rPr>
          <w:rStyle w:val="Appelnotedebasdep"/>
          <w:rFonts w:ascii="Arial" w:hAnsi="Arial" w:cs="Arial"/>
          <w:sz w:val="16"/>
          <w:szCs w:val="16"/>
          <w:vertAlign w:val="baseline"/>
        </w:rPr>
        <w:footnoteRef/>
      </w:r>
      <w:r w:rsidRPr="00552944">
        <w:rPr>
          <w:rFonts w:ascii="Arial" w:hAnsi="Arial" w:cs="Arial"/>
          <w:sz w:val="16"/>
          <w:szCs w:val="16"/>
        </w:rPr>
        <w:t xml:space="preserve"> </w:t>
      </w:r>
      <w:r w:rsidRPr="003B3EF6">
        <w:rPr>
          <w:rFonts w:ascii="Arial" w:hAnsi="Arial" w:cs="Arial"/>
          <w:sz w:val="16"/>
          <w:szCs w:val="16"/>
          <w:lang w:val="en-IE"/>
        </w:rPr>
        <w:tab/>
      </w:r>
      <w:r w:rsidRPr="008E4B69">
        <w:rPr>
          <w:rFonts w:ascii="Arial" w:hAnsi="Arial" w:cs="Arial"/>
          <w:sz w:val="16"/>
          <w:szCs w:val="16"/>
          <w:highlight w:val="yellow"/>
        </w:rPr>
        <w:t xml:space="preserve">Some of the scoring on this table has been updated on advice from experts. </w:t>
      </w:r>
      <w:r>
        <w:rPr>
          <w:rFonts w:ascii="Arial" w:hAnsi="Arial" w:cs="Arial"/>
          <w:sz w:val="16"/>
          <w:szCs w:val="16"/>
          <w:highlight w:val="yellow"/>
        </w:rPr>
        <w:t>For</w:t>
      </w:r>
      <w:r w:rsidRPr="008E4B69">
        <w:rPr>
          <w:rFonts w:ascii="Arial" w:hAnsi="Arial" w:cs="Arial"/>
          <w:sz w:val="16"/>
          <w:szCs w:val="16"/>
          <w:highlight w:val="yellow"/>
        </w:rPr>
        <w:t xml:space="preserve"> clarity</w:t>
      </w:r>
      <w:r>
        <w:rPr>
          <w:rFonts w:ascii="Arial" w:hAnsi="Arial" w:cs="Arial"/>
          <w:sz w:val="16"/>
          <w:szCs w:val="16"/>
          <w:highlight w:val="yellow"/>
        </w:rPr>
        <w:t>, the changes have been highlighted in yellow</w:t>
      </w:r>
      <w:r w:rsidRPr="008E4B69">
        <w:rPr>
          <w:rFonts w:ascii="Arial" w:hAnsi="Arial" w:cs="Arial"/>
          <w:sz w:val="16"/>
          <w:szCs w:val="16"/>
          <w:highlight w:val="yellow"/>
        </w:rPr>
        <w:t>.</w:t>
      </w:r>
      <w:r>
        <w:rPr>
          <w:rFonts w:ascii="Arial" w:hAnsi="Arial" w:cs="Arial"/>
          <w:sz w:val="16"/>
          <w:szCs w:val="16"/>
        </w:rPr>
        <w:t xml:space="preserve"> </w:t>
      </w:r>
    </w:p>
  </w:footnote>
  <w:footnote w:id="3">
    <w:p w14:paraId="663E0C36" w14:textId="77777777" w:rsidR="0045050E" w:rsidRPr="00E8139D" w:rsidRDefault="0045050E" w:rsidP="001A53E6">
      <w:pPr>
        <w:pStyle w:val="Notedebasdepage"/>
        <w:tabs>
          <w:tab w:val="left" w:pos="-1843"/>
        </w:tabs>
        <w:spacing w:line="240" w:lineRule="auto"/>
        <w:ind w:left="425" w:hanging="425"/>
      </w:pPr>
      <w:r w:rsidRPr="00E8139D">
        <w:rPr>
          <w:rStyle w:val="Appelnotedebasdep"/>
          <w:rFonts w:ascii="Arial" w:hAnsi="Arial" w:cs="Arial"/>
          <w:sz w:val="16"/>
          <w:szCs w:val="16"/>
          <w:vertAlign w:val="baseline"/>
        </w:rPr>
        <w:footnoteRef/>
      </w:r>
      <w:r w:rsidRPr="00E8139D">
        <w:rPr>
          <w:rFonts w:ascii="Arial" w:hAnsi="Arial" w:cs="Arial"/>
          <w:sz w:val="16"/>
          <w:szCs w:val="16"/>
        </w:rPr>
        <w:t xml:space="preserve"> </w:t>
      </w:r>
      <w:r w:rsidRPr="00E8139D">
        <w:rPr>
          <w:rFonts w:ascii="Arial" w:hAnsi="Arial" w:cs="Arial"/>
          <w:sz w:val="16"/>
          <w:szCs w:val="16"/>
        </w:rPr>
        <w:tab/>
        <w:t>A combination of agent identification methods applied on the same clinical sample is recommended.</w:t>
      </w:r>
    </w:p>
  </w:footnote>
  <w:footnote w:id="4">
    <w:p w14:paraId="338B6AF5" w14:textId="74FC5BD7" w:rsidR="00B94B2A" w:rsidRPr="00B94B2A" w:rsidRDefault="00B94B2A" w:rsidP="00B94B2A">
      <w:pPr>
        <w:pStyle w:val="Notedebasdepage"/>
        <w:spacing w:line="240" w:lineRule="auto"/>
        <w:ind w:left="425" w:hanging="425"/>
        <w:rPr>
          <w:rFonts w:ascii="Arial" w:hAnsi="Arial" w:cs="Arial"/>
          <w:sz w:val="16"/>
          <w:szCs w:val="16"/>
          <w:lang w:val="en-IE"/>
        </w:rPr>
      </w:pPr>
      <w:r w:rsidRPr="00B94B2A">
        <w:rPr>
          <w:rStyle w:val="Appelnotedebasdep"/>
          <w:rFonts w:ascii="Arial" w:hAnsi="Arial" w:cs="Arial"/>
          <w:sz w:val="16"/>
          <w:szCs w:val="16"/>
          <w:vertAlign w:val="baseline"/>
        </w:rPr>
        <w:footnoteRef/>
      </w:r>
      <w:r w:rsidRPr="00B94B2A">
        <w:rPr>
          <w:rFonts w:ascii="Arial" w:hAnsi="Arial" w:cs="Arial"/>
          <w:sz w:val="16"/>
          <w:szCs w:val="16"/>
        </w:rPr>
        <w:t xml:space="preserve"> </w:t>
      </w:r>
      <w:r w:rsidRPr="00B94B2A">
        <w:rPr>
          <w:rFonts w:ascii="Arial" w:hAnsi="Arial" w:cs="Arial"/>
          <w:sz w:val="16"/>
          <w:szCs w:val="16"/>
          <w:lang w:val="en-IE"/>
        </w:rPr>
        <w:tab/>
        <w:t>Antigen is available from the NVSL, P.O. Box 844, Ames, Iowa 50010, USA.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E0C31" w14:textId="77777777" w:rsidR="0045050E" w:rsidRPr="00B65A8E" w:rsidRDefault="0045050E" w:rsidP="00B65A8E">
    <w:pPr>
      <w:pBdr>
        <w:bottom w:val="single" w:sz="6" w:space="1" w:color="auto"/>
      </w:pBdr>
      <w:ind w:right="-1"/>
      <w:jc w:val="center"/>
      <w:rPr>
        <w:rFonts w:ascii="Ottawa" w:hAnsi="Ottawa"/>
        <w:i/>
        <w:sz w:val="20"/>
        <w:szCs w:val="20"/>
      </w:rPr>
    </w:pPr>
    <w:r w:rsidRPr="00C5786E">
      <w:rPr>
        <w:rFonts w:ascii="Ottawa" w:hAnsi="Ottawa"/>
        <w:i/>
        <w:sz w:val="20"/>
        <w:szCs w:val="20"/>
      </w:rPr>
      <w:t xml:space="preserve">Chapter </w:t>
    </w:r>
    <w:r>
      <w:rPr>
        <w:rFonts w:ascii="Ottawa" w:hAnsi="Ottawa"/>
        <w:i/>
        <w:sz w:val="20"/>
        <w:szCs w:val="20"/>
      </w:rPr>
      <w:t>3</w:t>
    </w:r>
    <w:r w:rsidRPr="00C5786E">
      <w:rPr>
        <w:rFonts w:ascii="Ottawa" w:hAnsi="Ottawa"/>
        <w:i/>
        <w:sz w:val="20"/>
        <w:szCs w:val="20"/>
      </w:rPr>
      <w:t>.5.</w:t>
    </w:r>
    <w:r>
      <w:rPr>
        <w:rFonts w:ascii="Ottawa" w:hAnsi="Ottawa"/>
        <w:i/>
        <w:sz w:val="20"/>
        <w:szCs w:val="20"/>
      </w:rPr>
      <w:t>8</w:t>
    </w:r>
    <w:r w:rsidRPr="00C5786E">
      <w:rPr>
        <w:rFonts w:ascii="Ottawa" w:hAnsi="Ottawa"/>
        <w:i/>
        <w:sz w:val="20"/>
        <w:szCs w:val="20"/>
      </w:rPr>
      <w:t>. – Equine piroplasmosis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E0C32" w14:textId="77777777" w:rsidR="0045050E" w:rsidRPr="00B65A8E" w:rsidRDefault="0045050E" w:rsidP="00B65A8E">
    <w:pPr>
      <w:pBdr>
        <w:bottom w:val="single" w:sz="6" w:space="1" w:color="auto"/>
      </w:pBdr>
      <w:ind w:right="-1"/>
      <w:jc w:val="center"/>
      <w:rPr>
        <w:rFonts w:ascii="Ottawa" w:hAnsi="Ottawa"/>
        <w:i/>
        <w:sz w:val="20"/>
        <w:szCs w:val="20"/>
      </w:rPr>
    </w:pPr>
    <w:r w:rsidRPr="00C5786E">
      <w:rPr>
        <w:rFonts w:ascii="Ottawa" w:hAnsi="Ottawa"/>
        <w:i/>
        <w:sz w:val="20"/>
        <w:szCs w:val="20"/>
      </w:rPr>
      <w:t xml:space="preserve">Chapter </w:t>
    </w:r>
    <w:r>
      <w:rPr>
        <w:rFonts w:ascii="Ottawa" w:hAnsi="Ottawa"/>
        <w:i/>
        <w:sz w:val="20"/>
        <w:szCs w:val="20"/>
      </w:rPr>
      <w:t>3</w:t>
    </w:r>
    <w:r w:rsidRPr="00C5786E">
      <w:rPr>
        <w:rFonts w:ascii="Ottawa" w:hAnsi="Ottawa"/>
        <w:i/>
        <w:sz w:val="20"/>
        <w:szCs w:val="20"/>
      </w:rPr>
      <w:t>.5.</w:t>
    </w:r>
    <w:r>
      <w:rPr>
        <w:rFonts w:ascii="Ottawa" w:hAnsi="Ottawa"/>
        <w:i/>
        <w:sz w:val="20"/>
        <w:szCs w:val="20"/>
      </w:rPr>
      <w:t>8</w:t>
    </w:r>
    <w:r w:rsidRPr="00C5786E">
      <w:rPr>
        <w:rFonts w:ascii="Ottawa" w:hAnsi="Ottawa"/>
        <w:i/>
        <w:sz w:val="20"/>
        <w:szCs w:val="20"/>
      </w:rPr>
      <w:t>. – Equine piroplasmosis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3C4EF2"/>
    <w:multiLevelType w:val="hybridMultilevel"/>
    <w:tmpl w:val="FDD0B248"/>
    <w:lvl w:ilvl="0" w:tplc="7DC21092">
      <w:start w:val="9"/>
      <w:numFmt w:val="lowerRoman"/>
      <w:lvlText w:val="%1)"/>
      <w:lvlJc w:val="left"/>
      <w:pPr>
        <w:tabs>
          <w:tab w:val="num" w:pos="1145"/>
        </w:tabs>
        <w:ind w:left="1145" w:hanging="720"/>
      </w:pPr>
      <w:rPr>
        <w:rFonts w:hint="default"/>
      </w:rPr>
    </w:lvl>
    <w:lvl w:ilvl="1" w:tplc="08090019" w:tentative="1">
      <w:start w:val="1"/>
      <w:numFmt w:val="lowerLetter"/>
      <w:lvlText w:val="%2."/>
      <w:lvlJc w:val="left"/>
      <w:pPr>
        <w:tabs>
          <w:tab w:val="num" w:pos="1505"/>
        </w:tabs>
        <w:ind w:left="1505" w:hanging="360"/>
      </w:pPr>
    </w:lvl>
    <w:lvl w:ilvl="2" w:tplc="0809001B" w:tentative="1">
      <w:start w:val="1"/>
      <w:numFmt w:val="lowerRoman"/>
      <w:lvlText w:val="%3."/>
      <w:lvlJc w:val="right"/>
      <w:pPr>
        <w:tabs>
          <w:tab w:val="num" w:pos="2225"/>
        </w:tabs>
        <w:ind w:left="2225" w:hanging="180"/>
      </w:pPr>
    </w:lvl>
    <w:lvl w:ilvl="3" w:tplc="0809000F" w:tentative="1">
      <w:start w:val="1"/>
      <w:numFmt w:val="decimal"/>
      <w:lvlText w:val="%4."/>
      <w:lvlJc w:val="left"/>
      <w:pPr>
        <w:tabs>
          <w:tab w:val="num" w:pos="2945"/>
        </w:tabs>
        <w:ind w:left="2945" w:hanging="360"/>
      </w:pPr>
    </w:lvl>
    <w:lvl w:ilvl="4" w:tplc="08090019" w:tentative="1">
      <w:start w:val="1"/>
      <w:numFmt w:val="lowerLetter"/>
      <w:lvlText w:val="%5."/>
      <w:lvlJc w:val="left"/>
      <w:pPr>
        <w:tabs>
          <w:tab w:val="num" w:pos="3665"/>
        </w:tabs>
        <w:ind w:left="3665" w:hanging="360"/>
      </w:pPr>
    </w:lvl>
    <w:lvl w:ilvl="5" w:tplc="0809001B" w:tentative="1">
      <w:start w:val="1"/>
      <w:numFmt w:val="lowerRoman"/>
      <w:lvlText w:val="%6."/>
      <w:lvlJc w:val="right"/>
      <w:pPr>
        <w:tabs>
          <w:tab w:val="num" w:pos="4385"/>
        </w:tabs>
        <w:ind w:left="4385" w:hanging="180"/>
      </w:pPr>
    </w:lvl>
    <w:lvl w:ilvl="6" w:tplc="0809000F" w:tentative="1">
      <w:start w:val="1"/>
      <w:numFmt w:val="decimal"/>
      <w:lvlText w:val="%7."/>
      <w:lvlJc w:val="left"/>
      <w:pPr>
        <w:tabs>
          <w:tab w:val="num" w:pos="5105"/>
        </w:tabs>
        <w:ind w:left="5105" w:hanging="360"/>
      </w:pPr>
    </w:lvl>
    <w:lvl w:ilvl="7" w:tplc="08090019" w:tentative="1">
      <w:start w:val="1"/>
      <w:numFmt w:val="lowerLetter"/>
      <w:lvlText w:val="%8."/>
      <w:lvlJc w:val="left"/>
      <w:pPr>
        <w:tabs>
          <w:tab w:val="num" w:pos="5825"/>
        </w:tabs>
        <w:ind w:left="5825" w:hanging="360"/>
      </w:pPr>
    </w:lvl>
    <w:lvl w:ilvl="8" w:tplc="0809001B" w:tentative="1">
      <w:start w:val="1"/>
      <w:numFmt w:val="lowerRoman"/>
      <w:lvlText w:val="%9."/>
      <w:lvlJc w:val="right"/>
      <w:pPr>
        <w:tabs>
          <w:tab w:val="num" w:pos="6545"/>
        </w:tabs>
        <w:ind w:left="6545" w:hanging="180"/>
      </w:pPr>
    </w:lvl>
  </w:abstractNum>
  <w:abstractNum w:abstractNumId="1" w15:restartNumberingAfterBreak="0">
    <w:nsid w:val="39216866"/>
    <w:multiLevelType w:val="hybridMultilevel"/>
    <w:tmpl w:val="C41285DC"/>
    <w:lvl w:ilvl="0" w:tplc="F1CE257E">
      <w:start w:val="1"/>
      <w:numFmt w:val="lowerRoman"/>
      <w:lvlText w:val="%1)"/>
      <w:lvlJc w:val="left"/>
      <w:pPr>
        <w:tabs>
          <w:tab w:val="num" w:pos="1145"/>
        </w:tabs>
        <w:ind w:left="1145" w:hanging="72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2" w15:restartNumberingAfterBreak="0">
    <w:nsid w:val="3F100240"/>
    <w:multiLevelType w:val="hybridMultilevel"/>
    <w:tmpl w:val="62944772"/>
    <w:lvl w:ilvl="0" w:tplc="08921D4C">
      <w:start w:val="1"/>
      <w:numFmt w:val="lowerRoman"/>
      <w:lvlText w:val="%1)"/>
      <w:lvlJc w:val="left"/>
      <w:pPr>
        <w:tabs>
          <w:tab w:val="num" w:pos="1145"/>
        </w:tabs>
        <w:ind w:left="1145" w:hanging="72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3" w15:restartNumberingAfterBreak="0">
    <w:nsid w:val="422F4E70"/>
    <w:multiLevelType w:val="hybridMultilevel"/>
    <w:tmpl w:val="D83E631A"/>
    <w:lvl w:ilvl="0" w:tplc="D80022A0">
      <w:start w:val="1"/>
      <w:numFmt w:val="lowerRoman"/>
      <w:lvlText w:val="%1)"/>
      <w:lvlJc w:val="left"/>
      <w:pPr>
        <w:tabs>
          <w:tab w:val="num" w:pos="1145"/>
        </w:tabs>
        <w:ind w:left="1145" w:hanging="72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4" w15:restartNumberingAfterBreak="0">
    <w:nsid w:val="78675029"/>
    <w:multiLevelType w:val="hybridMultilevel"/>
    <w:tmpl w:val="BD4EF640"/>
    <w:lvl w:ilvl="0" w:tplc="04090001">
      <w:start w:val="1"/>
      <w:numFmt w:val="bullet"/>
      <w:lvlText w:val=""/>
      <w:lvlJc w:val="left"/>
      <w:pPr>
        <w:tabs>
          <w:tab w:val="num" w:pos="1145"/>
        </w:tabs>
        <w:ind w:left="1145" w:hanging="360"/>
      </w:pPr>
      <w:rPr>
        <w:rFonts w:ascii="Symbol" w:hAnsi="Symbol" w:hint="default"/>
      </w:rPr>
    </w:lvl>
    <w:lvl w:ilvl="1" w:tplc="04090003" w:tentative="1">
      <w:start w:val="1"/>
      <w:numFmt w:val="bullet"/>
      <w:lvlText w:val="o"/>
      <w:lvlJc w:val="left"/>
      <w:pPr>
        <w:tabs>
          <w:tab w:val="num" w:pos="1865"/>
        </w:tabs>
        <w:ind w:left="1865" w:hanging="360"/>
      </w:pPr>
      <w:rPr>
        <w:rFonts w:ascii="Courier New" w:hAnsi="Courier New" w:cs="Arial"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Arial"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Arial"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5"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6"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5"/>
  </w:num>
  <w:num w:numId="2">
    <w:abstractNumId w:val="6"/>
  </w:num>
  <w:num w:numId="3">
    <w:abstractNumId w:val="6"/>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4"/>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SV" w:vendorID="64" w:dllVersion="0" w:nlCheck="1" w:checkStyle="0"/>
  <w:activeWritingStyle w:appName="MSWord" w:lang="en-AU" w:vendorID="64" w:dllVersion="0" w:nlCheck="1" w:checkStyle="0"/>
  <w:activeWritingStyle w:appName="MSWord" w:lang="es-ES"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activeWritingStyle w:appName="MSWord" w:lang="es-SV" w:vendorID="64" w:dllVersion="4096" w:nlCheck="1" w:checkStyle="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evenAndOddHeaders/>
  <w:noPunctuationKerning/>
  <w:characterSpacingControl w:val="doNotCompress"/>
  <w:hdrShapeDefaults>
    <o:shapedefaults v:ext="edit" spidmax="6145">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paddinbmkignorecount" w:val="55"/>
  </w:docVars>
  <w:rsids>
    <w:rsidRoot w:val="003E773F"/>
    <w:rsid w:val="000049CF"/>
    <w:rsid w:val="0000695E"/>
    <w:rsid w:val="000152A3"/>
    <w:rsid w:val="00015B7F"/>
    <w:rsid w:val="000234CD"/>
    <w:rsid w:val="000476A7"/>
    <w:rsid w:val="00053752"/>
    <w:rsid w:val="00066F36"/>
    <w:rsid w:val="00071207"/>
    <w:rsid w:val="00071FDA"/>
    <w:rsid w:val="00072C85"/>
    <w:rsid w:val="000769F3"/>
    <w:rsid w:val="00083F9D"/>
    <w:rsid w:val="000844EA"/>
    <w:rsid w:val="00085317"/>
    <w:rsid w:val="00085E2A"/>
    <w:rsid w:val="00093F34"/>
    <w:rsid w:val="00095965"/>
    <w:rsid w:val="00096939"/>
    <w:rsid w:val="00096BEA"/>
    <w:rsid w:val="0009756B"/>
    <w:rsid w:val="00097CF5"/>
    <w:rsid w:val="000A2D81"/>
    <w:rsid w:val="000A5919"/>
    <w:rsid w:val="000C7073"/>
    <w:rsid w:val="000C7B76"/>
    <w:rsid w:val="000D38DB"/>
    <w:rsid w:val="000E34F9"/>
    <w:rsid w:val="000E3853"/>
    <w:rsid w:val="000E485E"/>
    <w:rsid w:val="00100909"/>
    <w:rsid w:val="001026F0"/>
    <w:rsid w:val="00112D2C"/>
    <w:rsid w:val="001174A3"/>
    <w:rsid w:val="00117DBD"/>
    <w:rsid w:val="001241C1"/>
    <w:rsid w:val="00135026"/>
    <w:rsid w:val="00166860"/>
    <w:rsid w:val="0017207C"/>
    <w:rsid w:val="00177556"/>
    <w:rsid w:val="00197189"/>
    <w:rsid w:val="00197E5F"/>
    <w:rsid w:val="001A3CEB"/>
    <w:rsid w:val="001A53E6"/>
    <w:rsid w:val="001B28D5"/>
    <w:rsid w:val="001B3696"/>
    <w:rsid w:val="001B5E8E"/>
    <w:rsid w:val="001C39D6"/>
    <w:rsid w:val="001C4F84"/>
    <w:rsid w:val="001C6014"/>
    <w:rsid w:val="001D51FB"/>
    <w:rsid w:val="001D5CD2"/>
    <w:rsid w:val="001F3363"/>
    <w:rsid w:val="001F34EE"/>
    <w:rsid w:val="001F4DCB"/>
    <w:rsid w:val="002000FC"/>
    <w:rsid w:val="0020149A"/>
    <w:rsid w:val="00203FFB"/>
    <w:rsid w:val="00210134"/>
    <w:rsid w:val="00220FC2"/>
    <w:rsid w:val="0022615D"/>
    <w:rsid w:val="00227EBC"/>
    <w:rsid w:val="00236325"/>
    <w:rsid w:val="00236BF9"/>
    <w:rsid w:val="00242A17"/>
    <w:rsid w:val="00243F28"/>
    <w:rsid w:val="002470D6"/>
    <w:rsid w:val="0025425F"/>
    <w:rsid w:val="0025636D"/>
    <w:rsid w:val="00257B85"/>
    <w:rsid w:val="00270C58"/>
    <w:rsid w:val="002718BC"/>
    <w:rsid w:val="002735D3"/>
    <w:rsid w:val="00274120"/>
    <w:rsid w:val="00275B92"/>
    <w:rsid w:val="002801B5"/>
    <w:rsid w:val="002838E1"/>
    <w:rsid w:val="00291CD5"/>
    <w:rsid w:val="00291DC6"/>
    <w:rsid w:val="002A0C84"/>
    <w:rsid w:val="002A34FA"/>
    <w:rsid w:val="002A438E"/>
    <w:rsid w:val="002A6280"/>
    <w:rsid w:val="002B3F6B"/>
    <w:rsid w:val="002B7B40"/>
    <w:rsid w:val="002C2B98"/>
    <w:rsid w:val="002C45C1"/>
    <w:rsid w:val="002C589E"/>
    <w:rsid w:val="002F4C91"/>
    <w:rsid w:val="002F7FDE"/>
    <w:rsid w:val="00304BD8"/>
    <w:rsid w:val="00312034"/>
    <w:rsid w:val="003207BC"/>
    <w:rsid w:val="00320F4A"/>
    <w:rsid w:val="00325581"/>
    <w:rsid w:val="00327381"/>
    <w:rsid w:val="00327A55"/>
    <w:rsid w:val="00335546"/>
    <w:rsid w:val="00336168"/>
    <w:rsid w:val="00336D7A"/>
    <w:rsid w:val="003444BE"/>
    <w:rsid w:val="003450FB"/>
    <w:rsid w:val="00357ECA"/>
    <w:rsid w:val="00367B0B"/>
    <w:rsid w:val="00374050"/>
    <w:rsid w:val="00375005"/>
    <w:rsid w:val="003773D4"/>
    <w:rsid w:val="0037767A"/>
    <w:rsid w:val="0038053F"/>
    <w:rsid w:val="00392F80"/>
    <w:rsid w:val="003949F0"/>
    <w:rsid w:val="003A2FE1"/>
    <w:rsid w:val="003A4697"/>
    <w:rsid w:val="003A5E73"/>
    <w:rsid w:val="003A6808"/>
    <w:rsid w:val="003C4A96"/>
    <w:rsid w:val="003C5459"/>
    <w:rsid w:val="003D08A1"/>
    <w:rsid w:val="003D16B9"/>
    <w:rsid w:val="003D41F1"/>
    <w:rsid w:val="003D5B6F"/>
    <w:rsid w:val="003D7E57"/>
    <w:rsid w:val="003E4B2D"/>
    <w:rsid w:val="003E500E"/>
    <w:rsid w:val="003E7371"/>
    <w:rsid w:val="003E773F"/>
    <w:rsid w:val="003F4E9B"/>
    <w:rsid w:val="00414B04"/>
    <w:rsid w:val="00415127"/>
    <w:rsid w:val="00421446"/>
    <w:rsid w:val="00423966"/>
    <w:rsid w:val="004256D0"/>
    <w:rsid w:val="004275E8"/>
    <w:rsid w:val="00432710"/>
    <w:rsid w:val="004431A2"/>
    <w:rsid w:val="00444C5A"/>
    <w:rsid w:val="004456FF"/>
    <w:rsid w:val="00446DF2"/>
    <w:rsid w:val="004478BC"/>
    <w:rsid w:val="0045050E"/>
    <w:rsid w:val="0045274C"/>
    <w:rsid w:val="00453C08"/>
    <w:rsid w:val="00454020"/>
    <w:rsid w:val="004557F9"/>
    <w:rsid w:val="00455F66"/>
    <w:rsid w:val="004573FB"/>
    <w:rsid w:val="00457C25"/>
    <w:rsid w:val="00460085"/>
    <w:rsid w:val="00460EF9"/>
    <w:rsid w:val="00466364"/>
    <w:rsid w:val="00467ECE"/>
    <w:rsid w:val="0047585C"/>
    <w:rsid w:val="00480C54"/>
    <w:rsid w:val="00480C5D"/>
    <w:rsid w:val="004867D0"/>
    <w:rsid w:val="0049468B"/>
    <w:rsid w:val="004A0F78"/>
    <w:rsid w:val="004A44B6"/>
    <w:rsid w:val="004B40D0"/>
    <w:rsid w:val="004B5958"/>
    <w:rsid w:val="004C1D3C"/>
    <w:rsid w:val="004C6C1C"/>
    <w:rsid w:val="004D26EE"/>
    <w:rsid w:val="004D349B"/>
    <w:rsid w:val="004D53CE"/>
    <w:rsid w:val="004D7007"/>
    <w:rsid w:val="004D73AD"/>
    <w:rsid w:val="004E04B1"/>
    <w:rsid w:val="004E31FD"/>
    <w:rsid w:val="004E50E4"/>
    <w:rsid w:val="00505A1B"/>
    <w:rsid w:val="00510175"/>
    <w:rsid w:val="00512B88"/>
    <w:rsid w:val="00513E9B"/>
    <w:rsid w:val="00523134"/>
    <w:rsid w:val="0052488F"/>
    <w:rsid w:val="00532F24"/>
    <w:rsid w:val="00537B0E"/>
    <w:rsid w:val="00544291"/>
    <w:rsid w:val="00552944"/>
    <w:rsid w:val="00553C9F"/>
    <w:rsid w:val="005578F2"/>
    <w:rsid w:val="00583CFD"/>
    <w:rsid w:val="005B5F9B"/>
    <w:rsid w:val="005C21BD"/>
    <w:rsid w:val="005C6731"/>
    <w:rsid w:val="005D6030"/>
    <w:rsid w:val="005D7713"/>
    <w:rsid w:val="005D7730"/>
    <w:rsid w:val="005E7B35"/>
    <w:rsid w:val="005F0208"/>
    <w:rsid w:val="005F6417"/>
    <w:rsid w:val="00600A77"/>
    <w:rsid w:val="006040F1"/>
    <w:rsid w:val="00605758"/>
    <w:rsid w:val="00610A33"/>
    <w:rsid w:val="00624A1C"/>
    <w:rsid w:val="00643F2F"/>
    <w:rsid w:val="00655048"/>
    <w:rsid w:val="006610A7"/>
    <w:rsid w:val="00676A46"/>
    <w:rsid w:val="006825CB"/>
    <w:rsid w:val="00684AB7"/>
    <w:rsid w:val="00686A8E"/>
    <w:rsid w:val="00696441"/>
    <w:rsid w:val="006A227A"/>
    <w:rsid w:val="006A39D3"/>
    <w:rsid w:val="006A73A9"/>
    <w:rsid w:val="006A743F"/>
    <w:rsid w:val="006B01C7"/>
    <w:rsid w:val="006B24B7"/>
    <w:rsid w:val="006D522C"/>
    <w:rsid w:val="006D62FA"/>
    <w:rsid w:val="006D7D8A"/>
    <w:rsid w:val="006E3F3A"/>
    <w:rsid w:val="006F37C6"/>
    <w:rsid w:val="006F3F9B"/>
    <w:rsid w:val="00704D65"/>
    <w:rsid w:val="00704DE3"/>
    <w:rsid w:val="00705FE2"/>
    <w:rsid w:val="00706247"/>
    <w:rsid w:val="00712F18"/>
    <w:rsid w:val="00716844"/>
    <w:rsid w:val="00726966"/>
    <w:rsid w:val="0075196F"/>
    <w:rsid w:val="007525AF"/>
    <w:rsid w:val="0075334A"/>
    <w:rsid w:val="00755106"/>
    <w:rsid w:val="007556C2"/>
    <w:rsid w:val="00760DE2"/>
    <w:rsid w:val="0076218B"/>
    <w:rsid w:val="00765656"/>
    <w:rsid w:val="00766AB1"/>
    <w:rsid w:val="00772561"/>
    <w:rsid w:val="00777A33"/>
    <w:rsid w:val="0078098A"/>
    <w:rsid w:val="0078763E"/>
    <w:rsid w:val="007A0A86"/>
    <w:rsid w:val="007A192A"/>
    <w:rsid w:val="007A5443"/>
    <w:rsid w:val="007A54D6"/>
    <w:rsid w:val="007B0249"/>
    <w:rsid w:val="007B1039"/>
    <w:rsid w:val="007C1815"/>
    <w:rsid w:val="007C2F32"/>
    <w:rsid w:val="007C43A4"/>
    <w:rsid w:val="007C4479"/>
    <w:rsid w:val="007C4D85"/>
    <w:rsid w:val="007D072E"/>
    <w:rsid w:val="007E1909"/>
    <w:rsid w:val="007E264B"/>
    <w:rsid w:val="007E72D2"/>
    <w:rsid w:val="007F2837"/>
    <w:rsid w:val="00801EDA"/>
    <w:rsid w:val="00804A3F"/>
    <w:rsid w:val="00816E2C"/>
    <w:rsid w:val="00821F94"/>
    <w:rsid w:val="008262B3"/>
    <w:rsid w:val="0083122C"/>
    <w:rsid w:val="008414C0"/>
    <w:rsid w:val="00852454"/>
    <w:rsid w:val="00852C6E"/>
    <w:rsid w:val="008551E4"/>
    <w:rsid w:val="00857630"/>
    <w:rsid w:val="008631FF"/>
    <w:rsid w:val="00863A39"/>
    <w:rsid w:val="00870671"/>
    <w:rsid w:val="00872447"/>
    <w:rsid w:val="0087482D"/>
    <w:rsid w:val="008761F2"/>
    <w:rsid w:val="0088644D"/>
    <w:rsid w:val="00893976"/>
    <w:rsid w:val="00896BAF"/>
    <w:rsid w:val="008A7710"/>
    <w:rsid w:val="008B00C8"/>
    <w:rsid w:val="008B3B1A"/>
    <w:rsid w:val="008B5562"/>
    <w:rsid w:val="008C0E22"/>
    <w:rsid w:val="008C1474"/>
    <w:rsid w:val="008C5E83"/>
    <w:rsid w:val="008C7B72"/>
    <w:rsid w:val="008D0B71"/>
    <w:rsid w:val="008D74D7"/>
    <w:rsid w:val="008D7675"/>
    <w:rsid w:val="008E0D85"/>
    <w:rsid w:val="008E6E4E"/>
    <w:rsid w:val="008F3233"/>
    <w:rsid w:val="00904E41"/>
    <w:rsid w:val="0090672E"/>
    <w:rsid w:val="009075FE"/>
    <w:rsid w:val="0090773C"/>
    <w:rsid w:val="00910D47"/>
    <w:rsid w:val="00915629"/>
    <w:rsid w:val="009213D9"/>
    <w:rsid w:val="00922470"/>
    <w:rsid w:val="00922691"/>
    <w:rsid w:val="00925B85"/>
    <w:rsid w:val="00931707"/>
    <w:rsid w:val="00936F53"/>
    <w:rsid w:val="00942353"/>
    <w:rsid w:val="0096369E"/>
    <w:rsid w:val="00981E7C"/>
    <w:rsid w:val="0098497B"/>
    <w:rsid w:val="00986259"/>
    <w:rsid w:val="00987FAF"/>
    <w:rsid w:val="009903BD"/>
    <w:rsid w:val="00993170"/>
    <w:rsid w:val="0099763E"/>
    <w:rsid w:val="009A093A"/>
    <w:rsid w:val="009A7AFE"/>
    <w:rsid w:val="009B0595"/>
    <w:rsid w:val="009C04A8"/>
    <w:rsid w:val="009D1804"/>
    <w:rsid w:val="009D641E"/>
    <w:rsid w:val="009E34AE"/>
    <w:rsid w:val="009E3BB5"/>
    <w:rsid w:val="009E4EBE"/>
    <w:rsid w:val="009E7718"/>
    <w:rsid w:val="009F00E2"/>
    <w:rsid w:val="009F3140"/>
    <w:rsid w:val="009F3950"/>
    <w:rsid w:val="009F4F31"/>
    <w:rsid w:val="009F5073"/>
    <w:rsid w:val="009F7B4F"/>
    <w:rsid w:val="00A0009D"/>
    <w:rsid w:val="00A0603A"/>
    <w:rsid w:val="00A14E54"/>
    <w:rsid w:val="00A16811"/>
    <w:rsid w:val="00A24627"/>
    <w:rsid w:val="00A24C92"/>
    <w:rsid w:val="00A30D2C"/>
    <w:rsid w:val="00A3483E"/>
    <w:rsid w:val="00A36E58"/>
    <w:rsid w:val="00A41CC0"/>
    <w:rsid w:val="00A50378"/>
    <w:rsid w:val="00A505D9"/>
    <w:rsid w:val="00A52320"/>
    <w:rsid w:val="00A524E1"/>
    <w:rsid w:val="00A62D09"/>
    <w:rsid w:val="00A63D68"/>
    <w:rsid w:val="00A7139F"/>
    <w:rsid w:val="00A81C71"/>
    <w:rsid w:val="00A825A0"/>
    <w:rsid w:val="00A85778"/>
    <w:rsid w:val="00A872BC"/>
    <w:rsid w:val="00A96CB7"/>
    <w:rsid w:val="00AA1170"/>
    <w:rsid w:val="00AA304C"/>
    <w:rsid w:val="00AB2B53"/>
    <w:rsid w:val="00AB594B"/>
    <w:rsid w:val="00AB6624"/>
    <w:rsid w:val="00AC4FF6"/>
    <w:rsid w:val="00AC79CF"/>
    <w:rsid w:val="00AD6AB6"/>
    <w:rsid w:val="00AD6AC8"/>
    <w:rsid w:val="00AD7947"/>
    <w:rsid w:val="00AE0527"/>
    <w:rsid w:val="00AE561C"/>
    <w:rsid w:val="00B00663"/>
    <w:rsid w:val="00B00683"/>
    <w:rsid w:val="00B00C7E"/>
    <w:rsid w:val="00B02774"/>
    <w:rsid w:val="00B04814"/>
    <w:rsid w:val="00B067EE"/>
    <w:rsid w:val="00B06FBA"/>
    <w:rsid w:val="00B137B5"/>
    <w:rsid w:val="00B14C11"/>
    <w:rsid w:val="00B17D1E"/>
    <w:rsid w:val="00B22D66"/>
    <w:rsid w:val="00B27B65"/>
    <w:rsid w:val="00B313E8"/>
    <w:rsid w:val="00B36A84"/>
    <w:rsid w:val="00B42153"/>
    <w:rsid w:val="00B475AD"/>
    <w:rsid w:val="00B567B7"/>
    <w:rsid w:val="00B61CBD"/>
    <w:rsid w:val="00B65A8E"/>
    <w:rsid w:val="00B671E3"/>
    <w:rsid w:val="00B67575"/>
    <w:rsid w:val="00B86FF5"/>
    <w:rsid w:val="00B90604"/>
    <w:rsid w:val="00B94B2A"/>
    <w:rsid w:val="00B97413"/>
    <w:rsid w:val="00B97B9E"/>
    <w:rsid w:val="00BA13FE"/>
    <w:rsid w:val="00BA321A"/>
    <w:rsid w:val="00BA6E0C"/>
    <w:rsid w:val="00BB2893"/>
    <w:rsid w:val="00BB69E2"/>
    <w:rsid w:val="00BC5A68"/>
    <w:rsid w:val="00BD141A"/>
    <w:rsid w:val="00BD66F1"/>
    <w:rsid w:val="00BD79FB"/>
    <w:rsid w:val="00BD7FD0"/>
    <w:rsid w:val="00BE44E9"/>
    <w:rsid w:val="00BE4CED"/>
    <w:rsid w:val="00BE7231"/>
    <w:rsid w:val="00BF1D53"/>
    <w:rsid w:val="00BF40D3"/>
    <w:rsid w:val="00BF61AA"/>
    <w:rsid w:val="00C021CD"/>
    <w:rsid w:val="00C03B33"/>
    <w:rsid w:val="00C041C7"/>
    <w:rsid w:val="00C06049"/>
    <w:rsid w:val="00C06E7F"/>
    <w:rsid w:val="00C158F4"/>
    <w:rsid w:val="00C17E5F"/>
    <w:rsid w:val="00C277A5"/>
    <w:rsid w:val="00C32FA1"/>
    <w:rsid w:val="00C37FAB"/>
    <w:rsid w:val="00C43181"/>
    <w:rsid w:val="00C46AE9"/>
    <w:rsid w:val="00C56139"/>
    <w:rsid w:val="00C5786E"/>
    <w:rsid w:val="00C665CD"/>
    <w:rsid w:val="00C82CF5"/>
    <w:rsid w:val="00C83A30"/>
    <w:rsid w:val="00C83DC2"/>
    <w:rsid w:val="00C84C5D"/>
    <w:rsid w:val="00C86C1E"/>
    <w:rsid w:val="00C87CF3"/>
    <w:rsid w:val="00C90435"/>
    <w:rsid w:val="00C92E4C"/>
    <w:rsid w:val="00C96BFD"/>
    <w:rsid w:val="00CA2EC8"/>
    <w:rsid w:val="00CA65B0"/>
    <w:rsid w:val="00CB5914"/>
    <w:rsid w:val="00CB74EE"/>
    <w:rsid w:val="00CD2329"/>
    <w:rsid w:val="00CD3209"/>
    <w:rsid w:val="00CD7124"/>
    <w:rsid w:val="00CE21D5"/>
    <w:rsid w:val="00CE2DA8"/>
    <w:rsid w:val="00CE49D9"/>
    <w:rsid w:val="00CF4A07"/>
    <w:rsid w:val="00CF6AC7"/>
    <w:rsid w:val="00D06611"/>
    <w:rsid w:val="00D2010F"/>
    <w:rsid w:val="00D306EB"/>
    <w:rsid w:val="00D306F0"/>
    <w:rsid w:val="00D316D9"/>
    <w:rsid w:val="00D33048"/>
    <w:rsid w:val="00D4076D"/>
    <w:rsid w:val="00D44EED"/>
    <w:rsid w:val="00D47D67"/>
    <w:rsid w:val="00D47D85"/>
    <w:rsid w:val="00D53E6C"/>
    <w:rsid w:val="00D5597F"/>
    <w:rsid w:val="00D56C2F"/>
    <w:rsid w:val="00D63308"/>
    <w:rsid w:val="00D66410"/>
    <w:rsid w:val="00D66788"/>
    <w:rsid w:val="00D74D1B"/>
    <w:rsid w:val="00D75CC3"/>
    <w:rsid w:val="00D810E6"/>
    <w:rsid w:val="00D8482D"/>
    <w:rsid w:val="00D8652C"/>
    <w:rsid w:val="00D87A48"/>
    <w:rsid w:val="00D93974"/>
    <w:rsid w:val="00DA068C"/>
    <w:rsid w:val="00DA1DA7"/>
    <w:rsid w:val="00DA34C1"/>
    <w:rsid w:val="00DA7BA0"/>
    <w:rsid w:val="00DE0F03"/>
    <w:rsid w:val="00DE1ECD"/>
    <w:rsid w:val="00E04F5D"/>
    <w:rsid w:val="00E143C3"/>
    <w:rsid w:val="00E25171"/>
    <w:rsid w:val="00E2694B"/>
    <w:rsid w:val="00E30619"/>
    <w:rsid w:val="00E33322"/>
    <w:rsid w:val="00E34261"/>
    <w:rsid w:val="00E34A59"/>
    <w:rsid w:val="00E4615D"/>
    <w:rsid w:val="00E565F4"/>
    <w:rsid w:val="00E60A5E"/>
    <w:rsid w:val="00E64927"/>
    <w:rsid w:val="00E70E3D"/>
    <w:rsid w:val="00E764A9"/>
    <w:rsid w:val="00E8139D"/>
    <w:rsid w:val="00E84919"/>
    <w:rsid w:val="00E9025C"/>
    <w:rsid w:val="00E903F8"/>
    <w:rsid w:val="00E95087"/>
    <w:rsid w:val="00E95588"/>
    <w:rsid w:val="00E95A35"/>
    <w:rsid w:val="00EA27F9"/>
    <w:rsid w:val="00EA50F6"/>
    <w:rsid w:val="00EB1C76"/>
    <w:rsid w:val="00EC5957"/>
    <w:rsid w:val="00ED51F1"/>
    <w:rsid w:val="00ED73D9"/>
    <w:rsid w:val="00EE2346"/>
    <w:rsid w:val="00EE3748"/>
    <w:rsid w:val="00EE5825"/>
    <w:rsid w:val="00EE5CCC"/>
    <w:rsid w:val="00EE6AE1"/>
    <w:rsid w:val="00EF0C80"/>
    <w:rsid w:val="00EF24B3"/>
    <w:rsid w:val="00EF4705"/>
    <w:rsid w:val="00F02B6A"/>
    <w:rsid w:val="00F10535"/>
    <w:rsid w:val="00F13C9D"/>
    <w:rsid w:val="00F15F21"/>
    <w:rsid w:val="00F164C5"/>
    <w:rsid w:val="00F17FA5"/>
    <w:rsid w:val="00F239BD"/>
    <w:rsid w:val="00F30013"/>
    <w:rsid w:val="00F3023E"/>
    <w:rsid w:val="00F30356"/>
    <w:rsid w:val="00F31228"/>
    <w:rsid w:val="00F3776B"/>
    <w:rsid w:val="00F409BA"/>
    <w:rsid w:val="00F52775"/>
    <w:rsid w:val="00F52DCD"/>
    <w:rsid w:val="00F54E81"/>
    <w:rsid w:val="00F645B7"/>
    <w:rsid w:val="00F80050"/>
    <w:rsid w:val="00F828B9"/>
    <w:rsid w:val="00F86943"/>
    <w:rsid w:val="00F91770"/>
    <w:rsid w:val="00F9286D"/>
    <w:rsid w:val="00F9371B"/>
    <w:rsid w:val="00FA5B7F"/>
    <w:rsid w:val="00FA6272"/>
    <w:rsid w:val="00FA7F12"/>
    <w:rsid w:val="00FB0971"/>
    <w:rsid w:val="00FB317F"/>
    <w:rsid w:val="00FB5427"/>
    <w:rsid w:val="00FB64ED"/>
    <w:rsid w:val="00FC3CF4"/>
    <w:rsid w:val="00FC674A"/>
    <w:rsid w:val="00FD2D2A"/>
    <w:rsid w:val="00FD2F6F"/>
    <w:rsid w:val="00FE03DB"/>
    <w:rsid w:val="00FE3EBC"/>
    <w:rsid w:val="00FF3766"/>
    <w:rsid w:val="00FF5B40"/>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63E0B6B"/>
  <w15:docId w15:val="{45613710-4EFF-4505-BD79-577B08B54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4"/>
        <w:szCs w:val="24"/>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3CE"/>
    <w:pPr>
      <w:jc w:val="both"/>
    </w:pPr>
    <w:rPr>
      <w:lang w:eastAsia="en-US"/>
    </w:rPr>
  </w:style>
  <w:style w:type="paragraph" w:styleId="Titre1">
    <w:name w:val="heading 1"/>
    <w:basedOn w:val="Normal"/>
    <w:next w:val="Normal"/>
    <w:qFormat/>
    <w:rsid w:val="00FC674A"/>
    <w:pPr>
      <w:tabs>
        <w:tab w:val="left" w:pos="-720"/>
      </w:tabs>
      <w:spacing w:before="240" w:line="360" w:lineRule="atLeast"/>
      <w:outlineLvl w:val="0"/>
    </w:pPr>
    <w:rPr>
      <w:rFonts w:ascii="Arial" w:hAnsi="Arial" w:cs="Arial"/>
      <w:b/>
      <w:bCs/>
      <w:u w:val="single"/>
      <w:lang w:eastAsia="fr-FR"/>
    </w:rPr>
  </w:style>
  <w:style w:type="paragraph" w:styleId="Titre2">
    <w:name w:val="heading 2"/>
    <w:basedOn w:val="Normal"/>
    <w:next w:val="Normal"/>
    <w:qFormat/>
    <w:rsid w:val="00FC674A"/>
    <w:pPr>
      <w:tabs>
        <w:tab w:val="left" w:pos="-720"/>
      </w:tabs>
      <w:spacing w:before="120" w:line="360" w:lineRule="atLeast"/>
      <w:outlineLvl w:val="1"/>
    </w:pPr>
    <w:rPr>
      <w:rFonts w:ascii="Arial" w:hAnsi="Arial" w:cs="Arial"/>
      <w:b/>
      <w:bCs/>
      <w:lang w:eastAsia="fr-FR"/>
    </w:rPr>
  </w:style>
  <w:style w:type="paragraph" w:styleId="Titre3">
    <w:name w:val="heading 3"/>
    <w:basedOn w:val="Normal"/>
    <w:next w:val="Normal"/>
    <w:qFormat/>
    <w:rsid w:val="00FC674A"/>
    <w:pPr>
      <w:tabs>
        <w:tab w:val="left" w:pos="-720"/>
      </w:tabs>
      <w:spacing w:line="360" w:lineRule="atLeast"/>
      <w:ind w:left="360"/>
      <w:outlineLvl w:val="2"/>
    </w:pPr>
    <w:rPr>
      <w:b/>
      <w:bCs/>
      <w:lang w:eastAsia="fr-FR"/>
    </w:rPr>
  </w:style>
  <w:style w:type="paragraph" w:styleId="Titre4">
    <w:name w:val="heading 4"/>
    <w:basedOn w:val="Normal"/>
    <w:next w:val="Normal"/>
    <w:qFormat/>
    <w:rsid w:val="00FC674A"/>
    <w:pPr>
      <w:tabs>
        <w:tab w:val="left" w:pos="-720"/>
      </w:tabs>
      <w:spacing w:line="360" w:lineRule="atLeast"/>
      <w:ind w:left="360"/>
      <w:outlineLvl w:val="3"/>
    </w:pPr>
    <w:rPr>
      <w:u w:val="single"/>
      <w:lang w:eastAsia="fr-FR"/>
    </w:rPr>
  </w:style>
  <w:style w:type="paragraph" w:styleId="Titre5">
    <w:name w:val="heading 5"/>
    <w:basedOn w:val="Normal"/>
    <w:next w:val="Normal"/>
    <w:qFormat/>
    <w:rsid w:val="00FC674A"/>
    <w:pPr>
      <w:tabs>
        <w:tab w:val="left" w:pos="-720"/>
      </w:tabs>
      <w:spacing w:line="360" w:lineRule="atLeast"/>
      <w:ind w:left="720"/>
      <w:outlineLvl w:val="4"/>
    </w:pPr>
    <w:rPr>
      <w:b/>
      <w:bCs/>
      <w:sz w:val="20"/>
      <w:szCs w:val="20"/>
      <w:lang w:eastAsia="fr-FR"/>
    </w:rPr>
  </w:style>
  <w:style w:type="paragraph" w:styleId="Titre6">
    <w:name w:val="heading 6"/>
    <w:basedOn w:val="Normal"/>
    <w:next w:val="Normal"/>
    <w:qFormat/>
    <w:rsid w:val="00FC674A"/>
    <w:pPr>
      <w:tabs>
        <w:tab w:val="left" w:pos="-720"/>
      </w:tabs>
      <w:spacing w:line="360" w:lineRule="atLeast"/>
      <w:ind w:left="720"/>
      <w:outlineLvl w:val="5"/>
    </w:pPr>
    <w:rPr>
      <w:sz w:val="20"/>
      <w:szCs w:val="20"/>
      <w:u w:val="single"/>
      <w:lang w:eastAsia="fr-FR"/>
    </w:rPr>
  </w:style>
  <w:style w:type="paragraph" w:styleId="Titre7">
    <w:name w:val="heading 7"/>
    <w:basedOn w:val="Normal"/>
    <w:next w:val="Normal"/>
    <w:qFormat/>
    <w:rsid w:val="00FC674A"/>
    <w:pPr>
      <w:tabs>
        <w:tab w:val="left" w:pos="-720"/>
      </w:tabs>
      <w:spacing w:line="360" w:lineRule="atLeast"/>
      <w:ind w:left="720"/>
      <w:outlineLvl w:val="6"/>
    </w:pPr>
    <w:rPr>
      <w:i/>
      <w:iCs/>
      <w:sz w:val="20"/>
      <w:szCs w:val="20"/>
      <w:lang w:eastAsia="fr-FR"/>
    </w:rPr>
  </w:style>
  <w:style w:type="paragraph" w:styleId="Titre8">
    <w:name w:val="heading 8"/>
    <w:basedOn w:val="Normal"/>
    <w:next w:val="Normal"/>
    <w:qFormat/>
    <w:rsid w:val="00FC674A"/>
    <w:pPr>
      <w:tabs>
        <w:tab w:val="left" w:pos="-720"/>
      </w:tabs>
      <w:spacing w:line="360" w:lineRule="atLeast"/>
      <w:ind w:left="720"/>
      <w:outlineLvl w:val="7"/>
    </w:pPr>
    <w:rPr>
      <w:i/>
      <w:iCs/>
      <w:sz w:val="20"/>
      <w:szCs w:val="20"/>
      <w:lang w:eastAsia="fr-FR"/>
    </w:rPr>
  </w:style>
  <w:style w:type="paragraph" w:styleId="Titre9">
    <w:name w:val="heading 9"/>
    <w:basedOn w:val="Normal"/>
    <w:next w:val="Normal"/>
    <w:qFormat/>
    <w:rsid w:val="00FC674A"/>
    <w:pPr>
      <w:tabs>
        <w:tab w:val="left" w:pos="-720"/>
      </w:tabs>
      <w:spacing w:line="360" w:lineRule="atLeast"/>
      <w:ind w:left="720"/>
      <w:outlineLvl w:val="8"/>
    </w:pPr>
    <w:rPr>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8C1474"/>
    <w:rPr>
      <w:rFonts w:ascii="Arial" w:hAnsi="Arial"/>
      <w:sz w:val="16"/>
    </w:rPr>
  </w:style>
  <w:style w:type="paragraph" w:styleId="En-tte">
    <w:name w:val="header"/>
    <w:basedOn w:val="Normal"/>
    <w:link w:val="En-tteCar"/>
    <w:rsid w:val="00FC674A"/>
    <w:pPr>
      <w:tabs>
        <w:tab w:val="center" w:pos="4536"/>
        <w:tab w:val="right" w:pos="9072"/>
      </w:tabs>
      <w:spacing w:line="360" w:lineRule="atLeast"/>
    </w:pPr>
    <w:rPr>
      <w:sz w:val="20"/>
      <w:szCs w:val="20"/>
      <w:lang w:eastAsia="fr-FR"/>
    </w:rPr>
  </w:style>
  <w:style w:type="paragraph" w:customStyle="1" w:styleId="notedebas">
    <w:name w:val="note de bas"/>
    <w:basedOn w:val="Normal"/>
    <w:rsid w:val="00FC674A"/>
    <w:pPr>
      <w:widowControl w:val="0"/>
      <w:tabs>
        <w:tab w:val="left" w:pos="-720"/>
      </w:tabs>
      <w:ind w:left="425" w:hanging="425"/>
    </w:pPr>
    <w:rPr>
      <w:rFonts w:ascii="Arial" w:hAnsi="Arial" w:cs="Arial"/>
      <w:sz w:val="16"/>
      <w:szCs w:val="16"/>
      <w:lang w:val="en-US" w:eastAsia="fr-FR"/>
    </w:rPr>
  </w:style>
  <w:style w:type="paragraph" w:customStyle="1" w:styleId="a">
    <w:name w:val="a)"/>
    <w:basedOn w:val="Normal"/>
    <w:rsid w:val="00FC674A"/>
    <w:pPr>
      <w:spacing w:after="120"/>
      <w:ind w:left="425" w:hanging="425"/>
    </w:pPr>
    <w:rPr>
      <w:rFonts w:ascii="Ottawa" w:hAnsi="Ottawa"/>
      <w:b/>
      <w:bCs/>
      <w:sz w:val="20"/>
      <w:szCs w:val="20"/>
      <w:lang w:eastAsia="fr-FR"/>
    </w:rPr>
  </w:style>
  <w:style w:type="paragraph" w:customStyle="1" w:styleId="paraa">
    <w:name w:val="paraa)"/>
    <w:basedOn w:val="Normal"/>
    <w:rsid w:val="00FC674A"/>
    <w:pPr>
      <w:tabs>
        <w:tab w:val="left" w:pos="-720"/>
      </w:tabs>
      <w:spacing w:after="240"/>
      <w:ind w:left="425"/>
    </w:pPr>
    <w:rPr>
      <w:rFonts w:ascii="Arial" w:hAnsi="Arial" w:cs="Arial"/>
      <w:sz w:val="18"/>
      <w:szCs w:val="18"/>
      <w:lang w:eastAsia="fr-FR"/>
    </w:rPr>
  </w:style>
  <w:style w:type="paragraph" w:customStyle="1" w:styleId="1">
    <w:name w:val="1"/>
    <w:basedOn w:val="para1"/>
    <w:rsid w:val="00FC674A"/>
    <w:pPr>
      <w:tabs>
        <w:tab w:val="clear" w:pos="-720"/>
      </w:tabs>
      <w:ind w:left="426" w:hanging="426"/>
    </w:pPr>
    <w:rPr>
      <w:rFonts w:ascii="Ottawa" w:hAnsi="Ottawa"/>
      <w:b/>
      <w:bCs/>
      <w:sz w:val="22"/>
      <w:szCs w:val="22"/>
    </w:rPr>
  </w:style>
  <w:style w:type="paragraph" w:customStyle="1" w:styleId="para1">
    <w:name w:val="para1"/>
    <w:basedOn w:val="Normal"/>
    <w:rsid w:val="00FC674A"/>
    <w:pPr>
      <w:tabs>
        <w:tab w:val="left" w:pos="-720"/>
      </w:tabs>
      <w:spacing w:after="240"/>
    </w:pPr>
    <w:rPr>
      <w:rFonts w:ascii="Arial" w:hAnsi="Arial" w:cs="Arial"/>
      <w:sz w:val="18"/>
      <w:szCs w:val="18"/>
      <w:lang w:eastAsia="fr-FR"/>
    </w:rPr>
  </w:style>
  <w:style w:type="paragraph" w:customStyle="1" w:styleId="i">
    <w:name w:val="i)"/>
    <w:basedOn w:val="Normal"/>
    <w:qFormat/>
    <w:rsid w:val="00E70E3D"/>
    <w:pPr>
      <w:tabs>
        <w:tab w:val="left" w:pos="-720"/>
      </w:tabs>
      <w:spacing w:after="120"/>
      <w:ind w:left="1843" w:hanging="425"/>
    </w:pPr>
    <w:rPr>
      <w:rFonts w:ascii="Arial" w:hAnsi="Arial" w:cs="Arial"/>
      <w:sz w:val="18"/>
      <w:szCs w:val="18"/>
      <w:lang w:eastAsia="fr-FR"/>
    </w:rPr>
  </w:style>
  <w:style w:type="paragraph" w:customStyle="1" w:styleId="A0">
    <w:name w:val="A"/>
    <w:basedOn w:val="Normal"/>
    <w:rsid w:val="00FC674A"/>
    <w:pPr>
      <w:tabs>
        <w:tab w:val="left" w:pos="-720"/>
      </w:tabs>
      <w:spacing w:after="240"/>
      <w:jc w:val="center"/>
    </w:pPr>
    <w:rPr>
      <w:rFonts w:ascii="Ottawa" w:hAnsi="Ottawa"/>
      <w:b/>
      <w:bCs/>
      <w:caps/>
      <w:lang w:eastAsia="fr-FR"/>
    </w:rPr>
  </w:style>
  <w:style w:type="paragraph" w:customStyle="1" w:styleId="Ref">
    <w:name w:val="Ref."/>
    <w:basedOn w:val="Normal"/>
    <w:link w:val="RefChar"/>
    <w:rsid w:val="007556C2"/>
    <w:pPr>
      <w:tabs>
        <w:tab w:val="left" w:pos="-720"/>
      </w:tabs>
      <w:spacing w:after="240"/>
    </w:pPr>
    <w:rPr>
      <w:rFonts w:ascii="Arial" w:hAnsi="Arial" w:cs="Arial"/>
      <w:sz w:val="18"/>
      <w:szCs w:val="18"/>
      <w:lang w:eastAsia="fr-FR"/>
    </w:rPr>
  </w:style>
  <w:style w:type="character" w:customStyle="1" w:styleId="RefChar">
    <w:name w:val="Ref. Char"/>
    <w:basedOn w:val="Policepardfaut"/>
    <w:link w:val="Ref"/>
    <w:rsid w:val="007556C2"/>
    <w:rPr>
      <w:rFonts w:ascii="Arial" w:hAnsi="Arial" w:cs="Arial"/>
      <w:sz w:val="18"/>
      <w:szCs w:val="18"/>
      <w:lang w:eastAsia="fr-FR"/>
    </w:rPr>
  </w:style>
  <w:style w:type="paragraph" w:customStyle="1" w:styleId="sumtexte">
    <w:name w:val="sumtexte"/>
    <w:basedOn w:val="Normal"/>
    <w:rsid w:val="00772561"/>
    <w:pPr>
      <w:tabs>
        <w:tab w:val="left" w:pos="-720"/>
      </w:tabs>
      <w:spacing w:after="120" w:line="360" w:lineRule="auto"/>
      <w:ind w:left="567" w:right="567"/>
    </w:pPr>
    <w:rPr>
      <w:rFonts w:ascii="Arial" w:hAnsi="Arial" w:cs="Arial"/>
      <w:i/>
      <w:iCs/>
      <w:sz w:val="18"/>
      <w:szCs w:val="18"/>
      <w:lang w:eastAsia="fr-FR"/>
    </w:rPr>
  </w:style>
  <w:style w:type="paragraph" w:customStyle="1" w:styleId="paraA0">
    <w:name w:val="paraA"/>
    <w:basedOn w:val="Normal"/>
    <w:rsid w:val="00772561"/>
    <w:pPr>
      <w:tabs>
        <w:tab w:val="left" w:pos="-720"/>
      </w:tabs>
      <w:spacing w:after="240" w:line="360" w:lineRule="auto"/>
    </w:pPr>
    <w:rPr>
      <w:rFonts w:ascii="Arial" w:hAnsi="Arial" w:cs="Arial"/>
      <w:sz w:val="18"/>
      <w:szCs w:val="18"/>
      <w:lang w:eastAsia="fr-FR"/>
    </w:rPr>
  </w:style>
  <w:style w:type="paragraph" w:customStyle="1" w:styleId="TITRE">
    <w:name w:val="TITRE"/>
    <w:basedOn w:val="Normal"/>
    <w:rsid w:val="00FC674A"/>
    <w:pPr>
      <w:tabs>
        <w:tab w:val="left" w:pos="-720"/>
      </w:tabs>
      <w:spacing w:after="240" w:line="360" w:lineRule="atLeast"/>
      <w:jc w:val="center"/>
    </w:pPr>
    <w:rPr>
      <w:b/>
      <w:bCs/>
      <w:caps/>
      <w:sz w:val="20"/>
      <w:szCs w:val="20"/>
      <w:lang w:eastAsia="fr-FR"/>
    </w:rPr>
  </w:style>
  <w:style w:type="paragraph" w:styleId="Pieddepage">
    <w:name w:val="footer"/>
    <w:basedOn w:val="Normal"/>
    <w:rsid w:val="00FC674A"/>
    <w:pPr>
      <w:tabs>
        <w:tab w:val="center" w:pos="4536"/>
        <w:tab w:val="right" w:pos="9072"/>
      </w:tabs>
      <w:spacing w:line="360" w:lineRule="atLeast"/>
    </w:pPr>
    <w:rPr>
      <w:sz w:val="20"/>
      <w:szCs w:val="20"/>
      <w:lang w:eastAsia="fr-FR"/>
    </w:rPr>
  </w:style>
  <w:style w:type="paragraph" w:customStyle="1" w:styleId="sumtextelastpara">
    <w:name w:val="sumtexte last para"/>
    <w:basedOn w:val="sumtexte"/>
    <w:rsid w:val="00FC674A"/>
    <w:pPr>
      <w:spacing w:after="480"/>
    </w:pPr>
  </w:style>
  <w:style w:type="paragraph" w:customStyle="1" w:styleId="b">
    <w:name w:val="b)"/>
    <w:basedOn w:val="Normal"/>
    <w:rsid w:val="00FC674A"/>
    <w:pPr>
      <w:tabs>
        <w:tab w:val="left" w:pos="-720"/>
      </w:tabs>
      <w:spacing w:after="120"/>
      <w:ind w:left="850" w:hanging="425"/>
    </w:pPr>
    <w:rPr>
      <w:rFonts w:ascii="Ottawa" w:hAnsi="Ottawa"/>
      <w:b/>
      <w:sz w:val="18"/>
      <w:szCs w:val="20"/>
      <w:lang w:eastAsia="fr-FR"/>
    </w:rPr>
  </w:style>
  <w:style w:type="paragraph" w:customStyle="1" w:styleId="ipara">
    <w:name w:val="i_para"/>
    <w:basedOn w:val="i"/>
    <w:rsid w:val="00FC674A"/>
    <w:pPr>
      <w:spacing w:line="200" w:lineRule="exact"/>
      <w:ind w:left="851" w:firstLine="0"/>
    </w:pPr>
  </w:style>
  <w:style w:type="paragraph" w:customStyle="1" w:styleId="iparalast">
    <w:name w:val="i_para_last"/>
    <w:basedOn w:val="i"/>
    <w:rsid w:val="00FC674A"/>
    <w:pPr>
      <w:spacing w:after="240" w:line="200" w:lineRule="exact"/>
    </w:pPr>
  </w:style>
  <w:style w:type="paragraph" w:customStyle="1" w:styleId="Referencetitle">
    <w:name w:val="Reference_title"/>
    <w:basedOn w:val="Normal"/>
    <w:rsid w:val="00FC674A"/>
    <w:pPr>
      <w:widowControl w:val="0"/>
      <w:tabs>
        <w:tab w:val="left" w:pos="-720"/>
        <w:tab w:val="left" w:pos="2410"/>
      </w:tabs>
      <w:spacing w:after="240"/>
      <w:jc w:val="center"/>
    </w:pPr>
    <w:rPr>
      <w:rFonts w:ascii="Ottawa" w:hAnsi="Ottawa"/>
      <w:b/>
      <w:sz w:val="22"/>
      <w:szCs w:val="20"/>
      <w:lang w:eastAsia="fr-FR"/>
    </w:rPr>
  </w:style>
  <w:style w:type="paragraph" w:customStyle="1" w:styleId="Chatperno">
    <w:name w:val="Chatper_no"/>
    <w:basedOn w:val="Normal"/>
    <w:rsid w:val="00FC674A"/>
    <w:pPr>
      <w:tabs>
        <w:tab w:val="left" w:pos="-720"/>
      </w:tabs>
      <w:spacing w:after="240"/>
      <w:jc w:val="center"/>
    </w:pPr>
    <w:rPr>
      <w:rFonts w:ascii="Ottawa" w:hAnsi="Ottawa"/>
      <w:caps/>
      <w:spacing w:val="60"/>
      <w:szCs w:val="20"/>
      <w:lang w:eastAsia="fr-FR"/>
    </w:rPr>
  </w:style>
  <w:style w:type="paragraph" w:customStyle="1" w:styleId="Chaptertitle">
    <w:name w:val="Chapter_title"/>
    <w:basedOn w:val="Normal"/>
    <w:rsid w:val="00FC674A"/>
    <w:pPr>
      <w:pBdr>
        <w:bottom w:val="single" w:sz="6" w:space="10" w:color="auto"/>
      </w:pBdr>
      <w:tabs>
        <w:tab w:val="left" w:pos="-720"/>
      </w:tabs>
      <w:jc w:val="center"/>
    </w:pPr>
    <w:rPr>
      <w:rFonts w:ascii="Ottawa" w:hAnsi="Ottawa"/>
      <w:b/>
      <w:caps/>
      <w:spacing w:val="40"/>
      <w:sz w:val="32"/>
      <w:szCs w:val="20"/>
      <w:lang w:eastAsia="fr-FR"/>
    </w:rPr>
  </w:style>
  <w:style w:type="paragraph" w:customStyle="1" w:styleId="Summarytitle">
    <w:name w:val="Summary_title"/>
    <w:basedOn w:val="A0"/>
    <w:rsid w:val="00FC674A"/>
    <w:pPr>
      <w:spacing w:before="1200"/>
    </w:pPr>
  </w:style>
  <w:style w:type="paragraph" w:customStyle="1" w:styleId="rtoiles">
    <w:name w:val="r_étoiles"/>
    <w:basedOn w:val="Normal"/>
    <w:next w:val="Normal"/>
    <w:rsid w:val="00FC674A"/>
    <w:pPr>
      <w:keepLines/>
      <w:spacing w:before="240" w:after="240" w:line="240" w:lineRule="atLeast"/>
      <w:jc w:val="center"/>
    </w:pPr>
    <w:rPr>
      <w:sz w:val="20"/>
      <w:szCs w:val="20"/>
      <w:lang w:val="fr-FR" w:eastAsia="fr-FR"/>
    </w:rPr>
  </w:style>
  <w:style w:type="paragraph" w:styleId="Textedebulles">
    <w:name w:val="Balloon Text"/>
    <w:basedOn w:val="Normal"/>
    <w:semiHidden/>
    <w:rsid w:val="00FC674A"/>
    <w:pPr>
      <w:tabs>
        <w:tab w:val="left" w:pos="-720"/>
      </w:tabs>
      <w:spacing w:line="360" w:lineRule="atLeast"/>
    </w:pPr>
    <w:rPr>
      <w:rFonts w:ascii="Tahoma" w:hAnsi="Tahoma" w:cs="Tahoma"/>
      <w:sz w:val="16"/>
      <w:szCs w:val="16"/>
      <w:lang w:eastAsia="fr-FR"/>
    </w:rPr>
  </w:style>
  <w:style w:type="character" w:styleId="Lienhypertexte">
    <w:name w:val="Hyperlink"/>
    <w:basedOn w:val="Policepardfaut"/>
    <w:rsid w:val="00FC674A"/>
    <w:rPr>
      <w:color w:val="0000FF"/>
      <w:u w:val="single"/>
    </w:rPr>
  </w:style>
  <w:style w:type="character" w:styleId="Marquedecommentaire">
    <w:name w:val="annotation reference"/>
    <w:basedOn w:val="Policepardfaut"/>
    <w:semiHidden/>
    <w:rsid w:val="008E6E4E"/>
    <w:rPr>
      <w:sz w:val="16"/>
      <w:szCs w:val="16"/>
    </w:rPr>
  </w:style>
  <w:style w:type="paragraph" w:styleId="Commentaire">
    <w:name w:val="annotation text"/>
    <w:basedOn w:val="Normal"/>
    <w:semiHidden/>
    <w:rsid w:val="008E6E4E"/>
    <w:rPr>
      <w:sz w:val="20"/>
      <w:szCs w:val="20"/>
    </w:rPr>
  </w:style>
  <w:style w:type="paragraph" w:styleId="Objetducommentaire">
    <w:name w:val="annotation subject"/>
    <w:basedOn w:val="Commentaire"/>
    <w:next w:val="Commentaire"/>
    <w:semiHidden/>
    <w:rsid w:val="008E6E4E"/>
    <w:rPr>
      <w:b/>
      <w:bCs/>
    </w:rPr>
  </w:style>
  <w:style w:type="paragraph" w:styleId="NormalWeb">
    <w:name w:val="Normal (Web)"/>
    <w:basedOn w:val="Normal"/>
    <w:rsid w:val="007B0249"/>
  </w:style>
  <w:style w:type="character" w:customStyle="1" w:styleId="En-tteCar">
    <w:name w:val="En-tête Car"/>
    <w:basedOn w:val="Policepardfaut"/>
    <w:link w:val="En-tte"/>
    <w:rsid w:val="00D4076D"/>
    <w:rPr>
      <w:lang w:eastAsia="fr-FR"/>
    </w:rPr>
  </w:style>
  <w:style w:type="paragraph" w:customStyle="1" w:styleId="Reflabnote">
    <w:name w:val="Ref_lab_note"/>
    <w:basedOn w:val="Normal"/>
    <w:link w:val="ReflabnoteCar"/>
    <w:rsid w:val="00453C08"/>
    <w:pPr>
      <w:spacing w:before="120" w:after="120"/>
      <w:jc w:val="center"/>
    </w:pPr>
    <w:rPr>
      <w:rFonts w:ascii="Arial" w:hAnsi="Arial" w:cs="Arial"/>
      <w:sz w:val="18"/>
      <w:szCs w:val="18"/>
      <w:lang w:eastAsia="fr-FR"/>
    </w:rPr>
  </w:style>
  <w:style w:type="character" w:customStyle="1" w:styleId="ReflabnoteCar">
    <w:name w:val="Ref_lab_note Car"/>
    <w:basedOn w:val="Policepardfaut"/>
    <w:link w:val="Reflabnote"/>
    <w:rsid w:val="00453C08"/>
    <w:rPr>
      <w:rFonts w:ascii="Arial" w:hAnsi="Arial" w:cs="Arial"/>
      <w:sz w:val="18"/>
      <w:szCs w:val="18"/>
      <w:lang w:eastAsia="fr-FR"/>
    </w:rPr>
  </w:style>
  <w:style w:type="paragraph" w:customStyle="1" w:styleId="TableHead">
    <w:name w:val="Table Head"/>
    <w:basedOn w:val="Normal"/>
    <w:rsid w:val="00AE0527"/>
    <w:pPr>
      <w:spacing w:before="120" w:after="120"/>
      <w:jc w:val="center"/>
    </w:pPr>
    <w:rPr>
      <w:rFonts w:ascii="Ottawa" w:eastAsia="Times New Roman" w:hAnsi="Ottawa"/>
      <w:b/>
      <w:bCs/>
      <w:kern w:val="0"/>
      <w:sz w:val="18"/>
      <w:szCs w:val="22"/>
      <w:lang w:val="en-IE" w:bidi="en-US"/>
    </w:rPr>
  </w:style>
  <w:style w:type="paragraph" w:customStyle="1" w:styleId="Tabletext">
    <w:name w:val="Table text"/>
    <w:basedOn w:val="Normal"/>
    <w:rsid w:val="00AE0527"/>
    <w:pPr>
      <w:spacing w:before="120" w:after="120"/>
      <w:jc w:val="center"/>
    </w:pPr>
    <w:rPr>
      <w:rFonts w:ascii="Arial" w:eastAsia="Times New Roman" w:hAnsi="Arial" w:cs="Arial"/>
      <w:bCs/>
      <w:kern w:val="0"/>
      <w:sz w:val="18"/>
      <w:szCs w:val="22"/>
      <w:lang w:val="en-IE" w:bidi="en-US"/>
    </w:rPr>
  </w:style>
  <w:style w:type="paragraph" w:customStyle="1" w:styleId="Tabletitle">
    <w:name w:val="Table title"/>
    <w:basedOn w:val="Normal"/>
    <w:autoRedefine/>
    <w:rsid w:val="00AE0527"/>
    <w:pPr>
      <w:spacing w:after="120"/>
      <w:jc w:val="center"/>
    </w:pPr>
    <w:rPr>
      <w:rFonts w:ascii="Ottawa" w:eastAsia="Times New Roman" w:hAnsi="Ottawa" w:cs="Calibri"/>
      <w:b/>
      <w:bCs/>
      <w:i/>
      <w:kern w:val="0"/>
      <w:sz w:val="18"/>
      <w:szCs w:val="22"/>
      <w:lang w:bidi="en-US"/>
    </w:rPr>
  </w:style>
  <w:style w:type="paragraph" w:styleId="Textebrut">
    <w:name w:val="Plain Text"/>
    <w:basedOn w:val="Normal"/>
    <w:link w:val="TextebrutCar"/>
    <w:uiPriority w:val="99"/>
    <w:unhideWhenUsed/>
    <w:rsid w:val="00AE0527"/>
    <w:pPr>
      <w:jc w:val="left"/>
    </w:pPr>
    <w:rPr>
      <w:rFonts w:ascii="Calibri" w:eastAsiaTheme="minorHAnsi" w:hAnsi="Calibri" w:cstheme="minorBidi"/>
      <w:kern w:val="0"/>
      <w:sz w:val="22"/>
      <w:szCs w:val="21"/>
    </w:rPr>
  </w:style>
  <w:style w:type="character" w:customStyle="1" w:styleId="TextebrutCar">
    <w:name w:val="Texte brut Car"/>
    <w:basedOn w:val="Policepardfaut"/>
    <w:link w:val="Textebrut"/>
    <w:uiPriority w:val="99"/>
    <w:rsid w:val="00AE0527"/>
    <w:rPr>
      <w:rFonts w:ascii="Calibri" w:eastAsiaTheme="minorHAnsi" w:hAnsi="Calibri" w:cstheme="minorBidi"/>
      <w:kern w:val="0"/>
      <w:sz w:val="22"/>
      <w:szCs w:val="21"/>
      <w:lang w:eastAsia="en-US"/>
    </w:rPr>
  </w:style>
  <w:style w:type="paragraph" w:customStyle="1" w:styleId="11">
    <w:name w:val="1.1"/>
    <w:basedOn w:val="Normal"/>
    <w:qFormat/>
    <w:rsid w:val="00E70E3D"/>
    <w:pPr>
      <w:spacing w:after="240"/>
      <w:ind w:left="850" w:hanging="425"/>
      <w:jc w:val="left"/>
    </w:pPr>
    <w:rPr>
      <w:rFonts w:ascii="Ottawa" w:eastAsiaTheme="minorHAnsi" w:hAnsi="Ottawa" w:cs="Arial"/>
      <w:b/>
      <w:kern w:val="0"/>
      <w:sz w:val="20"/>
      <w:szCs w:val="22"/>
    </w:rPr>
  </w:style>
  <w:style w:type="paragraph" w:customStyle="1" w:styleId="11Para">
    <w:name w:val="1.1_Para"/>
    <w:basedOn w:val="Normal"/>
    <w:qFormat/>
    <w:rsid w:val="00E70E3D"/>
    <w:pPr>
      <w:spacing w:after="240"/>
      <w:ind w:left="851"/>
    </w:pPr>
    <w:rPr>
      <w:rFonts w:ascii="Arial" w:eastAsiaTheme="minorHAnsi" w:hAnsi="Arial" w:cs="Arial"/>
      <w:kern w:val="0"/>
      <w:sz w:val="18"/>
      <w:szCs w:val="18"/>
    </w:rPr>
  </w:style>
  <w:style w:type="paragraph" w:customStyle="1" w:styleId="111">
    <w:name w:val="1.1.1"/>
    <w:basedOn w:val="Normal"/>
    <w:qFormat/>
    <w:rsid w:val="00E70E3D"/>
    <w:pPr>
      <w:spacing w:after="120"/>
      <w:ind w:left="1418" w:hanging="567"/>
      <w:jc w:val="left"/>
    </w:pPr>
    <w:rPr>
      <w:rFonts w:ascii="Ottawa" w:eastAsiaTheme="minorHAnsi" w:hAnsi="Ottawa" w:cs="Arial"/>
      <w:b/>
      <w:kern w:val="0"/>
      <w:sz w:val="19"/>
      <w:szCs w:val="20"/>
    </w:rPr>
  </w:style>
  <w:style w:type="paragraph" w:customStyle="1" w:styleId="111Para">
    <w:name w:val="1.1.1_Para"/>
    <w:basedOn w:val="Normal"/>
    <w:qFormat/>
    <w:rsid w:val="00E70E3D"/>
    <w:pPr>
      <w:spacing w:after="240"/>
      <w:ind w:left="1418"/>
    </w:pPr>
    <w:rPr>
      <w:rFonts w:ascii="Arial" w:eastAsiaTheme="minorHAnsi" w:hAnsi="Arial" w:cs="Arial"/>
      <w:kern w:val="0"/>
      <w:sz w:val="18"/>
      <w:szCs w:val="18"/>
    </w:rPr>
  </w:style>
  <w:style w:type="paragraph" w:customStyle="1" w:styleId="ilast">
    <w:name w:val="i)_last"/>
    <w:basedOn w:val="Normal"/>
    <w:qFormat/>
    <w:rsid w:val="00E70E3D"/>
    <w:pPr>
      <w:spacing w:after="240"/>
      <w:ind w:left="1843" w:hanging="425"/>
      <w:jc w:val="left"/>
    </w:pPr>
    <w:rPr>
      <w:rFonts w:ascii="Arial" w:eastAsiaTheme="minorHAnsi" w:hAnsi="Arial" w:cs="Arial"/>
      <w:kern w:val="0"/>
      <w:sz w:val="18"/>
      <w:szCs w:val="18"/>
    </w:rPr>
  </w:style>
  <w:style w:type="paragraph" w:customStyle="1" w:styleId="afourthlevel">
    <w:name w:val="a)_fourth_level"/>
    <w:basedOn w:val="Normal"/>
    <w:qFormat/>
    <w:rsid w:val="00E70E3D"/>
    <w:pPr>
      <w:spacing w:after="120"/>
      <w:ind w:left="1843" w:hanging="425"/>
      <w:jc w:val="left"/>
    </w:pPr>
    <w:rPr>
      <w:rFonts w:ascii="Ottawa" w:eastAsiaTheme="minorHAnsi" w:hAnsi="Ottawa" w:cs="Arial"/>
      <w:b/>
      <w:kern w:val="0"/>
      <w:sz w:val="18"/>
      <w:szCs w:val="20"/>
    </w:rPr>
  </w:style>
  <w:style w:type="paragraph" w:customStyle="1" w:styleId="afourthpara">
    <w:name w:val="a)_fourth_para"/>
    <w:basedOn w:val="Normal"/>
    <w:qFormat/>
    <w:rsid w:val="00E70E3D"/>
    <w:pPr>
      <w:spacing w:after="240"/>
      <w:ind w:left="1843"/>
    </w:pPr>
    <w:rPr>
      <w:rFonts w:ascii="Arial" w:eastAsiaTheme="minorHAnsi" w:hAnsi="Arial" w:cs="Arial"/>
      <w:kern w:val="0"/>
      <w:sz w:val="18"/>
      <w:szCs w:val="18"/>
    </w:rPr>
  </w:style>
  <w:style w:type="paragraph" w:customStyle="1" w:styleId="ififthlevel">
    <w:name w:val="i)_fifth_level"/>
    <w:basedOn w:val="Normal"/>
    <w:qFormat/>
    <w:rsid w:val="00E70E3D"/>
    <w:pPr>
      <w:spacing w:after="120"/>
      <w:ind w:left="2268" w:hanging="425"/>
      <w:jc w:val="left"/>
    </w:pPr>
    <w:rPr>
      <w:rFonts w:ascii="Ottawa" w:eastAsiaTheme="minorHAnsi" w:hAnsi="Ottawa" w:cs="Arial"/>
      <w:b/>
      <w:kern w:val="0"/>
      <w:sz w:val="17"/>
      <w:szCs w:val="18"/>
    </w:rPr>
  </w:style>
  <w:style w:type="paragraph" w:customStyle="1" w:styleId="ififthpara">
    <w:name w:val="i)_fifth_para"/>
    <w:basedOn w:val="Normal"/>
    <w:qFormat/>
    <w:rsid w:val="00E70E3D"/>
    <w:pPr>
      <w:spacing w:after="240"/>
      <w:ind w:left="2268"/>
    </w:pPr>
    <w:rPr>
      <w:rFonts w:ascii="Arial" w:eastAsiaTheme="minorHAnsi" w:hAnsi="Arial" w:cs="Arial"/>
      <w:kern w:val="0"/>
      <w:sz w:val="18"/>
      <w:szCs w:val="18"/>
    </w:rPr>
  </w:style>
  <w:style w:type="paragraph" w:customStyle="1" w:styleId="dotsixthlevel">
    <w:name w:val="dot_sixth_level"/>
    <w:basedOn w:val="Normal"/>
    <w:qFormat/>
    <w:rsid w:val="00E70E3D"/>
    <w:pPr>
      <w:spacing w:after="120"/>
      <w:ind w:left="2268" w:hanging="425"/>
      <w:jc w:val="left"/>
    </w:pPr>
    <w:rPr>
      <w:rFonts w:ascii="Arial" w:eastAsiaTheme="minorHAnsi" w:hAnsi="Arial" w:cs="Arial"/>
      <w:kern w:val="0"/>
      <w:sz w:val="18"/>
      <w:szCs w:val="18"/>
    </w:rPr>
  </w:style>
  <w:style w:type="paragraph" w:customStyle="1" w:styleId="dotsixthpara">
    <w:name w:val="dot_sixth_para"/>
    <w:basedOn w:val="Normal"/>
    <w:qFormat/>
    <w:rsid w:val="00E70E3D"/>
    <w:pPr>
      <w:spacing w:after="240"/>
      <w:ind w:left="2268"/>
    </w:pPr>
    <w:rPr>
      <w:rFonts w:ascii="Arial" w:eastAsiaTheme="minorHAnsi" w:hAnsi="Arial" w:cs="Arial"/>
      <w:kern w:val="0"/>
      <w:sz w:val="18"/>
      <w:szCs w:val="18"/>
    </w:rPr>
  </w:style>
  <w:style w:type="paragraph" w:customStyle="1" w:styleId="ififthlevellist">
    <w:name w:val="i_fifth_level_list"/>
    <w:basedOn w:val="ififthpara"/>
    <w:qFormat/>
    <w:rsid w:val="00E70E3D"/>
    <w:pPr>
      <w:spacing w:after="120"/>
      <w:ind w:hanging="425"/>
    </w:pPr>
  </w:style>
  <w:style w:type="paragraph" w:styleId="Notedebasdepage">
    <w:name w:val="footnote text"/>
    <w:basedOn w:val="Normal"/>
    <w:link w:val="NotedebasdepageCar"/>
    <w:rsid w:val="001A53E6"/>
    <w:pPr>
      <w:tabs>
        <w:tab w:val="left" w:pos="-720"/>
      </w:tabs>
      <w:spacing w:line="360" w:lineRule="atLeast"/>
    </w:pPr>
    <w:rPr>
      <w:rFonts w:ascii="Times New Roman" w:eastAsia="Times New Roman" w:hAnsi="Times New Roman"/>
      <w:kern w:val="0"/>
      <w:sz w:val="20"/>
      <w:szCs w:val="20"/>
      <w:lang w:eastAsia="fr-FR"/>
    </w:rPr>
  </w:style>
  <w:style w:type="character" w:customStyle="1" w:styleId="NotedebasdepageCar">
    <w:name w:val="Note de bas de page Car"/>
    <w:basedOn w:val="Policepardfaut"/>
    <w:link w:val="Notedebasdepage"/>
    <w:rsid w:val="001A53E6"/>
    <w:rPr>
      <w:rFonts w:ascii="Times New Roman" w:eastAsia="Times New Roman" w:hAnsi="Times New Roman"/>
      <w:kern w:val="0"/>
      <w:sz w:val="20"/>
      <w:szCs w:val="20"/>
      <w:lang w:eastAsia="fr-FR"/>
    </w:rPr>
  </w:style>
  <w:style w:type="character" w:styleId="Appelnotedebasdep">
    <w:name w:val="footnote reference"/>
    <w:basedOn w:val="Policepardfaut"/>
    <w:rsid w:val="001A53E6"/>
    <w:rPr>
      <w:rFonts w:cs="Times New Roman"/>
      <w:vertAlign w:val="superscript"/>
    </w:rPr>
  </w:style>
  <w:style w:type="paragraph" w:styleId="Corpsdetexte">
    <w:name w:val="Body Text"/>
    <w:basedOn w:val="Normal"/>
    <w:link w:val="CorpsdetexteCar"/>
    <w:rsid w:val="00922470"/>
    <w:pPr>
      <w:widowControl w:val="0"/>
      <w:tabs>
        <w:tab w:val="left" w:pos="-720"/>
      </w:tabs>
      <w:suppressAutoHyphens/>
      <w:jc w:val="left"/>
    </w:pPr>
    <w:rPr>
      <w:rFonts w:ascii="Courier New" w:eastAsia="Times New Roman" w:hAnsi="Courier New" w:cs="Courier New"/>
      <w:b/>
      <w:bCs/>
      <w:kern w:val="0"/>
      <w:lang w:eastAsia="ar-SA"/>
    </w:rPr>
  </w:style>
  <w:style w:type="character" w:customStyle="1" w:styleId="CorpsdetexteCar">
    <w:name w:val="Corps de texte Car"/>
    <w:basedOn w:val="Policepardfaut"/>
    <w:link w:val="Corpsdetexte"/>
    <w:rsid w:val="00922470"/>
    <w:rPr>
      <w:rFonts w:ascii="Courier New" w:eastAsia="Times New Roman" w:hAnsi="Courier New" w:cs="Courier New"/>
      <w:b/>
      <w:bCs/>
      <w:kern w:val="0"/>
      <w:lang w:eastAsia="ar-SA"/>
    </w:rPr>
  </w:style>
  <w:style w:type="paragraph" w:customStyle="1" w:styleId="Titre10">
    <w:name w:val="Titre1"/>
    <w:basedOn w:val="Normal"/>
    <w:rsid w:val="00BF40D3"/>
    <w:pPr>
      <w:spacing w:before="100" w:beforeAutospacing="1" w:after="100" w:afterAutospacing="1"/>
      <w:jc w:val="left"/>
    </w:pPr>
    <w:rPr>
      <w:rFonts w:ascii="Times New Roman" w:eastAsia="Times New Roman" w:hAnsi="Times New Roman"/>
      <w:kern w:val="0"/>
      <w:lang w:val="en-IE" w:eastAsia="en-IE"/>
    </w:rPr>
  </w:style>
  <w:style w:type="paragraph" w:customStyle="1" w:styleId="desc">
    <w:name w:val="desc"/>
    <w:basedOn w:val="Normal"/>
    <w:rsid w:val="00BF40D3"/>
    <w:pPr>
      <w:spacing w:before="100" w:beforeAutospacing="1" w:after="100" w:afterAutospacing="1"/>
      <w:jc w:val="left"/>
    </w:pPr>
    <w:rPr>
      <w:rFonts w:ascii="Times New Roman" w:eastAsia="Times New Roman" w:hAnsi="Times New Roman"/>
      <w:kern w:val="0"/>
      <w:lang w:val="en-IE" w:eastAsia="en-IE"/>
    </w:rPr>
  </w:style>
  <w:style w:type="paragraph" w:customStyle="1" w:styleId="details">
    <w:name w:val="details"/>
    <w:basedOn w:val="Normal"/>
    <w:rsid w:val="00BF40D3"/>
    <w:pPr>
      <w:spacing w:before="100" w:beforeAutospacing="1" w:after="100" w:afterAutospacing="1"/>
      <w:jc w:val="left"/>
    </w:pPr>
    <w:rPr>
      <w:rFonts w:ascii="Times New Roman" w:eastAsia="Times New Roman" w:hAnsi="Times New Roman"/>
      <w:kern w:val="0"/>
      <w:lang w:val="en-IE" w:eastAsia="en-IE"/>
    </w:rPr>
  </w:style>
  <w:style w:type="character" w:customStyle="1" w:styleId="jrnl">
    <w:name w:val="jrnl"/>
    <w:basedOn w:val="Policepardfaut"/>
    <w:rsid w:val="00BF40D3"/>
  </w:style>
  <w:style w:type="paragraph" w:customStyle="1" w:styleId="Titre20">
    <w:name w:val="Titre2"/>
    <w:basedOn w:val="Normal"/>
    <w:rsid w:val="00FD2D2A"/>
    <w:pPr>
      <w:spacing w:before="100" w:beforeAutospacing="1" w:after="100" w:afterAutospacing="1"/>
      <w:jc w:val="left"/>
    </w:pPr>
    <w:rPr>
      <w:rFonts w:ascii="Times New Roman" w:eastAsia="Times New Roman" w:hAnsi="Times New Roman"/>
      <w:kern w:val="0"/>
      <w:lang w:val="en-IE" w:eastAsia="en-IE"/>
    </w:rPr>
  </w:style>
  <w:style w:type="paragraph" w:styleId="Rvision">
    <w:name w:val="Revision"/>
    <w:hidden/>
    <w:semiHidden/>
    <w:rsid w:val="00FA627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574246">
      <w:bodyDiv w:val="1"/>
      <w:marLeft w:val="0"/>
      <w:marRight w:val="0"/>
      <w:marTop w:val="0"/>
      <w:marBottom w:val="0"/>
      <w:divBdr>
        <w:top w:val="none" w:sz="0" w:space="0" w:color="auto"/>
        <w:left w:val="none" w:sz="0" w:space="0" w:color="auto"/>
        <w:bottom w:val="none" w:sz="0" w:space="0" w:color="auto"/>
        <w:right w:val="none" w:sz="0" w:space="0" w:color="auto"/>
      </w:divBdr>
      <w:divsChild>
        <w:div w:id="1527330013">
          <w:marLeft w:val="0"/>
          <w:marRight w:val="0"/>
          <w:marTop w:val="0"/>
          <w:marBottom w:val="0"/>
          <w:divBdr>
            <w:top w:val="none" w:sz="0" w:space="0" w:color="auto"/>
            <w:left w:val="none" w:sz="0" w:space="0" w:color="auto"/>
            <w:bottom w:val="none" w:sz="0" w:space="0" w:color="auto"/>
            <w:right w:val="none" w:sz="0" w:space="0" w:color="auto"/>
          </w:divBdr>
        </w:div>
        <w:div w:id="1933930915">
          <w:marLeft w:val="0"/>
          <w:marRight w:val="0"/>
          <w:marTop w:val="0"/>
          <w:marBottom w:val="0"/>
          <w:divBdr>
            <w:top w:val="none" w:sz="0" w:space="0" w:color="auto"/>
            <w:left w:val="none" w:sz="0" w:space="0" w:color="auto"/>
            <w:bottom w:val="none" w:sz="0" w:space="0" w:color="auto"/>
            <w:right w:val="none" w:sz="0" w:space="0" w:color="auto"/>
          </w:divBdr>
          <w:divsChild>
            <w:div w:id="625043870">
              <w:marLeft w:val="0"/>
              <w:marRight w:val="0"/>
              <w:marTop w:val="0"/>
              <w:marBottom w:val="0"/>
              <w:divBdr>
                <w:top w:val="none" w:sz="0" w:space="0" w:color="auto"/>
                <w:left w:val="none" w:sz="0" w:space="0" w:color="auto"/>
                <w:bottom w:val="none" w:sz="0" w:space="0" w:color="auto"/>
                <w:right w:val="none" w:sz="0" w:space="0" w:color="auto"/>
              </w:divBdr>
            </w:div>
            <w:div w:id="1021080060">
              <w:marLeft w:val="0"/>
              <w:marRight w:val="0"/>
              <w:marTop w:val="0"/>
              <w:marBottom w:val="0"/>
              <w:divBdr>
                <w:top w:val="none" w:sz="0" w:space="0" w:color="auto"/>
                <w:left w:val="none" w:sz="0" w:space="0" w:color="auto"/>
                <w:bottom w:val="none" w:sz="0" w:space="0" w:color="auto"/>
                <w:right w:val="none" w:sz="0" w:space="0" w:color="auto"/>
              </w:divBdr>
              <w:divsChild>
                <w:div w:id="188948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089692">
      <w:bodyDiv w:val="1"/>
      <w:marLeft w:val="0"/>
      <w:marRight w:val="0"/>
      <w:marTop w:val="0"/>
      <w:marBottom w:val="0"/>
      <w:divBdr>
        <w:top w:val="none" w:sz="0" w:space="0" w:color="auto"/>
        <w:left w:val="none" w:sz="0" w:space="0" w:color="auto"/>
        <w:bottom w:val="none" w:sz="0" w:space="0" w:color="auto"/>
        <w:right w:val="none" w:sz="0" w:space="0" w:color="auto"/>
      </w:divBdr>
      <w:divsChild>
        <w:div w:id="710617018">
          <w:marLeft w:val="96"/>
          <w:marRight w:val="60"/>
          <w:marTop w:val="0"/>
          <w:marBottom w:val="0"/>
          <w:divBdr>
            <w:top w:val="none" w:sz="0" w:space="0" w:color="auto"/>
            <w:left w:val="none" w:sz="0" w:space="0" w:color="auto"/>
            <w:bottom w:val="none" w:sz="0" w:space="0" w:color="auto"/>
            <w:right w:val="none" w:sz="0" w:space="0" w:color="auto"/>
          </w:divBdr>
          <w:divsChild>
            <w:div w:id="1069036682">
              <w:marLeft w:val="0"/>
              <w:marRight w:val="0"/>
              <w:marTop w:val="0"/>
              <w:marBottom w:val="0"/>
              <w:divBdr>
                <w:top w:val="none" w:sz="0" w:space="0" w:color="auto"/>
                <w:left w:val="none" w:sz="0" w:space="0" w:color="auto"/>
                <w:bottom w:val="none" w:sz="0" w:space="0" w:color="auto"/>
                <w:right w:val="none" w:sz="0" w:space="0" w:color="auto"/>
              </w:divBdr>
              <w:divsChild>
                <w:div w:id="615136118">
                  <w:marLeft w:val="0"/>
                  <w:marRight w:val="0"/>
                  <w:marTop w:val="0"/>
                  <w:marBottom w:val="0"/>
                  <w:divBdr>
                    <w:top w:val="none" w:sz="0" w:space="0" w:color="auto"/>
                    <w:left w:val="none" w:sz="0" w:space="0" w:color="auto"/>
                    <w:bottom w:val="none" w:sz="0" w:space="0" w:color="auto"/>
                    <w:right w:val="none" w:sz="0" w:space="0" w:color="auto"/>
                  </w:divBdr>
                  <w:divsChild>
                    <w:div w:id="147679967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067058">
      <w:bodyDiv w:val="1"/>
      <w:marLeft w:val="0"/>
      <w:marRight w:val="0"/>
      <w:marTop w:val="0"/>
      <w:marBottom w:val="0"/>
      <w:divBdr>
        <w:top w:val="none" w:sz="0" w:space="0" w:color="auto"/>
        <w:left w:val="none" w:sz="0" w:space="0" w:color="auto"/>
        <w:bottom w:val="none" w:sz="0" w:space="0" w:color="auto"/>
        <w:right w:val="none" w:sz="0" w:space="0" w:color="auto"/>
      </w:divBdr>
      <w:divsChild>
        <w:div w:id="118651383">
          <w:marLeft w:val="0"/>
          <w:marRight w:val="0"/>
          <w:marTop w:val="0"/>
          <w:marBottom w:val="0"/>
          <w:divBdr>
            <w:top w:val="none" w:sz="0" w:space="0" w:color="auto"/>
            <w:left w:val="none" w:sz="0" w:space="0" w:color="auto"/>
            <w:bottom w:val="none" w:sz="0" w:space="0" w:color="auto"/>
            <w:right w:val="none" w:sz="0" w:space="0" w:color="auto"/>
          </w:divBdr>
        </w:div>
      </w:divsChild>
    </w:div>
    <w:div w:id="1270433221">
      <w:bodyDiv w:val="1"/>
      <w:marLeft w:val="0"/>
      <w:marRight w:val="0"/>
      <w:marTop w:val="0"/>
      <w:marBottom w:val="0"/>
      <w:divBdr>
        <w:top w:val="none" w:sz="0" w:space="0" w:color="auto"/>
        <w:left w:val="none" w:sz="0" w:space="0" w:color="auto"/>
        <w:bottom w:val="none" w:sz="0" w:space="0" w:color="auto"/>
        <w:right w:val="none" w:sz="0" w:space="0" w:color="auto"/>
      </w:divBdr>
      <w:divsChild>
        <w:div w:id="106702946">
          <w:marLeft w:val="96"/>
          <w:marRight w:val="60"/>
          <w:marTop w:val="0"/>
          <w:marBottom w:val="0"/>
          <w:divBdr>
            <w:top w:val="none" w:sz="0" w:space="0" w:color="auto"/>
            <w:left w:val="none" w:sz="0" w:space="0" w:color="auto"/>
            <w:bottom w:val="none" w:sz="0" w:space="0" w:color="auto"/>
            <w:right w:val="none" w:sz="0" w:space="0" w:color="auto"/>
          </w:divBdr>
          <w:divsChild>
            <w:div w:id="100759480">
              <w:marLeft w:val="0"/>
              <w:marRight w:val="0"/>
              <w:marTop w:val="0"/>
              <w:marBottom w:val="0"/>
              <w:divBdr>
                <w:top w:val="none" w:sz="0" w:space="0" w:color="auto"/>
                <w:left w:val="none" w:sz="0" w:space="0" w:color="auto"/>
                <w:bottom w:val="none" w:sz="0" w:space="0" w:color="auto"/>
                <w:right w:val="none" w:sz="0" w:space="0" w:color="auto"/>
              </w:divBdr>
              <w:divsChild>
                <w:div w:id="876501892">
                  <w:marLeft w:val="0"/>
                  <w:marRight w:val="0"/>
                  <w:marTop w:val="0"/>
                  <w:marBottom w:val="0"/>
                  <w:divBdr>
                    <w:top w:val="none" w:sz="0" w:space="0" w:color="auto"/>
                    <w:left w:val="none" w:sz="0" w:space="0" w:color="auto"/>
                    <w:bottom w:val="none" w:sz="0" w:space="0" w:color="auto"/>
                    <w:right w:val="none" w:sz="0" w:space="0" w:color="auto"/>
                  </w:divBdr>
                  <w:divsChild>
                    <w:div w:id="123890619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89293">
      <w:bodyDiv w:val="1"/>
      <w:marLeft w:val="0"/>
      <w:marRight w:val="0"/>
      <w:marTop w:val="0"/>
      <w:marBottom w:val="0"/>
      <w:divBdr>
        <w:top w:val="none" w:sz="0" w:space="0" w:color="auto"/>
        <w:left w:val="none" w:sz="0" w:space="0" w:color="auto"/>
        <w:bottom w:val="none" w:sz="0" w:space="0" w:color="auto"/>
        <w:right w:val="none" w:sz="0" w:space="0" w:color="auto"/>
      </w:divBdr>
      <w:divsChild>
        <w:div w:id="66566563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21051152" TargetMode="External"/><Relationship Id="rId13" Type="http://schemas.openxmlformats.org/officeDocument/2006/relationships/hyperlink" Target="http://www.oie.int"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ie.int/en/scientific-expertise/reference-laboratories/list-of-laboratorie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pubmed/21402446"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ncbi.nlm.nih.gov/pubmed/155101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cbi.nlm.nih.gov/pubmed/17601669"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C5611-97D5-4052-9AD3-BA50E8D30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6780</Words>
  <Characters>37294</Characters>
  <Application>Microsoft Office Word</Application>
  <DocSecurity>0</DocSecurity>
  <Lines>310</Lines>
  <Paragraphs>87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EQUINE PIROPLASMOSIS</vt:lpstr>
      <vt:lpstr>EQUINE PIROPLASMOSIS</vt:lpstr>
    </vt:vector>
  </TitlesOfParts>
  <Company>UCD</Company>
  <LinksUpToDate>false</LinksUpToDate>
  <CharactersWithSpaces>43987</CharactersWithSpaces>
  <SharedDoc>false</SharedDoc>
  <HLinks>
    <vt:vector size="6" baseType="variant">
      <vt:variant>
        <vt:i4>3932281</vt:i4>
      </vt:variant>
      <vt:variant>
        <vt:i4>0</vt:i4>
      </vt:variant>
      <vt:variant>
        <vt:i4>0</vt:i4>
      </vt:variant>
      <vt:variant>
        <vt:i4>5</vt:i4>
      </vt:variant>
      <vt:variant>
        <vt:lpwstr>http://www.oie.int/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EQUINE PIROPLASMOSIS</dc:title>
  <dc:creator>Theo de Waal</dc:creator>
  <cp:lastModifiedBy>Sara Linnane</cp:lastModifiedBy>
  <cp:revision>5</cp:revision>
  <cp:lastPrinted>2020-03-13T01:28:00Z</cp:lastPrinted>
  <dcterms:created xsi:type="dcterms:W3CDTF">2020-03-18T09:25:00Z</dcterms:created>
  <dcterms:modified xsi:type="dcterms:W3CDTF">2020-03-20T09:41:00Z</dcterms:modified>
</cp:coreProperties>
</file>