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2B133" w14:textId="57A9B83E" w:rsidR="00A64257" w:rsidRPr="00953CBD" w:rsidRDefault="00B06684" w:rsidP="00B06684">
      <w:pPr>
        <w:pStyle w:val="Chatperno"/>
      </w:pPr>
      <w:r w:rsidRPr="009C122D">
        <w:t xml:space="preserve">Chapter </w:t>
      </w:r>
      <w:r w:rsidR="004878A4">
        <w:t>3</w:t>
      </w:r>
      <w:r w:rsidR="00A64257" w:rsidRPr="00953CBD">
        <w:t>.</w:t>
      </w:r>
      <w:r w:rsidR="00A16BFE" w:rsidRPr="00953CBD">
        <w:t>3</w:t>
      </w:r>
      <w:r w:rsidR="00203ECC" w:rsidRPr="00953CBD">
        <w:t>.3</w:t>
      </w:r>
      <w:r w:rsidR="00A64257" w:rsidRPr="00953CBD">
        <w:t>.</w:t>
      </w:r>
    </w:p>
    <w:p w14:paraId="2644BB8F" w14:textId="77777777" w:rsidR="00A64257" w:rsidRPr="00953CBD" w:rsidRDefault="00A64257" w:rsidP="00A64257">
      <w:pPr>
        <w:pStyle w:val="Chaptertitle"/>
      </w:pPr>
      <w:r w:rsidRPr="00953CBD">
        <w:t>avian infectious laryngotracheitis</w:t>
      </w:r>
    </w:p>
    <w:p w14:paraId="35DC221C" w14:textId="77777777" w:rsidR="00A64257" w:rsidRPr="00953CBD" w:rsidRDefault="00A64257" w:rsidP="00A64257">
      <w:pPr>
        <w:pStyle w:val="Summarytitle"/>
      </w:pPr>
      <w:r w:rsidRPr="00953CBD">
        <w:t>SUMMARY</w:t>
      </w:r>
    </w:p>
    <w:p w14:paraId="591558BF" w14:textId="4BCC0163" w:rsidR="00A64257" w:rsidRPr="00953CBD" w:rsidRDefault="00261AE8" w:rsidP="00A64257">
      <w:pPr>
        <w:pStyle w:val="sumtexte"/>
      </w:pPr>
      <w:r w:rsidRPr="009A779B">
        <w:rPr>
          <w:b/>
          <w:bCs/>
          <w:u w:val="double"/>
        </w:rPr>
        <w:t>Description of the disease:</w:t>
      </w:r>
      <w:r>
        <w:rPr>
          <w:b/>
          <w:bCs/>
        </w:rPr>
        <w:t xml:space="preserve"> </w:t>
      </w:r>
      <w:r w:rsidR="00A64257" w:rsidRPr="00953CBD">
        <w:t xml:space="preserve">Avian infectious laryngotracheitis </w:t>
      </w:r>
      <w:r w:rsidR="00A64257" w:rsidRPr="00953CBD">
        <w:rPr>
          <w:i w:val="0"/>
          <w:iCs w:val="0"/>
        </w:rPr>
        <w:t>(</w:t>
      </w:r>
      <w:r w:rsidR="00A64257" w:rsidRPr="00953CBD">
        <w:t>ILT</w:t>
      </w:r>
      <w:r w:rsidR="00A64257" w:rsidRPr="00953CBD">
        <w:rPr>
          <w:i w:val="0"/>
          <w:iCs w:val="0"/>
        </w:rPr>
        <w:t>)</w:t>
      </w:r>
      <w:r w:rsidR="00A64257" w:rsidRPr="00953CBD">
        <w:t xml:space="preserve"> is a respiratory disease caused by </w:t>
      </w:r>
      <w:proofErr w:type="spellStart"/>
      <w:r w:rsidR="007F6D58" w:rsidRPr="00953CBD">
        <w:rPr>
          <w:i w:val="0"/>
        </w:rPr>
        <w:t>gallid</w:t>
      </w:r>
      <w:proofErr w:type="spellEnd"/>
      <w:r w:rsidR="007F6D58" w:rsidRPr="00953CBD">
        <w:rPr>
          <w:i w:val="0"/>
        </w:rPr>
        <w:t xml:space="preserve"> </w:t>
      </w:r>
      <w:proofErr w:type="spellStart"/>
      <w:r w:rsidR="00206770" w:rsidRPr="009A779B">
        <w:rPr>
          <w:i w:val="0"/>
          <w:u w:val="double"/>
        </w:rPr>
        <w:t>alpha</w:t>
      </w:r>
      <w:r w:rsidR="007F6D58" w:rsidRPr="00953CBD">
        <w:rPr>
          <w:i w:val="0"/>
        </w:rPr>
        <w:t>herpesvirus</w:t>
      </w:r>
      <w:proofErr w:type="spellEnd"/>
      <w:r w:rsidR="007F6D58" w:rsidRPr="00953CBD">
        <w:rPr>
          <w:i w:val="0"/>
        </w:rPr>
        <w:t> 1</w:t>
      </w:r>
      <w:r w:rsidR="007F6D58" w:rsidRPr="009A779B">
        <w:rPr>
          <w:strike/>
        </w:rPr>
        <w:t xml:space="preserve"> an</w:t>
      </w:r>
      <w:r w:rsidR="00A64257" w:rsidRPr="009A779B">
        <w:rPr>
          <w:strike/>
        </w:rPr>
        <w:t xml:space="preserve"> </w:t>
      </w:r>
      <w:proofErr w:type="spellStart"/>
      <w:r w:rsidR="00A64257" w:rsidRPr="009A779B">
        <w:rPr>
          <w:strike/>
        </w:rPr>
        <w:t>alphaherpesvir</w:t>
      </w:r>
      <w:r w:rsidR="007F6D58" w:rsidRPr="009A779B">
        <w:rPr>
          <w:strike/>
        </w:rPr>
        <w:t>us</w:t>
      </w:r>
      <w:proofErr w:type="spellEnd"/>
      <w:r w:rsidR="00A64257" w:rsidRPr="00953CBD">
        <w:t xml:space="preserve">. It is principally a disease of chickens, although it can also affect pheasants, partridges and peafowl. The clinical signs and </w:t>
      </w:r>
      <w:r w:rsidR="00707C91" w:rsidRPr="00953CBD">
        <w:t xml:space="preserve">observed </w:t>
      </w:r>
      <w:r w:rsidR="00A64257" w:rsidRPr="00953CBD">
        <w:t>patholog</w:t>
      </w:r>
      <w:r w:rsidR="00707C91" w:rsidRPr="00953CBD">
        <w:t>y</w:t>
      </w:r>
      <w:r w:rsidR="00A64257" w:rsidRPr="00953CBD">
        <w:t xml:space="preserve"> reactions may vary from extremely severe, with some birds dying </w:t>
      </w:r>
      <w:r w:rsidR="00C34B09" w:rsidRPr="00953CBD">
        <w:t>from</w:t>
      </w:r>
      <w:r w:rsidR="00A64257" w:rsidRPr="00953CBD">
        <w:t xml:space="preserve"> asphyxiation, to very mild, indistinguishable from other mild respiratory diseases of chickens. The principal lesion is tracheitis. In infected birds</w:t>
      </w:r>
      <w:r w:rsidR="00C34B09" w:rsidRPr="00953CBD">
        <w:t>,</w:t>
      </w:r>
      <w:r w:rsidR="00A64257" w:rsidRPr="00953CBD">
        <w:t xml:space="preserve"> the virus can become latent and</w:t>
      </w:r>
      <w:r w:rsidR="00C90EF0">
        <w:t xml:space="preserve"> be</w:t>
      </w:r>
      <w:r w:rsidR="00A64257" w:rsidRPr="00953CBD">
        <w:t xml:space="preserve"> re-excreted </w:t>
      </w:r>
      <w:proofErr w:type="gramStart"/>
      <w:r w:rsidR="00A64257" w:rsidRPr="00953CBD">
        <w:t>at a later date</w:t>
      </w:r>
      <w:proofErr w:type="gramEnd"/>
      <w:r w:rsidR="00A64257" w:rsidRPr="00953CBD">
        <w:t xml:space="preserve"> without clinical signs.</w:t>
      </w:r>
    </w:p>
    <w:p w14:paraId="22FA89A8" w14:textId="5B8CD9FA" w:rsidR="00A64257" w:rsidRPr="00953CBD" w:rsidRDefault="00A64257" w:rsidP="00A64257">
      <w:pPr>
        <w:pStyle w:val="sumtexte"/>
      </w:pPr>
      <w:bookmarkStart w:id="0" w:name="_Hlk32928741"/>
      <w:r w:rsidRPr="00953CBD">
        <w:t xml:space="preserve">Laboratory diagnosis depends on </w:t>
      </w:r>
      <w:bookmarkEnd w:id="0"/>
      <w:r w:rsidRPr="00953CBD">
        <w:t xml:space="preserve">isolation of the virus, </w:t>
      </w:r>
      <w:r w:rsidR="00784B9D" w:rsidRPr="00784B9D">
        <w:rPr>
          <w:highlight w:val="yellow"/>
          <w:u w:val="double"/>
        </w:rPr>
        <w:t>and</w:t>
      </w:r>
      <w:r w:rsidR="00784B9D">
        <w:t xml:space="preserve"> </w:t>
      </w:r>
      <w:r w:rsidRPr="00953CBD">
        <w:t>demonstration of the presence of the virus</w:t>
      </w:r>
      <w:r w:rsidR="001118EF">
        <w:t>,</w:t>
      </w:r>
      <w:r w:rsidRPr="00953CBD">
        <w:t xml:space="preserve"> </w:t>
      </w:r>
      <w:r w:rsidRPr="009A779B">
        <w:rPr>
          <w:strike/>
        </w:rPr>
        <w:t xml:space="preserve">or </w:t>
      </w:r>
      <w:r w:rsidRPr="00953CBD">
        <w:t>viral antigens</w:t>
      </w:r>
      <w:r w:rsidR="0083295D">
        <w:t xml:space="preserve"> </w:t>
      </w:r>
      <w:r w:rsidR="0083295D" w:rsidRPr="009A779B">
        <w:rPr>
          <w:u w:val="double"/>
        </w:rPr>
        <w:t>or DNA</w:t>
      </w:r>
      <w:r w:rsidRPr="007D1572">
        <w:rPr>
          <w:strike/>
          <w:highlight w:val="yellow"/>
        </w:rPr>
        <w:t>, and detection of specific antibodies in the serum</w:t>
      </w:r>
      <w:r w:rsidRPr="00953CBD">
        <w:t xml:space="preserve">. Histopathological examination of the trachea for characteristic intranuclear inclusions </w:t>
      </w:r>
      <w:r w:rsidR="002A5C40" w:rsidRPr="00953CBD">
        <w:t>and syncytial cell formations</w:t>
      </w:r>
      <w:r w:rsidR="00D63753" w:rsidRPr="00953CBD">
        <w:t xml:space="preserve"> are of</w:t>
      </w:r>
      <w:r w:rsidR="002A5C40" w:rsidRPr="00953CBD">
        <w:t xml:space="preserve"> </w:t>
      </w:r>
      <w:r w:rsidR="00D63753" w:rsidRPr="00953CBD">
        <w:t xml:space="preserve">diagnostic </w:t>
      </w:r>
      <w:r w:rsidRPr="00953CBD">
        <w:t>value.</w:t>
      </w:r>
      <w:r w:rsidR="006568A8">
        <w:t xml:space="preserve"> </w:t>
      </w:r>
      <w:r w:rsidR="00656B80" w:rsidRPr="009A779B">
        <w:rPr>
          <w:u w:val="double"/>
        </w:rPr>
        <w:t>Many of t</w:t>
      </w:r>
      <w:r w:rsidR="006568A8" w:rsidRPr="009A779B">
        <w:rPr>
          <w:u w:val="double"/>
        </w:rPr>
        <w:t>he diagnostic methods described</w:t>
      </w:r>
      <w:r w:rsidR="006568A8" w:rsidRPr="009A4E3C">
        <w:rPr>
          <w:u w:val="double"/>
        </w:rPr>
        <w:t xml:space="preserve"> in this chapter have not undergone formal validation to modern </w:t>
      </w:r>
      <w:proofErr w:type="gramStart"/>
      <w:r w:rsidR="006568A8" w:rsidRPr="009A4E3C">
        <w:rPr>
          <w:u w:val="double"/>
        </w:rPr>
        <w:t>standards</w:t>
      </w:r>
      <w:r w:rsidR="009A4E3C">
        <w:rPr>
          <w:u w:val="double"/>
        </w:rPr>
        <w:t>,</w:t>
      </w:r>
      <w:r w:rsidR="006568A8" w:rsidRPr="009A4E3C">
        <w:rPr>
          <w:u w:val="double"/>
        </w:rPr>
        <w:t xml:space="preserve"> but</w:t>
      </w:r>
      <w:proofErr w:type="gramEnd"/>
      <w:r w:rsidR="006568A8" w:rsidRPr="009A4E3C">
        <w:rPr>
          <w:u w:val="double"/>
        </w:rPr>
        <w:t xml:space="preserve"> are accepted through widespread use over a prolonged period </w:t>
      </w:r>
      <w:r w:rsidR="006568A8" w:rsidRPr="009A4E3C">
        <w:rPr>
          <w:i w:val="0"/>
          <w:u w:val="double"/>
        </w:rPr>
        <w:t>(</w:t>
      </w:r>
      <w:r w:rsidR="006568A8" w:rsidRPr="009A4E3C">
        <w:rPr>
          <w:u w:val="double"/>
        </w:rPr>
        <w:t>“historical validation”</w:t>
      </w:r>
      <w:r w:rsidR="006568A8" w:rsidRPr="009A4E3C">
        <w:rPr>
          <w:i w:val="0"/>
          <w:u w:val="double"/>
        </w:rPr>
        <w:t>)</w:t>
      </w:r>
      <w:r w:rsidR="006568A8" w:rsidRPr="009A4E3C">
        <w:rPr>
          <w:u w:val="double"/>
        </w:rPr>
        <w:t>.</w:t>
      </w:r>
    </w:p>
    <w:p w14:paraId="007FA596" w14:textId="7AC28B2A" w:rsidR="00A64257" w:rsidRPr="00953CBD" w:rsidRDefault="00A64257" w:rsidP="00A64257">
      <w:pPr>
        <w:pStyle w:val="sumtexte"/>
      </w:pPr>
      <w:r w:rsidRPr="00953CBD">
        <w:rPr>
          <w:b/>
        </w:rPr>
        <w:t>Identification of the agent:</w:t>
      </w:r>
      <w:r w:rsidRPr="00953CBD">
        <w:t xml:space="preserve"> Virus isolation may be done by inoculation of suspected material on to the dropped </w:t>
      </w:r>
      <w:proofErr w:type="spellStart"/>
      <w:r w:rsidRPr="00953CBD">
        <w:t>chorioallantoic</w:t>
      </w:r>
      <w:proofErr w:type="spellEnd"/>
      <w:r w:rsidRPr="00953CBD">
        <w:t xml:space="preserve"> membrane of embryonated </w:t>
      </w:r>
      <w:r w:rsidR="00707C91" w:rsidRPr="00953CBD">
        <w:t xml:space="preserve">hens’ </w:t>
      </w:r>
      <w:r w:rsidRPr="00953CBD">
        <w:t xml:space="preserve">eggs, or into avian embryonic cell cultures. These methods are time-consuming but </w:t>
      </w:r>
      <w:r w:rsidRPr="007D1572">
        <w:rPr>
          <w:strike/>
          <w:highlight w:val="yellow"/>
        </w:rPr>
        <w:t>sensitive</w:t>
      </w:r>
      <w:r w:rsidR="007D1572" w:rsidRPr="007D1572">
        <w:rPr>
          <w:strike/>
          <w:highlight w:val="yellow"/>
        </w:rPr>
        <w:t xml:space="preserve"> </w:t>
      </w:r>
      <w:r w:rsidR="00F231D7" w:rsidRPr="007D1572">
        <w:rPr>
          <w:highlight w:val="yellow"/>
          <w:u w:val="double"/>
        </w:rPr>
        <w:t>remain useful</w:t>
      </w:r>
      <w:r w:rsidRPr="00953CBD">
        <w:t xml:space="preserve">. Rapid methods include immunofluorescence on tracheal exudate or frozen sections, and an enzyme-linked immunosorbent assay </w:t>
      </w:r>
      <w:r w:rsidRPr="00953CBD">
        <w:rPr>
          <w:i w:val="0"/>
          <w:iCs w:val="0"/>
        </w:rPr>
        <w:t>(</w:t>
      </w:r>
      <w:r w:rsidRPr="00953CBD">
        <w:t>ELISA</w:t>
      </w:r>
      <w:r w:rsidRPr="00953CBD">
        <w:rPr>
          <w:i w:val="0"/>
          <w:iCs w:val="0"/>
        </w:rPr>
        <w:t>)</w:t>
      </w:r>
      <w:r w:rsidRPr="00953CBD">
        <w:t xml:space="preserve"> to demonstrate viral antigen in mucosal scrapings. Polymerase chain reaction </w:t>
      </w:r>
      <w:r w:rsidRPr="00953CBD">
        <w:rPr>
          <w:i w:val="0"/>
          <w:iCs w:val="0"/>
        </w:rPr>
        <w:t>(</w:t>
      </w:r>
      <w:r w:rsidRPr="00953CBD">
        <w:t>PCR</w:t>
      </w:r>
      <w:r w:rsidRPr="00953CBD">
        <w:rPr>
          <w:i w:val="0"/>
          <w:iCs w:val="0"/>
        </w:rPr>
        <w:t>)</w:t>
      </w:r>
      <w:r w:rsidRPr="00953CBD">
        <w:t xml:space="preserve"> methodology has been shown to be more sensitive than virus isolation for the examination of clinical material and is now widely used. </w:t>
      </w:r>
      <w:r w:rsidR="00E06CF8" w:rsidRPr="007D1572">
        <w:rPr>
          <w:highlight w:val="yellow"/>
          <w:u w:val="double"/>
        </w:rPr>
        <w:t>Both conventional and real-time PCR are used to detect ILTV DNA. Real</w:t>
      </w:r>
      <w:r w:rsidR="00784B9D" w:rsidRPr="007D1572">
        <w:rPr>
          <w:highlight w:val="yellow"/>
          <w:u w:val="double"/>
        </w:rPr>
        <w:t>-</w:t>
      </w:r>
      <w:r w:rsidR="00E06CF8" w:rsidRPr="007D1572">
        <w:rPr>
          <w:highlight w:val="yellow"/>
          <w:u w:val="double"/>
        </w:rPr>
        <w:t>time PCR provides a relative quantification of viral genomes per sample, which can indicate the stage of infection and level of virus transmission in the flock. Currently, histopathology examination of tissues and real-time PCR are the most common pair of rapid assays u</w:t>
      </w:r>
      <w:r w:rsidR="00784B9D" w:rsidRPr="007D1572">
        <w:rPr>
          <w:highlight w:val="yellow"/>
          <w:u w:val="double"/>
        </w:rPr>
        <w:t>s</w:t>
      </w:r>
      <w:r w:rsidR="00E06CF8" w:rsidRPr="007D1572">
        <w:rPr>
          <w:highlight w:val="yellow"/>
          <w:u w:val="double"/>
        </w:rPr>
        <w:t>ed for the detection of ILTV infection.</w:t>
      </w:r>
      <w:r w:rsidR="006D403F">
        <w:t xml:space="preserve"> </w:t>
      </w:r>
      <w:r w:rsidRPr="00953CBD">
        <w:t>Virus characterisation and differentiation of vaccine and wild-type viruses are possible using PCR followed by restriction fragment length polymorphism</w:t>
      </w:r>
      <w:r w:rsidR="00D63753" w:rsidRPr="00953CBD">
        <w:t xml:space="preserve"> or sequencing</w:t>
      </w:r>
      <w:r w:rsidRPr="00953CBD">
        <w:t xml:space="preserve">. </w:t>
      </w:r>
    </w:p>
    <w:p w14:paraId="3C001DC5" w14:textId="738CE9AE" w:rsidR="00A64257" w:rsidRPr="00953CBD" w:rsidRDefault="00A64257" w:rsidP="00A64257">
      <w:pPr>
        <w:pStyle w:val="sumtexte"/>
      </w:pPr>
      <w:r w:rsidRPr="00953CBD">
        <w:rPr>
          <w:b/>
        </w:rPr>
        <w:t>Serological tests:</w:t>
      </w:r>
      <w:r w:rsidRPr="00953CBD">
        <w:t xml:space="preserve"> Antibodies to ILT virus</w:t>
      </w:r>
      <w:r w:rsidRPr="00953CBD">
        <w:rPr>
          <w:i w:val="0"/>
          <w:iCs w:val="0"/>
        </w:rPr>
        <w:t xml:space="preserve"> </w:t>
      </w:r>
      <w:r w:rsidR="001F33E7" w:rsidRPr="009A779B">
        <w:rPr>
          <w:i w:val="0"/>
          <w:iCs w:val="0"/>
          <w:strike/>
        </w:rPr>
        <w:t>(</w:t>
      </w:r>
      <w:r w:rsidR="001F33E7" w:rsidRPr="009A779B">
        <w:rPr>
          <w:strike/>
        </w:rPr>
        <w:t>ILTV</w:t>
      </w:r>
      <w:r w:rsidR="001F33E7" w:rsidRPr="009A779B">
        <w:rPr>
          <w:i w:val="0"/>
          <w:iCs w:val="0"/>
          <w:strike/>
        </w:rPr>
        <w:t xml:space="preserve">) </w:t>
      </w:r>
      <w:r w:rsidRPr="00953CBD">
        <w:t xml:space="preserve">can be detected by virus neutralisation </w:t>
      </w:r>
      <w:r w:rsidRPr="00953CBD">
        <w:rPr>
          <w:i w:val="0"/>
          <w:iCs w:val="0"/>
        </w:rPr>
        <w:t>(</w:t>
      </w:r>
      <w:r w:rsidRPr="00953CBD">
        <w:t>VN</w:t>
      </w:r>
      <w:r w:rsidRPr="00953CBD">
        <w:rPr>
          <w:i w:val="0"/>
          <w:iCs w:val="0"/>
        </w:rPr>
        <w:t>)</w:t>
      </w:r>
      <w:r w:rsidRPr="00953CBD">
        <w:t xml:space="preserve"> tests conducted in eggs or in cell cultures, or by AGID reactions, indirect immunofluorescence, or ELISA. The latter is preferred for screening flocks.</w:t>
      </w:r>
    </w:p>
    <w:p w14:paraId="6B82E3D5" w14:textId="63A21085" w:rsidR="00A64257" w:rsidRPr="00953CBD" w:rsidRDefault="00A64257" w:rsidP="00A64257">
      <w:pPr>
        <w:pStyle w:val="sumtexte"/>
        <w:spacing w:after="480"/>
      </w:pPr>
      <w:r w:rsidRPr="00953CBD">
        <w:rPr>
          <w:b/>
        </w:rPr>
        <w:t>Requirements for vaccines:</w:t>
      </w:r>
      <w:r w:rsidRPr="00953CBD">
        <w:t xml:space="preserve"> Vaccines against ILT are usually prepared from attenuated live virus. Those available at present afford some degree of </w:t>
      </w:r>
      <w:proofErr w:type="gramStart"/>
      <w:r w:rsidRPr="00953CBD">
        <w:t>protection, but</w:t>
      </w:r>
      <w:proofErr w:type="gramEnd"/>
      <w:r w:rsidRPr="00953CBD">
        <w:t xml:space="preserve"> are not</w:t>
      </w:r>
      <w:r w:rsidR="002E6DB7" w:rsidRPr="00953CBD">
        <w:t xml:space="preserve"> ideal</w:t>
      </w:r>
      <w:r w:rsidRPr="00953CBD">
        <w:t xml:space="preserve">. </w:t>
      </w:r>
      <w:proofErr w:type="gramStart"/>
      <w:r w:rsidR="00C34B09" w:rsidRPr="00953CBD">
        <w:t xml:space="preserve">A </w:t>
      </w:r>
      <w:r w:rsidR="008871E1" w:rsidRPr="00953CBD">
        <w:t>number of</w:t>
      </w:r>
      <w:proofErr w:type="gramEnd"/>
      <w:r w:rsidR="008871E1" w:rsidRPr="00953CBD">
        <w:t xml:space="preserve"> recombinant </w:t>
      </w:r>
      <w:r w:rsidRPr="00953CBD">
        <w:t>vaccine</w:t>
      </w:r>
      <w:r w:rsidR="008871E1" w:rsidRPr="00953CBD">
        <w:t>s are also available commercially with various degrees of protective efficacy</w:t>
      </w:r>
      <w:r w:rsidRPr="00953CBD">
        <w:t>.</w:t>
      </w:r>
    </w:p>
    <w:p w14:paraId="176B62CF" w14:textId="77777777" w:rsidR="00A64257" w:rsidRPr="00953CBD" w:rsidRDefault="00A64257" w:rsidP="00A64257">
      <w:pPr>
        <w:pStyle w:val="A0"/>
      </w:pPr>
      <w:r w:rsidRPr="00953CBD">
        <w:t>A.  introduction</w:t>
      </w:r>
    </w:p>
    <w:p w14:paraId="0DBA5F91" w14:textId="39A51D20" w:rsidR="00A64257" w:rsidRPr="00953CBD" w:rsidRDefault="00A64257" w:rsidP="000F25DC">
      <w:pPr>
        <w:pStyle w:val="paraA0"/>
      </w:pPr>
      <w:r w:rsidRPr="00953CBD">
        <w:t xml:space="preserve">Avian infectious laryngotracheitis (ILT) is a respiratory disease of chickens caused by </w:t>
      </w:r>
      <w:r w:rsidRPr="009A779B">
        <w:rPr>
          <w:strike/>
        </w:rPr>
        <w:t xml:space="preserve">an </w:t>
      </w:r>
      <w:proofErr w:type="spellStart"/>
      <w:r w:rsidRPr="009A779B">
        <w:rPr>
          <w:strike/>
        </w:rPr>
        <w:t>alphaherpesvirus</w:t>
      </w:r>
      <w:proofErr w:type="spellEnd"/>
      <w:r w:rsidR="007F6D58" w:rsidRPr="009A779B">
        <w:rPr>
          <w:strike/>
        </w:rPr>
        <w:t xml:space="preserve">, </w:t>
      </w:r>
      <w:proofErr w:type="spellStart"/>
      <w:r w:rsidR="007F6D58" w:rsidRPr="00953CBD">
        <w:rPr>
          <w:i/>
        </w:rPr>
        <w:t>gallid</w:t>
      </w:r>
      <w:proofErr w:type="spellEnd"/>
      <w:r w:rsidR="007F6D58" w:rsidRPr="00953CBD">
        <w:rPr>
          <w:i/>
        </w:rPr>
        <w:t xml:space="preserve"> </w:t>
      </w:r>
      <w:proofErr w:type="spellStart"/>
      <w:r w:rsidR="009D3501" w:rsidRPr="009A779B">
        <w:rPr>
          <w:i/>
          <w:u w:val="double"/>
        </w:rPr>
        <w:t>alpha</w:t>
      </w:r>
      <w:r w:rsidR="007F6D58" w:rsidRPr="00953CBD">
        <w:rPr>
          <w:i/>
        </w:rPr>
        <w:t>herpesvirus</w:t>
      </w:r>
      <w:proofErr w:type="spellEnd"/>
      <w:r w:rsidR="007F6D58" w:rsidRPr="00953CBD">
        <w:rPr>
          <w:i/>
        </w:rPr>
        <w:t xml:space="preserve"> 1</w:t>
      </w:r>
      <w:r w:rsidRPr="00953CBD">
        <w:t xml:space="preserve">. It can also affect pheasants, partridges and peafowl. In the virulent form, the history, clinical signs and very severe tracheal lesions are highly characteristic of the disease, but the mild form may be indistinguishable from other </w:t>
      </w:r>
      <w:r w:rsidR="00D1006D" w:rsidRPr="009A4E3C">
        <w:rPr>
          <w:u w:val="double"/>
        </w:rPr>
        <w:t>agents causing</w:t>
      </w:r>
      <w:r w:rsidR="00D1006D">
        <w:t xml:space="preserve"> </w:t>
      </w:r>
      <w:r w:rsidRPr="00953CBD">
        <w:t xml:space="preserve">mild respiratory diseases. Laboratory diagnosis depends on the demonstration of the presence of the virus or viral </w:t>
      </w:r>
      <w:r w:rsidR="007F6D58" w:rsidRPr="00953CBD">
        <w:t>components</w:t>
      </w:r>
      <w:r w:rsidR="0019475C" w:rsidRPr="009A4E3C">
        <w:rPr>
          <w:strike/>
        </w:rPr>
        <w:t xml:space="preserve"> (</w:t>
      </w:r>
      <w:r w:rsidR="002E3B67" w:rsidRPr="009A4E3C">
        <w:rPr>
          <w:strike/>
        </w:rPr>
        <w:t xml:space="preserve">Guy </w:t>
      </w:r>
      <w:r w:rsidR="00C34B09" w:rsidRPr="009A4E3C">
        <w:rPr>
          <w:strike/>
        </w:rPr>
        <w:t xml:space="preserve">&amp; </w:t>
      </w:r>
      <w:proofErr w:type="spellStart"/>
      <w:r w:rsidR="00C34B09" w:rsidRPr="009A4E3C">
        <w:rPr>
          <w:strike/>
        </w:rPr>
        <w:t>Bagust</w:t>
      </w:r>
      <w:proofErr w:type="spellEnd"/>
      <w:r w:rsidR="002E3B67" w:rsidRPr="009A4E3C">
        <w:rPr>
          <w:strike/>
        </w:rPr>
        <w:t>, 2003;</w:t>
      </w:r>
      <w:r w:rsidR="0019475C" w:rsidRPr="009A4E3C">
        <w:rPr>
          <w:strike/>
        </w:rPr>
        <w:t xml:space="preserve"> </w:t>
      </w:r>
      <w:r w:rsidR="00260FC3" w:rsidRPr="009A4E3C">
        <w:rPr>
          <w:strike/>
        </w:rPr>
        <w:t xml:space="preserve">Scholz </w:t>
      </w:r>
      <w:r w:rsidR="007E6C76" w:rsidRPr="009A4E3C">
        <w:rPr>
          <w:i/>
          <w:strike/>
        </w:rPr>
        <w:t>et al</w:t>
      </w:r>
      <w:r w:rsidR="00260FC3" w:rsidRPr="009A4E3C">
        <w:rPr>
          <w:strike/>
        </w:rPr>
        <w:t>., 1994</w:t>
      </w:r>
      <w:r w:rsidR="002E3B67" w:rsidRPr="009A4E3C">
        <w:rPr>
          <w:strike/>
        </w:rPr>
        <w:t>;</w:t>
      </w:r>
      <w:r w:rsidR="0019475C" w:rsidRPr="009A4E3C">
        <w:rPr>
          <w:strike/>
        </w:rPr>
        <w:t xml:space="preserve"> </w:t>
      </w:r>
      <w:r w:rsidR="002E3B67" w:rsidRPr="009A4E3C">
        <w:rPr>
          <w:strike/>
        </w:rPr>
        <w:t xml:space="preserve">Williams </w:t>
      </w:r>
      <w:r w:rsidR="007E6C76" w:rsidRPr="009A4E3C">
        <w:rPr>
          <w:i/>
          <w:strike/>
        </w:rPr>
        <w:t>et al</w:t>
      </w:r>
      <w:r w:rsidR="002E3B67" w:rsidRPr="009A4E3C">
        <w:rPr>
          <w:strike/>
        </w:rPr>
        <w:t>., 1994</w:t>
      </w:r>
      <w:r w:rsidR="0019475C" w:rsidRPr="009A4E3C">
        <w:rPr>
          <w:strike/>
        </w:rPr>
        <w:t>)</w:t>
      </w:r>
      <w:r w:rsidR="0019475C" w:rsidRPr="00953CBD">
        <w:t xml:space="preserve"> </w:t>
      </w:r>
      <w:r w:rsidR="003F75AF" w:rsidRPr="00953CBD">
        <w:t>or</w:t>
      </w:r>
      <w:r w:rsidRPr="00953CBD">
        <w:t xml:space="preserve"> specific antibodies in the serum</w:t>
      </w:r>
      <w:r w:rsidRPr="009A4E3C">
        <w:rPr>
          <w:strike/>
        </w:rPr>
        <w:t xml:space="preserve"> (</w:t>
      </w:r>
      <w:r w:rsidR="002E3B67" w:rsidRPr="009A4E3C">
        <w:rPr>
          <w:strike/>
        </w:rPr>
        <w:t xml:space="preserve">Adair </w:t>
      </w:r>
      <w:r w:rsidR="007E6C76" w:rsidRPr="009A4E3C">
        <w:rPr>
          <w:i/>
          <w:strike/>
        </w:rPr>
        <w:t>et al</w:t>
      </w:r>
      <w:r w:rsidR="002E3B67" w:rsidRPr="009A4E3C">
        <w:rPr>
          <w:strike/>
        </w:rPr>
        <w:t>., 1985;</w:t>
      </w:r>
      <w:r w:rsidR="003F75AF" w:rsidRPr="009A4E3C">
        <w:rPr>
          <w:strike/>
        </w:rPr>
        <w:t xml:space="preserve"> </w:t>
      </w:r>
      <w:proofErr w:type="spellStart"/>
      <w:r w:rsidR="002E3B67" w:rsidRPr="009A4E3C">
        <w:rPr>
          <w:strike/>
        </w:rPr>
        <w:t>Meulemans</w:t>
      </w:r>
      <w:proofErr w:type="spellEnd"/>
      <w:r w:rsidR="002E3B67" w:rsidRPr="009A4E3C">
        <w:rPr>
          <w:strike/>
        </w:rPr>
        <w:t xml:space="preserve"> &amp; Halen, 1978</w:t>
      </w:r>
      <w:r w:rsidRPr="009A4E3C">
        <w:rPr>
          <w:strike/>
        </w:rPr>
        <w:t>)</w:t>
      </w:r>
      <w:r w:rsidRPr="00953CBD">
        <w:t>.</w:t>
      </w:r>
    </w:p>
    <w:p w14:paraId="41F0F247" w14:textId="77777777" w:rsidR="00A64257" w:rsidRPr="00953CBD" w:rsidRDefault="00A64257" w:rsidP="00A64257">
      <w:pPr>
        <w:pStyle w:val="paraA0"/>
      </w:pPr>
      <w:r w:rsidRPr="00953CBD">
        <w:t xml:space="preserve">Clinically, the disease may appear in three forms, namely </w:t>
      </w:r>
      <w:proofErr w:type="spellStart"/>
      <w:r w:rsidRPr="00953CBD">
        <w:t>peracute</w:t>
      </w:r>
      <w:proofErr w:type="spellEnd"/>
      <w:r w:rsidRPr="00953CBD">
        <w:t xml:space="preserve">, subacute, and chronic or mild. In the </w:t>
      </w:r>
      <w:proofErr w:type="spellStart"/>
      <w:r w:rsidRPr="00953CBD">
        <w:t>peracute</w:t>
      </w:r>
      <w:proofErr w:type="spellEnd"/>
      <w:r w:rsidRPr="00953CBD">
        <w:t xml:space="preserve"> form, onset of disease is sudden with a rapid spread. The morbidity is </w:t>
      </w:r>
      <w:proofErr w:type="gramStart"/>
      <w:r w:rsidRPr="00953CBD">
        <w:t>high</w:t>
      </w:r>
      <w:proofErr w:type="gramEnd"/>
      <w:r w:rsidRPr="00953CBD">
        <w:t xml:space="preserve"> and mortality may exceed 50%. Some birds may die in good body condition before the appearance of signs, which are characteristic and comprise difficulty in breathing with extension of the neck and gasping </w:t>
      </w:r>
      <w:proofErr w:type="gramStart"/>
      <w:r w:rsidRPr="00953CBD">
        <w:t>in an attempt to</w:t>
      </w:r>
      <w:proofErr w:type="gramEnd"/>
      <w:r w:rsidRPr="00953CBD">
        <w:t xml:space="preserve"> inhale. There is also gurgling, rattling and </w:t>
      </w:r>
      <w:r w:rsidRPr="00953CBD">
        <w:lastRenderedPageBreak/>
        <w:t xml:space="preserve">coughing when birds try to expel obstructions in the trachea. </w:t>
      </w:r>
      <w:r w:rsidR="00706037" w:rsidRPr="00953CBD">
        <w:t xml:space="preserve">Conjunctivitis may also be observed. </w:t>
      </w:r>
      <w:r w:rsidRPr="00953CBD">
        <w:t>Clots of blood may be coughed up and can be found on the floor and walls of the house. Post-mortem changes are confined to the upper respiratory tract and are also characteristic, consisting of haemorrhagic tracheitis with blood clots, mucoid rhinitis, and blood-stained mucus along the length of the trachea.</w:t>
      </w:r>
    </w:p>
    <w:p w14:paraId="538B54E6" w14:textId="77777777" w:rsidR="00A64257" w:rsidRPr="00953CBD" w:rsidRDefault="00A64257" w:rsidP="00A64257">
      <w:pPr>
        <w:pStyle w:val="paraA0"/>
      </w:pPr>
      <w:r w:rsidRPr="00953CBD">
        <w:t xml:space="preserve">In the subacute form, the onset of illness is slower and respiratory signs may extend over some days before deaths are seen. The morbidity is </w:t>
      </w:r>
      <w:proofErr w:type="gramStart"/>
      <w:r w:rsidRPr="00953CBD">
        <w:t>high</w:t>
      </w:r>
      <w:proofErr w:type="gramEnd"/>
      <w:r w:rsidRPr="00953CBD">
        <w:t xml:space="preserve"> but the mortality is lower than in the </w:t>
      </w:r>
      <w:proofErr w:type="spellStart"/>
      <w:r w:rsidRPr="00953CBD">
        <w:t>peracute</w:t>
      </w:r>
      <w:proofErr w:type="spellEnd"/>
      <w:r w:rsidRPr="00953CBD">
        <w:t xml:space="preserve"> form, between 10% and 30%. Post-mortem findings are less severe and consist of mucoid exudate with or without blood in the trachea. Yellow caseous diphtheritic membranes may be found adherent to the larynx and upper tracheal mucosa.</w:t>
      </w:r>
    </w:p>
    <w:p w14:paraId="14CDC91B" w14:textId="0B6AC87A" w:rsidR="007B2E63" w:rsidRPr="009A4E3C" w:rsidRDefault="00A64257" w:rsidP="000C3400">
      <w:pPr>
        <w:pStyle w:val="paraA0"/>
        <w:rPr>
          <w:u w:val="double"/>
        </w:rPr>
      </w:pPr>
      <w:r w:rsidRPr="00953CBD">
        <w:t>Chronic or mild ILT may be seen among survivors of either of the above forms of the disease, although some outbreaks themselves may be entirely mild. Incidence of chronic ILT within a flock may be only 1–2%</w:t>
      </w:r>
      <w:r w:rsidRPr="009A4E3C">
        <w:rPr>
          <w:strike/>
        </w:rPr>
        <w:t>, with most affected birds dying of suffocation</w:t>
      </w:r>
      <w:r w:rsidRPr="00953CBD">
        <w:t xml:space="preserve">. Signs include </w:t>
      </w:r>
      <w:r w:rsidRPr="009A4E3C">
        <w:rPr>
          <w:strike/>
        </w:rPr>
        <w:t xml:space="preserve">spasms of </w:t>
      </w:r>
      <w:r w:rsidRPr="00953CBD">
        <w:t>coughing</w:t>
      </w:r>
      <w:r w:rsidRPr="009A4E3C">
        <w:rPr>
          <w:strike/>
        </w:rPr>
        <w:t xml:space="preserve"> and gasping</w:t>
      </w:r>
      <w:r w:rsidRPr="00953CBD">
        <w:t xml:space="preserve">, </w:t>
      </w:r>
      <w:r w:rsidRPr="009A4E3C">
        <w:rPr>
          <w:strike/>
        </w:rPr>
        <w:t xml:space="preserve">with </w:t>
      </w:r>
      <w:r w:rsidRPr="00953CBD">
        <w:t>nasal</w:t>
      </w:r>
      <w:r w:rsidR="00744EED" w:rsidRPr="009A4E3C">
        <w:rPr>
          <w:u w:val="double"/>
        </w:rPr>
        <w:t>, ocular</w:t>
      </w:r>
      <w:r w:rsidRPr="00953CBD">
        <w:t xml:space="preserve"> and oral discharge</w:t>
      </w:r>
      <w:r w:rsidR="00744EED">
        <w:t>,</w:t>
      </w:r>
      <w:r w:rsidRPr="00953CBD">
        <w:t xml:space="preserve"> and reduced egg production. </w:t>
      </w:r>
    </w:p>
    <w:p w14:paraId="1A999C61" w14:textId="0DE1A8C9" w:rsidR="00744EED" w:rsidRPr="009A4E3C" w:rsidRDefault="00744EED" w:rsidP="000C3400">
      <w:pPr>
        <w:pStyle w:val="paraA0"/>
        <w:rPr>
          <w:u w:val="double"/>
        </w:rPr>
      </w:pPr>
      <w:r w:rsidRPr="009A4E3C">
        <w:rPr>
          <w:u w:val="double"/>
        </w:rPr>
        <w:t xml:space="preserve">Differential diagnosis of ILT from </w:t>
      </w:r>
      <w:r w:rsidR="00CA02DC">
        <w:rPr>
          <w:u w:val="double"/>
        </w:rPr>
        <w:t xml:space="preserve">other </w:t>
      </w:r>
      <w:r w:rsidRPr="009A4E3C">
        <w:rPr>
          <w:u w:val="double"/>
        </w:rPr>
        <w:t>respiratory diseases</w:t>
      </w:r>
      <w:r w:rsidR="00390CDD">
        <w:rPr>
          <w:u w:val="double"/>
        </w:rPr>
        <w:t>,</w:t>
      </w:r>
      <w:r w:rsidRPr="009A4E3C">
        <w:rPr>
          <w:u w:val="double"/>
        </w:rPr>
        <w:t xml:space="preserve"> especially Newcastle disease</w:t>
      </w:r>
      <w:r w:rsidR="00553296">
        <w:rPr>
          <w:u w:val="double"/>
        </w:rPr>
        <w:t>,</w:t>
      </w:r>
      <w:r w:rsidRPr="009A4E3C">
        <w:rPr>
          <w:u w:val="double"/>
        </w:rPr>
        <w:t xml:space="preserve"> which may also cause severe tracheitis</w:t>
      </w:r>
      <w:r w:rsidR="00553296">
        <w:rPr>
          <w:u w:val="double"/>
        </w:rPr>
        <w:t>,</w:t>
      </w:r>
      <w:r w:rsidRPr="009A4E3C">
        <w:rPr>
          <w:u w:val="double"/>
        </w:rPr>
        <w:t xml:space="preserve"> is important. Also, diphtheritic oral lesions should be differentiated from</w:t>
      </w:r>
      <w:r w:rsidR="00553296">
        <w:rPr>
          <w:u w:val="double"/>
        </w:rPr>
        <w:t xml:space="preserve"> the</w:t>
      </w:r>
      <w:r w:rsidRPr="009A4E3C">
        <w:rPr>
          <w:u w:val="double"/>
        </w:rPr>
        <w:t xml:space="preserve"> wet form of </w:t>
      </w:r>
      <w:proofErr w:type="spellStart"/>
      <w:r w:rsidRPr="009A4E3C">
        <w:rPr>
          <w:u w:val="double"/>
        </w:rPr>
        <w:t>fowlpox</w:t>
      </w:r>
      <w:proofErr w:type="spellEnd"/>
      <w:r w:rsidRPr="009A4E3C">
        <w:rPr>
          <w:u w:val="double"/>
        </w:rPr>
        <w:t xml:space="preserve">. </w:t>
      </w:r>
    </w:p>
    <w:p w14:paraId="2344E3DB" w14:textId="5736EE10" w:rsidR="00A64257" w:rsidRPr="00953CBD" w:rsidRDefault="00A64257" w:rsidP="000C3400">
      <w:pPr>
        <w:pStyle w:val="paraA0"/>
      </w:pPr>
      <w:r w:rsidRPr="00953CBD">
        <w:t>Infection is acquired via the upper respiratory tract and transmission occurs most readily from acutely infected birds, but clinically inapparent infection can persist for long periods with intermittent re-excretion of the virus, and these recovered carrier birds are also a potential means of transmission of the disease (</w:t>
      </w:r>
      <w:r w:rsidR="00260FC3" w:rsidRPr="00953CBD">
        <w:t>Hug</w:t>
      </w:r>
      <w:r w:rsidR="002E6DB7" w:rsidRPr="00953CBD">
        <w:t>h</w:t>
      </w:r>
      <w:r w:rsidR="00260FC3" w:rsidRPr="00953CBD">
        <w:t xml:space="preserve">es </w:t>
      </w:r>
      <w:r w:rsidR="007E6C76" w:rsidRPr="00953CBD">
        <w:rPr>
          <w:i/>
        </w:rPr>
        <w:t>et al</w:t>
      </w:r>
      <w:r w:rsidR="00260FC3" w:rsidRPr="00953CBD">
        <w:t>., 1987</w:t>
      </w:r>
      <w:r w:rsidRPr="00953CBD">
        <w:t xml:space="preserve">). </w:t>
      </w:r>
      <w:r w:rsidRPr="009A4E3C">
        <w:rPr>
          <w:strike/>
        </w:rPr>
        <w:t xml:space="preserve">On post-mortem examination, </w:t>
      </w:r>
      <w:proofErr w:type="spellStart"/>
      <w:r w:rsidRPr="009A4E3C">
        <w:rPr>
          <w:strike/>
        </w:rPr>
        <w:t>diptheritic</w:t>
      </w:r>
      <w:proofErr w:type="spellEnd"/>
      <w:r w:rsidRPr="009A4E3C">
        <w:rPr>
          <w:strike/>
        </w:rPr>
        <w:t xml:space="preserve"> and caseous necrotic plaques and plugs are found in the trachea, larynx and mouth. Outbreaks of mild ILT may affect large numbers of birds simultaneously, in which case gross lesions may consist only of conjunctivitis, sinusitis and mucoid tracheitis. </w:t>
      </w:r>
      <w:r w:rsidRPr="00953CBD">
        <w:t>Given that transmission of ILT takes place by close contact, transmission is slower in cage houses than where birds are loose-housed, and the path of infection throug</w:t>
      </w:r>
      <w:r w:rsidR="00FD0647" w:rsidRPr="00953CBD">
        <w:t>h a cage house may be apparent.</w:t>
      </w:r>
      <w:r w:rsidRPr="00953CBD">
        <w:t xml:space="preserve"> Recent work has confirmed considerable variation among </w:t>
      </w:r>
      <w:r w:rsidR="00C34B09" w:rsidRPr="00953CBD">
        <w:t>ILT virus (ILTV)</w:t>
      </w:r>
      <w:r w:rsidRPr="00953CBD">
        <w:t xml:space="preserve"> strains in their tropism for trachea or conjunctiva and those with affinity for the latter site can severely affect weight gain (</w:t>
      </w:r>
      <w:r w:rsidR="00260FC3" w:rsidRPr="00953CBD">
        <w:t xml:space="preserve">Kirkpatrick </w:t>
      </w:r>
      <w:r w:rsidR="007E6C76" w:rsidRPr="00953CBD">
        <w:rPr>
          <w:i/>
        </w:rPr>
        <w:t>et al</w:t>
      </w:r>
      <w:r w:rsidR="00260FC3" w:rsidRPr="00953CBD">
        <w:t>., 2006</w:t>
      </w:r>
      <w:r w:rsidR="006D2EE4" w:rsidRPr="00953CBD">
        <w:t>a</w:t>
      </w:r>
      <w:r w:rsidRPr="00953CBD">
        <w:t xml:space="preserve">). </w:t>
      </w:r>
      <w:r w:rsidR="003762A3" w:rsidRPr="009A4E3C">
        <w:rPr>
          <w:u w:val="double"/>
        </w:rPr>
        <w:t xml:space="preserve">There </w:t>
      </w:r>
      <w:r w:rsidR="00553296">
        <w:rPr>
          <w:u w:val="double"/>
        </w:rPr>
        <w:t>is</w:t>
      </w:r>
      <w:r w:rsidR="003762A3" w:rsidRPr="009A4E3C">
        <w:rPr>
          <w:u w:val="double"/>
        </w:rPr>
        <w:t xml:space="preserve"> increasing evidence that highly virulent and transmissible strains can emerge as a result of recombination between two or more different strains </w:t>
      </w:r>
      <w:r w:rsidR="00796856" w:rsidRPr="009A4E3C">
        <w:rPr>
          <w:u w:val="double"/>
        </w:rPr>
        <w:t xml:space="preserve">(Lee </w:t>
      </w:r>
      <w:r w:rsidR="00796856" w:rsidRPr="009A4E3C">
        <w:rPr>
          <w:i/>
          <w:u w:val="double"/>
        </w:rPr>
        <w:t>et al</w:t>
      </w:r>
      <w:r w:rsidR="00796856" w:rsidRPr="009A4E3C">
        <w:rPr>
          <w:u w:val="double"/>
        </w:rPr>
        <w:t>., 2015)</w:t>
      </w:r>
      <w:r w:rsidR="003762A3" w:rsidRPr="009A4E3C">
        <w:rPr>
          <w:u w:val="double"/>
        </w:rPr>
        <w:t xml:space="preserve">. </w:t>
      </w:r>
    </w:p>
    <w:p w14:paraId="12CBB4CB" w14:textId="41FD2C41" w:rsidR="000C3400" w:rsidRPr="00953CBD" w:rsidRDefault="000C3400" w:rsidP="0019475C">
      <w:pPr>
        <w:pStyle w:val="paraA0"/>
        <w:spacing w:after="480"/>
      </w:pPr>
      <w:r w:rsidRPr="00953CBD">
        <w:t>There is no known risk of human infection with ILTV. Biocontainment measures should be determined by risk analysis as described in Chapter 1.1.</w:t>
      </w:r>
      <w:r w:rsidR="00637883">
        <w:t>4</w:t>
      </w:r>
      <w:r w:rsidRPr="00953CBD">
        <w:t xml:space="preserve"> </w:t>
      </w:r>
      <w:r w:rsidR="00637883" w:rsidRPr="00637883">
        <w:rPr>
          <w:i/>
          <w:lang w:val="en-IE"/>
        </w:rPr>
        <w:t xml:space="preserve">Biosafety and biosecurity: </w:t>
      </w:r>
      <w:r w:rsidR="00637883" w:rsidRPr="00637883">
        <w:rPr>
          <w:i/>
          <w:iCs/>
        </w:rPr>
        <w:t>Standard for managing biological risk in the veterinary laboratory and animal facilities</w:t>
      </w:r>
      <w:r w:rsidRPr="00637883">
        <w:rPr>
          <w:i/>
        </w:rPr>
        <w:t>.</w:t>
      </w:r>
    </w:p>
    <w:p w14:paraId="24E61C68" w14:textId="77777777" w:rsidR="00A64257" w:rsidRPr="00953CBD" w:rsidRDefault="00A64257" w:rsidP="0019475C">
      <w:pPr>
        <w:pStyle w:val="A0"/>
      </w:pPr>
      <w:r w:rsidRPr="00953CBD">
        <w:t>b.  DIAGNOSTIC TECHNIQUES</w:t>
      </w:r>
    </w:p>
    <w:p w14:paraId="2ADC7F13" w14:textId="77777777" w:rsidR="004C2386" w:rsidRPr="00953CBD" w:rsidRDefault="004C2386" w:rsidP="004C2386">
      <w:pPr>
        <w:pStyle w:val="Tabletitle"/>
      </w:pPr>
      <w:r w:rsidRPr="00953CBD">
        <w:t xml:space="preserve">Table </w:t>
      </w:r>
      <w:r w:rsidRPr="00953CBD">
        <w:rPr>
          <w:noProof/>
        </w:rPr>
        <w:t>1</w:t>
      </w:r>
      <w:r w:rsidRPr="00953CBD">
        <w:t xml:space="preserve">. </w:t>
      </w:r>
      <w:r w:rsidRPr="00953CBD">
        <w:rPr>
          <w:b w:val="0"/>
        </w:rPr>
        <w:t xml:space="preserve">Test methods available </w:t>
      </w:r>
      <w:r w:rsidR="00C34B09" w:rsidRPr="00953CBD">
        <w:rPr>
          <w:b w:val="0"/>
        </w:rPr>
        <w:t xml:space="preserve">for the diagnosis of avian infectious laryngotracheitis </w:t>
      </w:r>
      <w:r w:rsidRPr="00953CBD">
        <w:rPr>
          <w:b w:val="0"/>
        </w:rPr>
        <w:t>and their purpose</w:t>
      </w:r>
    </w:p>
    <w:tbl>
      <w:tblPr>
        <w:tblW w:w="0" w:type="auto"/>
        <w:jc w:val="center"/>
        <w:tblLayout w:type="fixed"/>
        <w:tblCellMar>
          <w:left w:w="96" w:type="dxa"/>
          <w:right w:w="96" w:type="dxa"/>
        </w:tblCellMar>
        <w:tblLook w:val="0000" w:firstRow="0" w:lastRow="0" w:firstColumn="0" w:lastColumn="0" w:noHBand="0" w:noVBand="0"/>
      </w:tblPr>
      <w:tblGrid>
        <w:gridCol w:w="1548"/>
        <w:gridCol w:w="992"/>
        <w:gridCol w:w="1417"/>
        <w:gridCol w:w="1276"/>
        <w:gridCol w:w="1134"/>
        <w:gridCol w:w="1134"/>
        <w:gridCol w:w="1546"/>
      </w:tblGrid>
      <w:tr w:rsidR="004C2386" w:rsidRPr="00953CBD" w14:paraId="558A2073" w14:textId="77777777" w:rsidTr="00EB088A">
        <w:trPr>
          <w:trHeight w:val="402"/>
          <w:jc w:val="center"/>
        </w:trPr>
        <w:tc>
          <w:tcPr>
            <w:tcW w:w="1548" w:type="dxa"/>
            <w:vMerge w:val="restart"/>
            <w:tcBorders>
              <w:top w:val="single" w:sz="6" w:space="0" w:color="auto"/>
              <w:left w:val="single" w:sz="6" w:space="0" w:color="auto"/>
            </w:tcBorders>
            <w:vAlign w:val="center"/>
          </w:tcPr>
          <w:p w14:paraId="6803C5B4" w14:textId="77777777" w:rsidR="004C2386" w:rsidRPr="00953CBD" w:rsidRDefault="004C2386" w:rsidP="009A4E3C">
            <w:pPr>
              <w:pStyle w:val="TableHead"/>
              <w:spacing w:before="160" w:after="160"/>
              <w:rPr>
                <w:rFonts w:ascii="Arial" w:hAnsi="Arial" w:cs="Arial"/>
                <w:sz w:val="16"/>
                <w:szCs w:val="16"/>
                <w:lang w:val="en-GB"/>
              </w:rPr>
            </w:pPr>
            <w:r w:rsidRPr="00953CBD">
              <w:rPr>
                <w:rFonts w:ascii="Arial" w:hAnsi="Arial" w:cs="Arial"/>
                <w:sz w:val="16"/>
                <w:szCs w:val="16"/>
                <w:lang w:val="en-GB"/>
              </w:rPr>
              <w:t>Method</w:t>
            </w:r>
          </w:p>
        </w:tc>
        <w:tc>
          <w:tcPr>
            <w:tcW w:w="7499" w:type="dxa"/>
            <w:gridSpan w:val="6"/>
            <w:tcBorders>
              <w:top w:val="single" w:sz="6" w:space="0" w:color="auto"/>
              <w:left w:val="single" w:sz="6" w:space="0" w:color="auto"/>
              <w:right w:val="single" w:sz="6" w:space="0" w:color="auto"/>
            </w:tcBorders>
            <w:vAlign w:val="center"/>
          </w:tcPr>
          <w:p w14:paraId="73C4875E" w14:textId="77777777" w:rsidR="004C2386" w:rsidRPr="00953CBD" w:rsidRDefault="004C2386" w:rsidP="009A4E3C">
            <w:pPr>
              <w:pStyle w:val="Tabletext"/>
              <w:spacing w:before="160" w:after="160"/>
              <w:rPr>
                <w:b/>
                <w:sz w:val="16"/>
                <w:szCs w:val="16"/>
                <w:lang w:val="en-GB"/>
              </w:rPr>
            </w:pPr>
            <w:r w:rsidRPr="00953CBD">
              <w:rPr>
                <w:b/>
                <w:sz w:val="16"/>
                <w:szCs w:val="16"/>
                <w:lang w:val="en-GB"/>
              </w:rPr>
              <w:t>Purpose</w:t>
            </w:r>
          </w:p>
        </w:tc>
      </w:tr>
      <w:tr w:rsidR="004C2386" w:rsidRPr="00953CBD" w14:paraId="71AD6CBE" w14:textId="77777777" w:rsidTr="00EB088A">
        <w:trPr>
          <w:trHeight w:val="402"/>
          <w:jc w:val="center"/>
        </w:trPr>
        <w:tc>
          <w:tcPr>
            <w:tcW w:w="1548" w:type="dxa"/>
            <w:vMerge/>
            <w:tcBorders>
              <w:left w:val="single" w:sz="6" w:space="0" w:color="auto"/>
              <w:bottom w:val="single" w:sz="6" w:space="0" w:color="auto"/>
            </w:tcBorders>
            <w:vAlign w:val="center"/>
          </w:tcPr>
          <w:p w14:paraId="2F0BCCFF" w14:textId="77777777" w:rsidR="004C2386" w:rsidRPr="00953CBD" w:rsidRDefault="004C2386" w:rsidP="009A4E3C">
            <w:pPr>
              <w:pStyle w:val="TableHead"/>
              <w:spacing w:before="160" w:after="160"/>
              <w:jc w:val="both"/>
              <w:rPr>
                <w:rFonts w:ascii="Arial" w:hAnsi="Arial" w:cs="Arial"/>
                <w:sz w:val="16"/>
                <w:szCs w:val="16"/>
                <w:lang w:val="en-GB"/>
              </w:rPr>
            </w:pPr>
          </w:p>
        </w:tc>
        <w:tc>
          <w:tcPr>
            <w:tcW w:w="992" w:type="dxa"/>
            <w:tcBorders>
              <w:top w:val="single" w:sz="6" w:space="0" w:color="auto"/>
              <w:left w:val="single" w:sz="6" w:space="0" w:color="auto"/>
              <w:bottom w:val="single" w:sz="6" w:space="0" w:color="auto"/>
            </w:tcBorders>
            <w:vAlign w:val="center"/>
          </w:tcPr>
          <w:p w14:paraId="72C417B8" w14:textId="77777777" w:rsidR="004C2386" w:rsidRPr="00953CBD" w:rsidRDefault="004C2386" w:rsidP="009A4E3C">
            <w:pPr>
              <w:pStyle w:val="Tabletext"/>
              <w:spacing w:before="160" w:after="160"/>
              <w:rPr>
                <w:sz w:val="16"/>
                <w:szCs w:val="16"/>
                <w:lang w:val="en-GB"/>
              </w:rPr>
            </w:pPr>
            <w:r w:rsidRPr="00953CBD">
              <w:rPr>
                <w:sz w:val="16"/>
                <w:szCs w:val="16"/>
                <w:lang w:val="en-GB"/>
              </w:rPr>
              <w:t>Population freedom from infection</w:t>
            </w:r>
          </w:p>
        </w:tc>
        <w:tc>
          <w:tcPr>
            <w:tcW w:w="1417" w:type="dxa"/>
            <w:tcBorders>
              <w:top w:val="single" w:sz="6" w:space="0" w:color="auto"/>
              <w:left w:val="single" w:sz="6" w:space="0" w:color="auto"/>
              <w:bottom w:val="single" w:sz="6" w:space="0" w:color="auto"/>
            </w:tcBorders>
            <w:vAlign w:val="center"/>
          </w:tcPr>
          <w:p w14:paraId="67CED9D0" w14:textId="77777777" w:rsidR="004C2386" w:rsidRPr="00953CBD" w:rsidRDefault="004C2386" w:rsidP="009A4E3C">
            <w:pPr>
              <w:pStyle w:val="Tabletext"/>
              <w:spacing w:before="160" w:after="160"/>
              <w:rPr>
                <w:sz w:val="16"/>
                <w:szCs w:val="16"/>
                <w:lang w:val="en-GB"/>
              </w:rPr>
            </w:pPr>
            <w:r w:rsidRPr="00953CBD">
              <w:rPr>
                <w:sz w:val="16"/>
                <w:szCs w:val="16"/>
                <w:lang w:val="en-GB"/>
              </w:rPr>
              <w:t>Individual animal freedom from infection</w:t>
            </w:r>
            <w:r w:rsidR="007F6D58" w:rsidRPr="00953CBD">
              <w:rPr>
                <w:sz w:val="16"/>
                <w:szCs w:val="16"/>
                <w:lang w:val="en-GB"/>
              </w:rPr>
              <w:t xml:space="preserve"> prior to movement</w:t>
            </w:r>
          </w:p>
        </w:tc>
        <w:tc>
          <w:tcPr>
            <w:tcW w:w="1276" w:type="dxa"/>
            <w:tcBorders>
              <w:top w:val="single" w:sz="6" w:space="0" w:color="auto"/>
              <w:left w:val="single" w:sz="6" w:space="0" w:color="auto"/>
              <w:bottom w:val="single" w:sz="6" w:space="0" w:color="auto"/>
            </w:tcBorders>
            <w:vAlign w:val="center"/>
          </w:tcPr>
          <w:p w14:paraId="0586F707" w14:textId="5E7E936B" w:rsidR="004C2386" w:rsidRPr="00953CBD" w:rsidRDefault="007F6D58" w:rsidP="009A4E3C">
            <w:pPr>
              <w:pStyle w:val="Tabletext"/>
              <w:spacing w:before="160" w:after="160"/>
              <w:rPr>
                <w:sz w:val="16"/>
                <w:szCs w:val="16"/>
                <w:lang w:val="en-GB"/>
              </w:rPr>
            </w:pPr>
            <w:r w:rsidRPr="00953CBD">
              <w:rPr>
                <w:sz w:val="16"/>
                <w:szCs w:val="16"/>
                <w:lang w:val="en-GB"/>
              </w:rPr>
              <w:t>Contribut</w:t>
            </w:r>
            <w:r w:rsidR="00E029E4">
              <w:rPr>
                <w:sz w:val="16"/>
                <w:szCs w:val="16"/>
                <w:lang w:val="en-GB"/>
              </w:rPr>
              <w:t>e</w:t>
            </w:r>
            <w:r w:rsidRPr="00953CBD">
              <w:rPr>
                <w:sz w:val="16"/>
                <w:szCs w:val="16"/>
                <w:lang w:val="en-GB"/>
              </w:rPr>
              <w:t xml:space="preserve"> to</w:t>
            </w:r>
            <w:r w:rsidR="004C2386" w:rsidRPr="00953CBD">
              <w:rPr>
                <w:sz w:val="16"/>
                <w:szCs w:val="16"/>
                <w:lang w:val="en-GB"/>
              </w:rPr>
              <w:t xml:space="preserve"> eradication policies</w:t>
            </w:r>
          </w:p>
        </w:tc>
        <w:tc>
          <w:tcPr>
            <w:tcW w:w="1134" w:type="dxa"/>
            <w:tcBorders>
              <w:top w:val="single" w:sz="6" w:space="0" w:color="auto"/>
              <w:left w:val="single" w:sz="6" w:space="0" w:color="auto"/>
              <w:bottom w:val="single" w:sz="6" w:space="0" w:color="auto"/>
            </w:tcBorders>
            <w:vAlign w:val="center"/>
          </w:tcPr>
          <w:p w14:paraId="25BF81B0" w14:textId="77777777" w:rsidR="004C2386" w:rsidRPr="00953CBD" w:rsidRDefault="004C2386" w:rsidP="009A4E3C">
            <w:pPr>
              <w:pStyle w:val="Tabletext"/>
              <w:spacing w:before="160" w:after="160"/>
              <w:rPr>
                <w:sz w:val="16"/>
                <w:szCs w:val="16"/>
                <w:lang w:val="en-GB"/>
              </w:rPr>
            </w:pPr>
            <w:r w:rsidRPr="00953CBD">
              <w:rPr>
                <w:sz w:val="16"/>
                <w:szCs w:val="16"/>
                <w:lang w:val="en-GB"/>
              </w:rPr>
              <w:t>Confirmation of clinical cases</w:t>
            </w:r>
          </w:p>
        </w:tc>
        <w:tc>
          <w:tcPr>
            <w:tcW w:w="1134" w:type="dxa"/>
            <w:tcBorders>
              <w:top w:val="single" w:sz="6" w:space="0" w:color="auto"/>
              <w:left w:val="single" w:sz="6" w:space="0" w:color="auto"/>
              <w:bottom w:val="single" w:sz="6" w:space="0" w:color="auto"/>
            </w:tcBorders>
            <w:vAlign w:val="center"/>
          </w:tcPr>
          <w:p w14:paraId="3EDF14FB" w14:textId="77777777" w:rsidR="004C2386" w:rsidRPr="00953CBD" w:rsidRDefault="004C2386" w:rsidP="009A4E3C">
            <w:pPr>
              <w:pStyle w:val="Tabletext"/>
              <w:spacing w:before="160" w:after="160"/>
              <w:rPr>
                <w:sz w:val="16"/>
                <w:szCs w:val="16"/>
                <w:lang w:val="en-GB"/>
              </w:rPr>
            </w:pPr>
            <w:r w:rsidRPr="00953CBD">
              <w:rPr>
                <w:sz w:val="16"/>
                <w:szCs w:val="16"/>
                <w:lang w:val="en-GB"/>
              </w:rPr>
              <w:t xml:space="preserve">Prevalence of infection </w:t>
            </w:r>
            <w:r w:rsidR="00EB088A" w:rsidRPr="00953CBD">
              <w:rPr>
                <w:sz w:val="16"/>
                <w:szCs w:val="16"/>
                <w:lang w:val="en-GB"/>
              </w:rPr>
              <w:t>–</w:t>
            </w:r>
            <w:r w:rsidRPr="00953CBD">
              <w:rPr>
                <w:sz w:val="16"/>
                <w:szCs w:val="16"/>
                <w:lang w:val="en-GB"/>
              </w:rPr>
              <w:t xml:space="preserve"> surveillance</w:t>
            </w:r>
          </w:p>
        </w:tc>
        <w:tc>
          <w:tcPr>
            <w:tcW w:w="1546" w:type="dxa"/>
            <w:tcBorders>
              <w:top w:val="single" w:sz="6" w:space="0" w:color="auto"/>
              <w:left w:val="single" w:sz="6" w:space="0" w:color="auto"/>
              <w:bottom w:val="single" w:sz="6" w:space="0" w:color="auto"/>
              <w:right w:val="single" w:sz="6" w:space="0" w:color="auto"/>
            </w:tcBorders>
            <w:vAlign w:val="center"/>
          </w:tcPr>
          <w:p w14:paraId="0F34A512" w14:textId="77777777" w:rsidR="004C2386" w:rsidRPr="00953CBD" w:rsidRDefault="004C2386" w:rsidP="009A4E3C">
            <w:pPr>
              <w:pStyle w:val="Tabletext"/>
              <w:spacing w:before="160" w:after="160"/>
              <w:rPr>
                <w:sz w:val="16"/>
                <w:szCs w:val="16"/>
                <w:lang w:val="en-GB"/>
              </w:rPr>
            </w:pPr>
            <w:r w:rsidRPr="00953CBD">
              <w:rPr>
                <w:sz w:val="16"/>
                <w:szCs w:val="16"/>
                <w:lang w:val="en-GB"/>
              </w:rPr>
              <w:t>Immune status in individual animals or populations post-vaccination</w:t>
            </w:r>
          </w:p>
        </w:tc>
      </w:tr>
      <w:tr w:rsidR="00EB088A" w:rsidRPr="00953CBD" w14:paraId="7BEBC74E" w14:textId="77777777" w:rsidTr="00EB088A">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2531A09F" w14:textId="77777777" w:rsidR="00EB088A" w:rsidRPr="00953CBD" w:rsidRDefault="00EB088A" w:rsidP="009A4E3C">
            <w:pPr>
              <w:pStyle w:val="Tabletext"/>
              <w:spacing w:before="160" w:after="160"/>
              <w:rPr>
                <w:sz w:val="16"/>
                <w:szCs w:val="16"/>
                <w:lang w:val="en-GB"/>
              </w:rPr>
            </w:pPr>
            <w:r w:rsidRPr="00953CBD">
              <w:rPr>
                <w:b/>
                <w:sz w:val="16"/>
                <w:szCs w:val="16"/>
              </w:rPr>
              <w:t>Agent identification</w:t>
            </w:r>
            <w:r w:rsidRPr="00F37625">
              <w:rPr>
                <w:rStyle w:val="Appelnotedebasdep"/>
                <w:b/>
                <w:sz w:val="16"/>
                <w:szCs w:val="16"/>
              </w:rPr>
              <w:footnoteReference w:id="1"/>
            </w:r>
          </w:p>
        </w:tc>
      </w:tr>
      <w:tr w:rsidR="004C2386" w:rsidRPr="00953CBD" w14:paraId="784ACA4D" w14:textId="77777777" w:rsidTr="00EB088A">
        <w:trPr>
          <w:trHeight w:val="402"/>
          <w:jc w:val="center"/>
        </w:trPr>
        <w:tc>
          <w:tcPr>
            <w:tcW w:w="1548" w:type="dxa"/>
            <w:tcBorders>
              <w:top w:val="single" w:sz="6" w:space="0" w:color="auto"/>
              <w:left w:val="single" w:sz="6" w:space="0" w:color="auto"/>
            </w:tcBorders>
          </w:tcPr>
          <w:p w14:paraId="1F49E97C" w14:textId="77777777" w:rsidR="004C2386" w:rsidRPr="00953CBD" w:rsidRDefault="006A5EB2" w:rsidP="009A4E3C">
            <w:pPr>
              <w:spacing w:before="160" w:after="160" w:line="240" w:lineRule="auto"/>
              <w:jc w:val="center"/>
              <w:rPr>
                <w:rFonts w:ascii="Arial" w:hAnsi="Arial" w:cs="Arial"/>
                <w:b/>
                <w:sz w:val="16"/>
                <w:szCs w:val="16"/>
              </w:rPr>
            </w:pPr>
            <w:r w:rsidRPr="00953CBD">
              <w:rPr>
                <w:rFonts w:ascii="Arial" w:hAnsi="Arial" w:cs="Arial"/>
                <w:b/>
                <w:sz w:val="16"/>
                <w:szCs w:val="16"/>
              </w:rPr>
              <w:t>Virus isolation</w:t>
            </w:r>
          </w:p>
        </w:tc>
        <w:tc>
          <w:tcPr>
            <w:tcW w:w="992" w:type="dxa"/>
            <w:tcBorders>
              <w:top w:val="single" w:sz="6" w:space="0" w:color="auto"/>
              <w:left w:val="single" w:sz="6" w:space="0" w:color="auto"/>
            </w:tcBorders>
            <w:vAlign w:val="center"/>
          </w:tcPr>
          <w:p w14:paraId="718EEE1F" w14:textId="77777777" w:rsidR="004C2386" w:rsidRPr="00953CBD" w:rsidRDefault="009C17B7" w:rsidP="009A4E3C">
            <w:pPr>
              <w:pStyle w:val="Tabletext"/>
              <w:spacing w:before="160" w:after="160"/>
              <w:rPr>
                <w:sz w:val="16"/>
                <w:szCs w:val="16"/>
                <w:lang w:val="en-GB"/>
              </w:rPr>
            </w:pPr>
            <w:r w:rsidRPr="00953CBD">
              <w:rPr>
                <w:sz w:val="16"/>
                <w:szCs w:val="16"/>
                <w:lang w:val="en-GB"/>
              </w:rPr>
              <w:t>–</w:t>
            </w:r>
          </w:p>
        </w:tc>
        <w:tc>
          <w:tcPr>
            <w:tcW w:w="1417" w:type="dxa"/>
            <w:tcBorders>
              <w:top w:val="single" w:sz="6" w:space="0" w:color="auto"/>
              <w:left w:val="single" w:sz="6" w:space="0" w:color="auto"/>
            </w:tcBorders>
            <w:vAlign w:val="center"/>
          </w:tcPr>
          <w:p w14:paraId="1351FE52" w14:textId="77777777" w:rsidR="004C2386" w:rsidRPr="00953CBD" w:rsidRDefault="009C17B7" w:rsidP="009A4E3C">
            <w:pPr>
              <w:pStyle w:val="Tabletext"/>
              <w:spacing w:before="160" w:after="160"/>
              <w:rPr>
                <w:sz w:val="16"/>
                <w:szCs w:val="16"/>
                <w:lang w:val="en-GB"/>
              </w:rPr>
            </w:pPr>
            <w:r w:rsidRPr="00953CBD">
              <w:rPr>
                <w:sz w:val="16"/>
                <w:szCs w:val="16"/>
                <w:lang w:val="en-GB"/>
              </w:rPr>
              <w:t>–</w:t>
            </w:r>
          </w:p>
        </w:tc>
        <w:tc>
          <w:tcPr>
            <w:tcW w:w="1276" w:type="dxa"/>
            <w:tcBorders>
              <w:top w:val="single" w:sz="6" w:space="0" w:color="auto"/>
              <w:left w:val="single" w:sz="6" w:space="0" w:color="auto"/>
            </w:tcBorders>
            <w:vAlign w:val="center"/>
          </w:tcPr>
          <w:p w14:paraId="4B96485C" w14:textId="77777777" w:rsidR="004C2386" w:rsidRPr="00953CBD" w:rsidRDefault="009C17B7" w:rsidP="009A4E3C">
            <w:pPr>
              <w:pStyle w:val="Tabletext"/>
              <w:spacing w:before="160" w:after="160"/>
              <w:rPr>
                <w:sz w:val="16"/>
                <w:szCs w:val="16"/>
                <w:lang w:val="en-GB"/>
              </w:rPr>
            </w:pPr>
            <w:r w:rsidRPr="00953CBD">
              <w:rPr>
                <w:sz w:val="16"/>
                <w:szCs w:val="16"/>
                <w:lang w:val="en-GB"/>
              </w:rPr>
              <w:t>–</w:t>
            </w:r>
          </w:p>
        </w:tc>
        <w:tc>
          <w:tcPr>
            <w:tcW w:w="1134" w:type="dxa"/>
            <w:tcBorders>
              <w:top w:val="single" w:sz="6" w:space="0" w:color="auto"/>
              <w:left w:val="single" w:sz="6" w:space="0" w:color="auto"/>
            </w:tcBorders>
            <w:vAlign w:val="center"/>
          </w:tcPr>
          <w:p w14:paraId="5F62D094" w14:textId="77777777" w:rsidR="004C2386" w:rsidRPr="00953CBD" w:rsidRDefault="007F73C3" w:rsidP="009A4E3C">
            <w:pPr>
              <w:pStyle w:val="Tabletext"/>
              <w:spacing w:before="160" w:after="160"/>
              <w:rPr>
                <w:sz w:val="16"/>
                <w:szCs w:val="16"/>
                <w:lang w:val="en-GB"/>
              </w:rPr>
            </w:pPr>
            <w:r w:rsidRPr="00953CBD">
              <w:rPr>
                <w:sz w:val="16"/>
                <w:szCs w:val="16"/>
                <w:lang w:val="en-GB"/>
              </w:rPr>
              <w:t>++</w:t>
            </w:r>
          </w:p>
        </w:tc>
        <w:tc>
          <w:tcPr>
            <w:tcW w:w="1134" w:type="dxa"/>
            <w:tcBorders>
              <w:top w:val="single" w:sz="6" w:space="0" w:color="auto"/>
              <w:left w:val="single" w:sz="6" w:space="0" w:color="auto"/>
            </w:tcBorders>
            <w:vAlign w:val="center"/>
          </w:tcPr>
          <w:p w14:paraId="6CE8B1D4" w14:textId="77777777" w:rsidR="004C2386" w:rsidRPr="00953CBD" w:rsidRDefault="00FE0FBA" w:rsidP="009A4E3C">
            <w:pPr>
              <w:pStyle w:val="Tabletext"/>
              <w:spacing w:before="160" w:after="160"/>
              <w:rPr>
                <w:sz w:val="16"/>
                <w:szCs w:val="16"/>
                <w:lang w:val="en-GB"/>
              </w:rPr>
            </w:pPr>
            <w:r w:rsidRPr="00953CBD">
              <w:rPr>
                <w:sz w:val="16"/>
                <w:szCs w:val="16"/>
                <w:lang w:val="en-GB"/>
              </w:rPr>
              <w:t>–</w:t>
            </w:r>
          </w:p>
        </w:tc>
        <w:tc>
          <w:tcPr>
            <w:tcW w:w="1546" w:type="dxa"/>
            <w:tcBorders>
              <w:top w:val="single" w:sz="6" w:space="0" w:color="auto"/>
              <w:left w:val="single" w:sz="6" w:space="0" w:color="auto"/>
              <w:right w:val="single" w:sz="6" w:space="0" w:color="auto"/>
            </w:tcBorders>
            <w:vAlign w:val="center"/>
          </w:tcPr>
          <w:p w14:paraId="35FAF9B8" w14:textId="77777777" w:rsidR="004C2386" w:rsidRPr="00953CBD" w:rsidRDefault="009C17B7" w:rsidP="009A4E3C">
            <w:pPr>
              <w:pStyle w:val="Tabletext"/>
              <w:spacing w:before="160" w:after="160"/>
              <w:rPr>
                <w:sz w:val="16"/>
                <w:szCs w:val="16"/>
                <w:lang w:val="en-GB"/>
              </w:rPr>
            </w:pPr>
            <w:r w:rsidRPr="00953CBD">
              <w:rPr>
                <w:sz w:val="16"/>
                <w:szCs w:val="16"/>
                <w:lang w:val="en-GB"/>
              </w:rPr>
              <w:t>–</w:t>
            </w:r>
          </w:p>
        </w:tc>
      </w:tr>
      <w:tr w:rsidR="006A5EB2" w:rsidRPr="00953CBD" w14:paraId="3C98799C" w14:textId="77777777" w:rsidTr="00EB088A">
        <w:trPr>
          <w:trHeight w:val="402"/>
          <w:jc w:val="center"/>
        </w:trPr>
        <w:tc>
          <w:tcPr>
            <w:tcW w:w="1548" w:type="dxa"/>
            <w:tcBorders>
              <w:top w:val="single" w:sz="6" w:space="0" w:color="auto"/>
              <w:left w:val="single" w:sz="6" w:space="0" w:color="auto"/>
            </w:tcBorders>
          </w:tcPr>
          <w:p w14:paraId="683FF098" w14:textId="1830D972" w:rsidR="006A5EB2" w:rsidRPr="00953CBD" w:rsidDel="006A5EB2" w:rsidRDefault="006A5EB2" w:rsidP="009A4E3C">
            <w:pPr>
              <w:spacing w:before="160" w:after="160" w:line="240" w:lineRule="auto"/>
              <w:jc w:val="center"/>
              <w:rPr>
                <w:rFonts w:ascii="Arial" w:hAnsi="Arial" w:cs="Arial"/>
                <w:b/>
                <w:sz w:val="16"/>
                <w:szCs w:val="16"/>
              </w:rPr>
            </w:pPr>
            <w:r w:rsidRPr="00953CBD">
              <w:rPr>
                <w:rFonts w:ascii="Arial" w:hAnsi="Arial" w:cs="Arial"/>
                <w:b/>
                <w:sz w:val="16"/>
                <w:szCs w:val="16"/>
              </w:rPr>
              <w:t xml:space="preserve">Immuno-fluorescence </w:t>
            </w:r>
            <w:r w:rsidR="009A4E3C">
              <w:rPr>
                <w:rFonts w:ascii="Arial" w:hAnsi="Arial" w:cs="Arial"/>
                <w:b/>
                <w:sz w:val="16"/>
                <w:szCs w:val="16"/>
              </w:rPr>
              <w:br/>
            </w:r>
            <w:r w:rsidRPr="00953CBD">
              <w:rPr>
                <w:rFonts w:ascii="Arial" w:hAnsi="Arial" w:cs="Arial"/>
                <w:b/>
                <w:sz w:val="16"/>
                <w:szCs w:val="16"/>
              </w:rPr>
              <w:t>for antigen</w:t>
            </w:r>
          </w:p>
        </w:tc>
        <w:tc>
          <w:tcPr>
            <w:tcW w:w="992" w:type="dxa"/>
            <w:tcBorders>
              <w:top w:val="single" w:sz="6" w:space="0" w:color="auto"/>
              <w:left w:val="single" w:sz="6" w:space="0" w:color="auto"/>
            </w:tcBorders>
            <w:vAlign w:val="center"/>
          </w:tcPr>
          <w:p w14:paraId="77FDE489" w14:textId="77777777" w:rsidR="006A5EB2" w:rsidRPr="00953CBD" w:rsidRDefault="00901AAC" w:rsidP="009A4E3C">
            <w:pPr>
              <w:pStyle w:val="Tabletext"/>
              <w:spacing w:before="160" w:after="160"/>
              <w:rPr>
                <w:sz w:val="16"/>
                <w:szCs w:val="16"/>
                <w:lang w:val="en-GB"/>
              </w:rPr>
            </w:pPr>
            <w:r w:rsidRPr="00953CBD">
              <w:rPr>
                <w:sz w:val="16"/>
                <w:szCs w:val="16"/>
                <w:lang w:val="en-GB"/>
              </w:rPr>
              <w:t>–</w:t>
            </w:r>
          </w:p>
        </w:tc>
        <w:tc>
          <w:tcPr>
            <w:tcW w:w="1417" w:type="dxa"/>
            <w:tcBorders>
              <w:top w:val="single" w:sz="6" w:space="0" w:color="auto"/>
              <w:left w:val="single" w:sz="6" w:space="0" w:color="auto"/>
            </w:tcBorders>
            <w:vAlign w:val="center"/>
          </w:tcPr>
          <w:p w14:paraId="62355C7F" w14:textId="77777777" w:rsidR="006A5EB2" w:rsidRPr="00953CBD" w:rsidRDefault="00901AAC" w:rsidP="009A4E3C">
            <w:pPr>
              <w:pStyle w:val="Tabletext"/>
              <w:spacing w:before="160" w:after="160"/>
              <w:rPr>
                <w:sz w:val="16"/>
                <w:szCs w:val="16"/>
                <w:lang w:val="en-GB"/>
              </w:rPr>
            </w:pPr>
            <w:r w:rsidRPr="00953CBD">
              <w:rPr>
                <w:sz w:val="16"/>
                <w:szCs w:val="16"/>
                <w:lang w:val="en-GB"/>
              </w:rPr>
              <w:t>+</w:t>
            </w:r>
          </w:p>
        </w:tc>
        <w:tc>
          <w:tcPr>
            <w:tcW w:w="1276" w:type="dxa"/>
            <w:tcBorders>
              <w:top w:val="single" w:sz="6" w:space="0" w:color="auto"/>
              <w:left w:val="single" w:sz="6" w:space="0" w:color="auto"/>
            </w:tcBorders>
            <w:vAlign w:val="center"/>
          </w:tcPr>
          <w:p w14:paraId="342A5060" w14:textId="77777777" w:rsidR="006A5EB2" w:rsidRPr="00953CBD" w:rsidRDefault="00901AAC" w:rsidP="009A4E3C">
            <w:pPr>
              <w:pStyle w:val="Tabletext"/>
              <w:spacing w:before="160" w:after="160"/>
              <w:rPr>
                <w:sz w:val="16"/>
                <w:szCs w:val="16"/>
                <w:lang w:val="en-GB"/>
              </w:rPr>
            </w:pPr>
            <w:r w:rsidRPr="00953CBD">
              <w:rPr>
                <w:sz w:val="16"/>
                <w:szCs w:val="16"/>
                <w:lang w:val="en-GB"/>
              </w:rPr>
              <w:t>–</w:t>
            </w:r>
          </w:p>
        </w:tc>
        <w:tc>
          <w:tcPr>
            <w:tcW w:w="1134" w:type="dxa"/>
            <w:tcBorders>
              <w:top w:val="single" w:sz="6" w:space="0" w:color="auto"/>
              <w:left w:val="single" w:sz="6" w:space="0" w:color="auto"/>
            </w:tcBorders>
            <w:vAlign w:val="center"/>
          </w:tcPr>
          <w:p w14:paraId="565A3D5A" w14:textId="77777777" w:rsidR="006A5EB2" w:rsidRPr="00953CBD" w:rsidRDefault="00901AAC" w:rsidP="009A4E3C">
            <w:pPr>
              <w:pStyle w:val="Tabletext"/>
              <w:spacing w:before="160" w:after="160"/>
              <w:rPr>
                <w:sz w:val="16"/>
                <w:szCs w:val="16"/>
                <w:lang w:val="en-GB"/>
              </w:rPr>
            </w:pPr>
            <w:r w:rsidRPr="00953CBD">
              <w:rPr>
                <w:sz w:val="16"/>
                <w:szCs w:val="16"/>
                <w:lang w:val="en-GB"/>
              </w:rPr>
              <w:t>++</w:t>
            </w:r>
          </w:p>
        </w:tc>
        <w:tc>
          <w:tcPr>
            <w:tcW w:w="1134" w:type="dxa"/>
            <w:tcBorders>
              <w:top w:val="single" w:sz="6" w:space="0" w:color="auto"/>
              <w:left w:val="single" w:sz="6" w:space="0" w:color="auto"/>
            </w:tcBorders>
            <w:vAlign w:val="center"/>
          </w:tcPr>
          <w:p w14:paraId="5EF094AA" w14:textId="77777777" w:rsidR="006A5EB2" w:rsidRPr="00953CBD" w:rsidDel="006A5EB2" w:rsidRDefault="00901AAC" w:rsidP="009A4E3C">
            <w:pPr>
              <w:pStyle w:val="Tabletext"/>
              <w:spacing w:before="160" w:after="160"/>
              <w:rPr>
                <w:sz w:val="16"/>
                <w:szCs w:val="16"/>
                <w:lang w:val="en-GB"/>
              </w:rPr>
            </w:pPr>
            <w:r w:rsidRPr="00953CBD">
              <w:rPr>
                <w:sz w:val="16"/>
                <w:szCs w:val="16"/>
                <w:lang w:val="en-GB"/>
              </w:rPr>
              <w:t>–</w:t>
            </w:r>
          </w:p>
        </w:tc>
        <w:tc>
          <w:tcPr>
            <w:tcW w:w="1546" w:type="dxa"/>
            <w:tcBorders>
              <w:top w:val="single" w:sz="6" w:space="0" w:color="auto"/>
              <w:left w:val="single" w:sz="6" w:space="0" w:color="auto"/>
              <w:right w:val="single" w:sz="6" w:space="0" w:color="auto"/>
            </w:tcBorders>
            <w:vAlign w:val="center"/>
          </w:tcPr>
          <w:p w14:paraId="4E8417F9" w14:textId="77777777" w:rsidR="006A5EB2" w:rsidRPr="00953CBD" w:rsidRDefault="00901AAC" w:rsidP="009A4E3C">
            <w:pPr>
              <w:pStyle w:val="Tabletext"/>
              <w:spacing w:before="160" w:after="160"/>
              <w:rPr>
                <w:sz w:val="16"/>
                <w:szCs w:val="16"/>
                <w:lang w:val="en-GB"/>
              </w:rPr>
            </w:pPr>
            <w:r w:rsidRPr="00953CBD">
              <w:rPr>
                <w:sz w:val="16"/>
                <w:szCs w:val="16"/>
                <w:lang w:val="en-GB"/>
              </w:rPr>
              <w:t>–</w:t>
            </w:r>
          </w:p>
        </w:tc>
      </w:tr>
      <w:tr w:rsidR="00E0183A" w:rsidRPr="00953CBD" w14:paraId="6D3EB0C2" w14:textId="77777777" w:rsidTr="00EB088A">
        <w:trPr>
          <w:trHeight w:val="402"/>
          <w:jc w:val="center"/>
        </w:trPr>
        <w:tc>
          <w:tcPr>
            <w:tcW w:w="1548" w:type="dxa"/>
            <w:tcBorders>
              <w:top w:val="single" w:sz="6" w:space="0" w:color="auto"/>
              <w:left w:val="single" w:sz="6" w:space="0" w:color="auto"/>
            </w:tcBorders>
          </w:tcPr>
          <w:p w14:paraId="407E1A75" w14:textId="77777777" w:rsidR="00E0183A" w:rsidRPr="00953CBD" w:rsidRDefault="00826BE5" w:rsidP="009A4E3C">
            <w:pPr>
              <w:spacing w:before="160" w:after="160" w:line="240" w:lineRule="auto"/>
              <w:jc w:val="center"/>
              <w:rPr>
                <w:rFonts w:ascii="Arial" w:hAnsi="Arial" w:cs="Arial"/>
                <w:b/>
                <w:sz w:val="16"/>
                <w:szCs w:val="16"/>
              </w:rPr>
            </w:pPr>
            <w:r w:rsidRPr="00953CBD">
              <w:rPr>
                <w:rFonts w:ascii="Arial" w:hAnsi="Arial" w:cs="Arial"/>
                <w:b/>
                <w:sz w:val="16"/>
                <w:szCs w:val="16"/>
              </w:rPr>
              <w:t>ELISA</w:t>
            </w:r>
            <w:r w:rsidR="00D453F7" w:rsidRPr="00953CBD">
              <w:rPr>
                <w:rFonts w:ascii="Arial" w:hAnsi="Arial" w:cs="Arial"/>
                <w:b/>
                <w:sz w:val="16"/>
                <w:szCs w:val="16"/>
              </w:rPr>
              <w:t xml:space="preserve"> – antigen detection</w:t>
            </w:r>
          </w:p>
        </w:tc>
        <w:tc>
          <w:tcPr>
            <w:tcW w:w="992" w:type="dxa"/>
            <w:tcBorders>
              <w:top w:val="single" w:sz="6" w:space="0" w:color="auto"/>
              <w:left w:val="single" w:sz="6" w:space="0" w:color="auto"/>
            </w:tcBorders>
            <w:vAlign w:val="center"/>
          </w:tcPr>
          <w:p w14:paraId="40C9CA9A" w14:textId="4E6E58B1" w:rsidR="00E0183A" w:rsidRPr="00953CBD" w:rsidRDefault="00ED2690" w:rsidP="009A4E3C">
            <w:pPr>
              <w:pStyle w:val="Tabletext"/>
              <w:spacing w:before="160" w:after="160"/>
              <w:rPr>
                <w:sz w:val="16"/>
                <w:szCs w:val="16"/>
                <w:lang w:val="en-GB"/>
              </w:rPr>
            </w:pPr>
            <w:r w:rsidRPr="007D1572">
              <w:rPr>
                <w:strike/>
                <w:sz w:val="16"/>
                <w:szCs w:val="16"/>
                <w:highlight w:val="yellow"/>
                <w:lang w:val="en-GB"/>
              </w:rPr>
              <w:t>+</w:t>
            </w:r>
            <w:r w:rsidR="007D1572" w:rsidRPr="007D1572">
              <w:rPr>
                <w:strike/>
                <w:sz w:val="16"/>
                <w:szCs w:val="16"/>
                <w:highlight w:val="yellow"/>
                <w:lang w:val="en-GB"/>
              </w:rPr>
              <w:t xml:space="preserve"> </w:t>
            </w:r>
            <w:r w:rsidR="007D1572" w:rsidRPr="007D1572">
              <w:rPr>
                <w:sz w:val="16"/>
                <w:szCs w:val="16"/>
                <w:highlight w:val="yellow"/>
                <w:u w:val="double"/>
                <w:lang w:val="en-GB"/>
              </w:rPr>
              <w:t>–</w:t>
            </w:r>
          </w:p>
        </w:tc>
        <w:tc>
          <w:tcPr>
            <w:tcW w:w="1417" w:type="dxa"/>
            <w:tcBorders>
              <w:top w:val="single" w:sz="6" w:space="0" w:color="auto"/>
              <w:left w:val="single" w:sz="6" w:space="0" w:color="auto"/>
            </w:tcBorders>
            <w:vAlign w:val="center"/>
          </w:tcPr>
          <w:p w14:paraId="186E5675" w14:textId="77777777" w:rsidR="00E0183A" w:rsidRPr="00953CBD" w:rsidRDefault="00ED2690" w:rsidP="009A4E3C">
            <w:pPr>
              <w:pStyle w:val="Tabletext"/>
              <w:spacing w:before="160" w:after="160"/>
              <w:rPr>
                <w:sz w:val="16"/>
                <w:szCs w:val="16"/>
                <w:lang w:val="en-GB"/>
              </w:rPr>
            </w:pPr>
            <w:r w:rsidRPr="00953CBD">
              <w:rPr>
                <w:sz w:val="16"/>
                <w:szCs w:val="16"/>
                <w:lang w:val="en-GB"/>
              </w:rPr>
              <w:t>++</w:t>
            </w:r>
          </w:p>
        </w:tc>
        <w:tc>
          <w:tcPr>
            <w:tcW w:w="1276" w:type="dxa"/>
            <w:tcBorders>
              <w:top w:val="single" w:sz="6" w:space="0" w:color="auto"/>
              <w:left w:val="single" w:sz="6" w:space="0" w:color="auto"/>
            </w:tcBorders>
            <w:vAlign w:val="center"/>
          </w:tcPr>
          <w:p w14:paraId="5BF7782E" w14:textId="77777777" w:rsidR="00E0183A" w:rsidRPr="00953CBD" w:rsidRDefault="00ED2690" w:rsidP="009A4E3C">
            <w:pPr>
              <w:pStyle w:val="Tabletext"/>
              <w:spacing w:before="160" w:after="160"/>
              <w:rPr>
                <w:sz w:val="16"/>
                <w:szCs w:val="16"/>
                <w:lang w:val="en-GB"/>
              </w:rPr>
            </w:pPr>
            <w:r w:rsidRPr="00953CBD">
              <w:rPr>
                <w:sz w:val="16"/>
                <w:szCs w:val="16"/>
                <w:lang w:val="en-GB"/>
              </w:rPr>
              <w:t>+</w:t>
            </w:r>
          </w:p>
        </w:tc>
        <w:tc>
          <w:tcPr>
            <w:tcW w:w="1134" w:type="dxa"/>
            <w:tcBorders>
              <w:top w:val="single" w:sz="6" w:space="0" w:color="auto"/>
              <w:left w:val="single" w:sz="6" w:space="0" w:color="auto"/>
            </w:tcBorders>
            <w:vAlign w:val="center"/>
          </w:tcPr>
          <w:p w14:paraId="3FCA66F6" w14:textId="77777777" w:rsidR="00E0183A" w:rsidRPr="00953CBD" w:rsidRDefault="00D453F7" w:rsidP="009A4E3C">
            <w:pPr>
              <w:pStyle w:val="Tabletext"/>
              <w:spacing w:before="160" w:after="160"/>
              <w:rPr>
                <w:sz w:val="16"/>
                <w:szCs w:val="16"/>
                <w:lang w:val="en-GB"/>
              </w:rPr>
            </w:pPr>
            <w:r w:rsidRPr="00953CBD">
              <w:rPr>
                <w:sz w:val="16"/>
                <w:szCs w:val="16"/>
                <w:lang w:val="en-GB"/>
              </w:rPr>
              <w:t>++</w:t>
            </w:r>
            <w:r w:rsidR="00ED2690" w:rsidRPr="00953CBD">
              <w:rPr>
                <w:sz w:val="16"/>
                <w:szCs w:val="16"/>
                <w:lang w:val="en-GB"/>
              </w:rPr>
              <w:t>+</w:t>
            </w:r>
          </w:p>
        </w:tc>
        <w:tc>
          <w:tcPr>
            <w:tcW w:w="1134" w:type="dxa"/>
            <w:tcBorders>
              <w:top w:val="single" w:sz="6" w:space="0" w:color="auto"/>
              <w:left w:val="single" w:sz="6" w:space="0" w:color="auto"/>
            </w:tcBorders>
            <w:vAlign w:val="center"/>
          </w:tcPr>
          <w:p w14:paraId="52DCB492" w14:textId="77777777" w:rsidR="00E0183A" w:rsidRPr="00953CBD" w:rsidRDefault="00D453F7" w:rsidP="009A4E3C">
            <w:pPr>
              <w:pStyle w:val="Tabletext"/>
              <w:spacing w:before="160" w:after="160"/>
              <w:rPr>
                <w:sz w:val="16"/>
                <w:szCs w:val="16"/>
                <w:lang w:val="en-GB"/>
              </w:rPr>
            </w:pPr>
            <w:r w:rsidRPr="00953CBD">
              <w:rPr>
                <w:sz w:val="16"/>
                <w:szCs w:val="16"/>
                <w:lang w:val="en-GB"/>
              </w:rPr>
              <w:t>+</w:t>
            </w:r>
          </w:p>
        </w:tc>
        <w:tc>
          <w:tcPr>
            <w:tcW w:w="1546" w:type="dxa"/>
            <w:tcBorders>
              <w:top w:val="single" w:sz="6" w:space="0" w:color="auto"/>
              <w:left w:val="single" w:sz="6" w:space="0" w:color="auto"/>
              <w:right w:val="single" w:sz="6" w:space="0" w:color="auto"/>
            </w:tcBorders>
            <w:vAlign w:val="center"/>
          </w:tcPr>
          <w:p w14:paraId="780830A2" w14:textId="77777777" w:rsidR="00E0183A" w:rsidRPr="00953CBD" w:rsidRDefault="00C34B09" w:rsidP="009A4E3C">
            <w:pPr>
              <w:pStyle w:val="Tabletext"/>
              <w:spacing w:before="160" w:after="160"/>
              <w:rPr>
                <w:sz w:val="16"/>
                <w:szCs w:val="16"/>
                <w:lang w:val="en-GB"/>
              </w:rPr>
            </w:pPr>
            <w:r w:rsidRPr="00953CBD">
              <w:rPr>
                <w:sz w:val="16"/>
                <w:szCs w:val="16"/>
                <w:lang w:val="en-GB"/>
              </w:rPr>
              <w:t>–</w:t>
            </w:r>
          </w:p>
        </w:tc>
      </w:tr>
      <w:tr w:rsidR="004E537A" w:rsidRPr="00953CBD" w14:paraId="2A76BA71" w14:textId="77777777" w:rsidTr="009A4E3C">
        <w:trPr>
          <w:trHeight w:val="402"/>
          <w:jc w:val="center"/>
        </w:trPr>
        <w:tc>
          <w:tcPr>
            <w:tcW w:w="1548" w:type="dxa"/>
            <w:tcBorders>
              <w:top w:val="single" w:sz="6" w:space="0" w:color="auto"/>
              <w:left w:val="single" w:sz="6" w:space="0" w:color="auto"/>
              <w:bottom w:val="single" w:sz="6" w:space="0" w:color="auto"/>
            </w:tcBorders>
          </w:tcPr>
          <w:p w14:paraId="190FF0B3" w14:textId="77777777" w:rsidR="004E537A" w:rsidRPr="00953CBD" w:rsidRDefault="00826BE5" w:rsidP="009A4E3C">
            <w:pPr>
              <w:spacing w:before="160" w:after="160" w:line="240" w:lineRule="auto"/>
              <w:jc w:val="center"/>
              <w:rPr>
                <w:rFonts w:ascii="Arial" w:hAnsi="Arial" w:cs="Arial"/>
                <w:b/>
                <w:sz w:val="16"/>
                <w:szCs w:val="16"/>
              </w:rPr>
            </w:pPr>
            <w:r w:rsidRPr="00953CBD">
              <w:rPr>
                <w:rFonts w:ascii="Arial" w:hAnsi="Arial" w:cs="Arial"/>
                <w:b/>
                <w:sz w:val="16"/>
                <w:szCs w:val="16"/>
              </w:rPr>
              <w:t>PCR</w:t>
            </w:r>
          </w:p>
        </w:tc>
        <w:tc>
          <w:tcPr>
            <w:tcW w:w="992" w:type="dxa"/>
            <w:tcBorders>
              <w:top w:val="single" w:sz="6" w:space="0" w:color="auto"/>
              <w:left w:val="single" w:sz="6" w:space="0" w:color="auto"/>
              <w:bottom w:val="single" w:sz="6" w:space="0" w:color="auto"/>
            </w:tcBorders>
            <w:vAlign w:val="center"/>
          </w:tcPr>
          <w:p w14:paraId="1391BE00" w14:textId="77777777" w:rsidR="004E537A" w:rsidRPr="00953CBD" w:rsidRDefault="004E537A" w:rsidP="009A4E3C">
            <w:pPr>
              <w:pStyle w:val="Tabletext"/>
              <w:spacing w:before="160" w:after="160"/>
              <w:rPr>
                <w:sz w:val="16"/>
                <w:szCs w:val="16"/>
                <w:lang w:val="en-GB"/>
              </w:rPr>
            </w:pPr>
            <w:r w:rsidRPr="00953CBD">
              <w:rPr>
                <w:sz w:val="16"/>
                <w:szCs w:val="16"/>
                <w:lang w:val="en-GB"/>
              </w:rPr>
              <w:t>++</w:t>
            </w:r>
          </w:p>
        </w:tc>
        <w:tc>
          <w:tcPr>
            <w:tcW w:w="1417" w:type="dxa"/>
            <w:tcBorders>
              <w:top w:val="single" w:sz="6" w:space="0" w:color="auto"/>
              <w:left w:val="single" w:sz="6" w:space="0" w:color="auto"/>
              <w:bottom w:val="single" w:sz="6" w:space="0" w:color="auto"/>
            </w:tcBorders>
            <w:vAlign w:val="center"/>
          </w:tcPr>
          <w:p w14:paraId="5932B79A" w14:textId="77777777" w:rsidR="004E537A" w:rsidRPr="00953CBD" w:rsidRDefault="004E537A" w:rsidP="009A4E3C">
            <w:pPr>
              <w:pStyle w:val="Tabletext"/>
              <w:spacing w:before="160" w:after="160"/>
              <w:rPr>
                <w:sz w:val="16"/>
                <w:szCs w:val="16"/>
                <w:lang w:val="en-GB"/>
              </w:rPr>
            </w:pPr>
            <w:r w:rsidRPr="00953CBD">
              <w:rPr>
                <w:sz w:val="16"/>
                <w:szCs w:val="16"/>
                <w:lang w:val="en-GB"/>
              </w:rPr>
              <w:t>+++</w:t>
            </w:r>
          </w:p>
        </w:tc>
        <w:tc>
          <w:tcPr>
            <w:tcW w:w="1276" w:type="dxa"/>
            <w:tcBorders>
              <w:top w:val="single" w:sz="6" w:space="0" w:color="auto"/>
              <w:left w:val="single" w:sz="6" w:space="0" w:color="auto"/>
              <w:bottom w:val="single" w:sz="6" w:space="0" w:color="auto"/>
            </w:tcBorders>
            <w:vAlign w:val="center"/>
          </w:tcPr>
          <w:p w14:paraId="09BA723B" w14:textId="77777777" w:rsidR="004E537A" w:rsidRPr="00953CBD" w:rsidRDefault="004E537A" w:rsidP="009A4E3C">
            <w:pPr>
              <w:pStyle w:val="Tabletext"/>
              <w:spacing w:before="160" w:after="160"/>
              <w:rPr>
                <w:sz w:val="16"/>
                <w:szCs w:val="16"/>
                <w:lang w:val="en-GB"/>
              </w:rPr>
            </w:pPr>
            <w:r w:rsidRPr="00953CB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0BCE865" w14:textId="77777777" w:rsidR="004E537A" w:rsidRPr="00953CBD" w:rsidRDefault="004E537A" w:rsidP="009A4E3C">
            <w:pPr>
              <w:pStyle w:val="Tabletext"/>
              <w:spacing w:before="160" w:after="160"/>
              <w:rPr>
                <w:sz w:val="16"/>
                <w:szCs w:val="16"/>
                <w:lang w:val="en-GB"/>
              </w:rPr>
            </w:pPr>
            <w:r w:rsidRPr="00953CB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A2C55E9" w14:textId="3334FCAA" w:rsidR="004E537A" w:rsidRPr="00953CBD" w:rsidRDefault="00324BCC" w:rsidP="009A4E3C">
            <w:pPr>
              <w:pStyle w:val="Tabletext"/>
              <w:spacing w:before="160" w:after="160"/>
              <w:rPr>
                <w:sz w:val="16"/>
                <w:szCs w:val="16"/>
                <w:lang w:val="en-GB"/>
              </w:rPr>
            </w:pPr>
            <w:r w:rsidRPr="007D1572">
              <w:rPr>
                <w:sz w:val="16"/>
                <w:szCs w:val="16"/>
                <w:highlight w:val="yellow"/>
                <w:u w:val="double"/>
                <w:lang w:val="en-GB"/>
              </w:rPr>
              <w:t>+</w:t>
            </w:r>
            <w:r w:rsidR="004E537A" w:rsidRPr="00953CBD">
              <w:rPr>
                <w:sz w:val="16"/>
                <w:szCs w:val="16"/>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11E8C914" w14:textId="77777777" w:rsidR="004E537A" w:rsidRPr="00953CBD" w:rsidRDefault="004E537A" w:rsidP="009A4E3C">
            <w:pPr>
              <w:pStyle w:val="Tabletext"/>
              <w:spacing w:before="160" w:after="160"/>
              <w:rPr>
                <w:sz w:val="16"/>
                <w:szCs w:val="16"/>
                <w:lang w:val="en-GB"/>
              </w:rPr>
            </w:pPr>
            <w:r w:rsidRPr="00953CBD">
              <w:rPr>
                <w:sz w:val="16"/>
                <w:szCs w:val="16"/>
                <w:lang w:val="en-GB"/>
              </w:rPr>
              <w:t>–</w:t>
            </w:r>
          </w:p>
        </w:tc>
      </w:tr>
      <w:tr w:rsidR="00707C91" w:rsidRPr="00953CBD" w14:paraId="6E3DF3A8" w14:textId="77777777" w:rsidTr="009A4E3C">
        <w:trPr>
          <w:trHeight w:val="402"/>
          <w:jc w:val="center"/>
        </w:trPr>
        <w:tc>
          <w:tcPr>
            <w:tcW w:w="1548" w:type="dxa"/>
            <w:tcBorders>
              <w:top w:val="single" w:sz="6" w:space="0" w:color="auto"/>
              <w:left w:val="single" w:sz="6" w:space="0" w:color="auto"/>
              <w:bottom w:val="single" w:sz="6" w:space="0" w:color="auto"/>
            </w:tcBorders>
          </w:tcPr>
          <w:p w14:paraId="1E60DFA4" w14:textId="17933036" w:rsidR="00707C91" w:rsidRPr="00953CBD" w:rsidRDefault="00DC7660" w:rsidP="009A4E3C">
            <w:pPr>
              <w:spacing w:before="160" w:after="160" w:line="240" w:lineRule="auto"/>
              <w:jc w:val="center"/>
              <w:rPr>
                <w:rFonts w:ascii="Arial" w:hAnsi="Arial" w:cs="Arial"/>
                <w:b/>
                <w:sz w:val="16"/>
                <w:szCs w:val="16"/>
              </w:rPr>
            </w:pPr>
            <w:r w:rsidRPr="00953CBD">
              <w:rPr>
                <w:rFonts w:ascii="Arial" w:hAnsi="Arial" w:cs="Arial"/>
                <w:b/>
                <w:sz w:val="16"/>
                <w:szCs w:val="16"/>
              </w:rPr>
              <w:lastRenderedPageBreak/>
              <w:t>Histopathology</w:t>
            </w:r>
          </w:p>
        </w:tc>
        <w:tc>
          <w:tcPr>
            <w:tcW w:w="992" w:type="dxa"/>
            <w:tcBorders>
              <w:top w:val="single" w:sz="6" w:space="0" w:color="auto"/>
              <w:left w:val="single" w:sz="6" w:space="0" w:color="auto"/>
              <w:bottom w:val="single" w:sz="6" w:space="0" w:color="auto"/>
            </w:tcBorders>
            <w:vAlign w:val="center"/>
          </w:tcPr>
          <w:p w14:paraId="057053A7" w14:textId="2AC40881" w:rsidR="00707C91" w:rsidRPr="00953CBD" w:rsidRDefault="00995B6A" w:rsidP="009A4E3C">
            <w:pPr>
              <w:pStyle w:val="Tabletext"/>
              <w:spacing w:before="160" w:after="160"/>
              <w:rPr>
                <w:sz w:val="16"/>
                <w:szCs w:val="16"/>
                <w:lang w:val="en-GB"/>
              </w:rPr>
            </w:pPr>
            <w:r w:rsidRPr="00953CBD">
              <w:rPr>
                <w:sz w:val="16"/>
                <w:szCs w:val="16"/>
                <w:lang w:val="en-GB"/>
              </w:rPr>
              <w:t>–</w:t>
            </w:r>
          </w:p>
        </w:tc>
        <w:tc>
          <w:tcPr>
            <w:tcW w:w="1417" w:type="dxa"/>
            <w:tcBorders>
              <w:top w:val="single" w:sz="6" w:space="0" w:color="auto"/>
              <w:left w:val="single" w:sz="6" w:space="0" w:color="auto"/>
              <w:bottom w:val="single" w:sz="6" w:space="0" w:color="auto"/>
            </w:tcBorders>
            <w:vAlign w:val="center"/>
          </w:tcPr>
          <w:p w14:paraId="4145D335" w14:textId="3D86F463" w:rsidR="00707C91" w:rsidRPr="00953CBD" w:rsidRDefault="00995B6A" w:rsidP="009A4E3C">
            <w:pPr>
              <w:pStyle w:val="Tabletext"/>
              <w:spacing w:before="160" w:after="160"/>
              <w:rPr>
                <w:sz w:val="16"/>
                <w:szCs w:val="16"/>
                <w:lang w:val="en-GB"/>
              </w:rPr>
            </w:pPr>
            <w:r w:rsidRPr="00953CBD">
              <w:rPr>
                <w:sz w:val="16"/>
                <w:szCs w:val="16"/>
                <w:lang w:val="en-GB"/>
              </w:rPr>
              <w:t>–</w:t>
            </w:r>
          </w:p>
        </w:tc>
        <w:tc>
          <w:tcPr>
            <w:tcW w:w="1276" w:type="dxa"/>
            <w:tcBorders>
              <w:top w:val="single" w:sz="6" w:space="0" w:color="auto"/>
              <w:left w:val="single" w:sz="6" w:space="0" w:color="auto"/>
              <w:bottom w:val="single" w:sz="6" w:space="0" w:color="auto"/>
            </w:tcBorders>
            <w:vAlign w:val="center"/>
          </w:tcPr>
          <w:p w14:paraId="2EC4722B" w14:textId="7D5A444A" w:rsidR="00707C91" w:rsidRPr="00953CBD" w:rsidRDefault="00995B6A" w:rsidP="009A4E3C">
            <w:pPr>
              <w:pStyle w:val="Tabletext"/>
              <w:spacing w:before="160" w:after="160"/>
              <w:rPr>
                <w:sz w:val="16"/>
                <w:szCs w:val="16"/>
                <w:lang w:val="en-GB"/>
              </w:rPr>
            </w:pPr>
            <w:r w:rsidRPr="00953CB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415CB443" w14:textId="6AF84F70" w:rsidR="00707C91" w:rsidRPr="00953CBD" w:rsidRDefault="00DC7660" w:rsidP="009A4E3C">
            <w:pPr>
              <w:pStyle w:val="Tabletext"/>
              <w:spacing w:before="160" w:after="160"/>
              <w:rPr>
                <w:sz w:val="16"/>
                <w:szCs w:val="16"/>
                <w:lang w:val="en-GB"/>
              </w:rPr>
            </w:pPr>
            <w:r w:rsidRPr="00953CB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1C7C439C" w14:textId="0AFAD248" w:rsidR="00707C91" w:rsidRPr="00953CBD" w:rsidRDefault="00995B6A" w:rsidP="009A4E3C">
            <w:pPr>
              <w:pStyle w:val="Tabletext"/>
              <w:spacing w:before="160" w:after="160"/>
              <w:rPr>
                <w:sz w:val="16"/>
                <w:szCs w:val="16"/>
                <w:lang w:val="en-GB"/>
              </w:rPr>
            </w:pPr>
            <w:r w:rsidRPr="00953CBD">
              <w:rPr>
                <w:sz w:val="16"/>
                <w:szCs w:val="16"/>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663A8645" w14:textId="5361D053" w:rsidR="00707C91" w:rsidRPr="00953CBD" w:rsidRDefault="00995B6A" w:rsidP="009A4E3C">
            <w:pPr>
              <w:pStyle w:val="Tabletext"/>
              <w:spacing w:before="160" w:after="160"/>
              <w:rPr>
                <w:sz w:val="16"/>
                <w:szCs w:val="16"/>
                <w:lang w:val="en-GB"/>
              </w:rPr>
            </w:pPr>
            <w:r w:rsidRPr="00953CBD">
              <w:rPr>
                <w:sz w:val="16"/>
                <w:szCs w:val="16"/>
                <w:lang w:val="en-GB"/>
              </w:rPr>
              <w:t>–</w:t>
            </w:r>
          </w:p>
        </w:tc>
      </w:tr>
      <w:tr w:rsidR="00EB088A" w:rsidRPr="00953CBD" w14:paraId="215AFB1F" w14:textId="77777777" w:rsidTr="009A4E3C">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27DB410B" w14:textId="0D34C41A" w:rsidR="00EB088A" w:rsidRPr="00953CBD" w:rsidRDefault="00EB088A" w:rsidP="009A4E3C">
            <w:pPr>
              <w:pStyle w:val="Tabletext"/>
              <w:keepNext/>
              <w:keepLines/>
              <w:rPr>
                <w:sz w:val="16"/>
                <w:szCs w:val="16"/>
                <w:lang w:val="en-GB"/>
              </w:rPr>
            </w:pPr>
            <w:r w:rsidRPr="00953CBD">
              <w:rPr>
                <w:b/>
                <w:sz w:val="16"/>
                <w:szCs w:val="16"/>
              </w:rPr>
              <w:t>Detection of immune response</w:t>
            </w:r>
          </w:p>
        </w:tc>
      </w:tr>
      <w:tr w:rsidR="004E537A" w:rsidRPr="00953CBD" w14:paraId="65C685FC" w14:textId="77777777" w:rsidTr="00EB088A">
        <w:trPr>
          <w:trHeight w:val="402"/>
          <w:jc w:val="center"/>
        </w:trPr>
        <w:tc>
          <w:tcPr>
            <w:tcW w:w="1548" w:type="dxa"/>
            <w:tcBorders>
              <w:top w:val="single" w:sz="6" w:space="0" w:color="auto"/>
              <w:left w:val="single" w:sz="6" w:space="0" w:color="auto"/>
              <w:bottom w:val="single" w:sz="6" w:space="0" w:color="auto"/>
            </w:tcBorders>
          </w:tcPr>
          <w:p w14:paraId="3A60899D" w14:textId="77777777" w:rsidR="004E537A" w:rsidRPr="00953CBD" w:rsidRDefault="00826BE5" w:rsidP="009A4E3C">
            <w:pPr>
              <w:keepNext/>
              <w:keepLines/>
              <w:spacing w:before="120" w:after="120" w:line="240" w:lineRule="auto"/>
              <w:jc w:val="center"/>
              <w:rPr>
                <w:rFonts w:ascii="Arial" w:hAnsi="Arial" w:cs="Arial"/>
                <w:b/>
                <w:sz w:val="16"/>
                <w:szCs w:val="16"/>
              </w:rPr>
            </w:pPr>
            <w:r w:rsidRPr="00953CBD">
              <w:rPr>
                <w:rFonts w:ascii="Arial" w:hAnsi="Arial" w:cs="Arial"/>
                <w:b/>
                <w:sz w:val="16"/>
                <w:szCs w:val="16"/>
              </w:rPr>
              <w:t>VN</w:t>
            </w:r>
          </w:p>
        </w:tc>
        <w:tc>
          <w:tcPr>
            <w:tcW w:w="992" w:type="dxa"/>
            <w:tcBorders>
              <w:top w:val="single" w:sz="6" w:space="0" w:color="auto"/>
              <w:left w:val="single" w:sz="6" w:space="0" w:color="auto"/>
              <w:bottom w:val="single" w:sz="6" w:space="0" w:color="auto"/>
            </w:tcBorders>
            <w:vAlign w:val="center"/>
          </w:tcPr>
          <w:p w14:paraId="248C0C1A" w14:textId="77777777" w:rsidR="004E537A" w:rsidRPr="00953CBD" w:rsidRDefault="00FE0FBA" w:rsidP="009A4E3C">
            <w:pPr>
              <w:pStyle w:val="Tabletext"/>
              <w:keepNext/>
              <w:keepLines/>
              <w:rPr>
                <w:sz w:val="16"/>
                <w:szCs w:val="16"/>
                <w:lang w:val="en-GB"/>
              </w:rPr>
            </w:pPr>
            <w:r w:rsidRPr="00953CBD">
              <w:rPr>
                <w:sz w:val="16"/>
                <w:szCs w:val="16"/>
                <w:lang w:val="en-GB"/>
              </w:rPr>
              <w:t>+</w:t>
            </w:r>
          </w:p>
        </w:tc>
        <w:tc>
          <w:tcPr>
            <w:tcW w:w="1417" w:type="dxa"/>
            <w:tcBorders>
              <w:top w:val="single" w:sz="6" w:space="0" w:color="auto"/>
              <w:left w:val="single" w:sz="6" w:space="0" w:color="auto"/>
              <w:bottom w:val="single" w:sz="6" w:space="0" w:color="auto"/>
            </w:tcBorders>
            <w:vAlign w:val="center"/>
          </w:tcPr>
          <w:p w14:paraId="2BB90089" w14:textId="77777777" w:rsidR="004E537A" w:rsidRPr="00953CBD" w:rsidRDefault="004E537A" w:rsidP="009A4E3C">
            <w:pPr>
              <w:pStyle w:val="Tabletext"/>
              <w:keepNext/>
              <w:keepLines/>
              <w:rPr>
                <w:sz w:val="16"/>
                <w:szCs w:val="16"/>
                <w:lang w:val="en-GB"/>
              </w:rPr>
            </w:pPr>
            <w:r w:rsidRPr="00953CBD">
              <w:rPr>
                <w:sz w:val="16"/>
                <w:szCs w:val="16"/>
                <w:lang w:val="en-GB"/>
              </w:rPr>
              <w:t>–</w:t>
            </w:r>
          </w:p>
        </w:tc>
        <w:tc>
          <w:tcPr>
            <w:tcW w:w="1276" w:type="dxa"/>
            <w:tcBorders>
              <w:top w:val="single" w:sz="6" w:space="0" w:color="auto"/>
              <w:left w:val="single" w:sz="6" w:space="0" w:color="auto"/>
              <w:bottom w:val="single" w:sz="6" w:space="0" w:color="auto"/>
            </w:tcBorders>
            <w:vAlign w:val="center"/>
          </w:tcPr>
          <w:p w14:paraId="73565F5C" w14:textId="77777777" w:rsidR="004E537A" w:rsidRPr="00953CBD" w:rsidRDefault="00FE0FBA" w:rsidP="009A4E3C">
            <w:pPr>
              <w:pStyle w:val="Tabletext"/>
              <w:keepNext/>
              <w:keepLines/>
              <w:rPr>
                <w:sz w:val="16"/>
                <w:szCs w:val="16"/>
                <w:lang w:val="en-GB"/>
              </w:rPr>
            </w:pPr>
            <w:r w:rsidRPr="00953CB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3953339" w14:textId="77777777" w:rsidR="004E537A" w:rsidRPr="00953CBD" w:rsidRDefault="004E537A" w:rsidP="009A4E3C">
            <w:pPr>
              <w:pStyle w:val="Tabletext"/>
              <w:keepNext/>
              <w:keepLines/>
              <w:rPr>
                <w:sz w:val="16"/>
                <w:szCs w:val="16"/>
                <w:lang w:val="en-GB"/>
              </w:rPr>
            </w:pPr>
            <w:r w:rsidRPr="00953CBD">
              <w:rPr>
                <w:sz w:val="16"/>
                <w:szCs w:val="16"/>
                <w:lang w:val="en-GB"/>
              </w:rPr>
              <w:t>–</w:t>
            </w:r>
          </w:p>
        </w:tc>
        <w:tc>
          <w:tcPr>
            <w:tcW w:w="1134" w:type="dxa"/>
            <w:tcBorders>
              <w:top w:val="single" w:sz="6" w:space="0" w:color="auto"/>
              <w:left w:val="single" w:sz="6" w:space="0" w:color="auto"/>
              <w:bottom w:val="single" w:sz="6" w:space="0" w:color="auto"/>
            </w:tcBorders>
            <w:vAlign w:val="center"/>
          </w:tcPr>
          <w:p w14:paraId="1DDAF3A4" w14:textId="77777777" w:rsidR="004E537A" w:rsidRPr="00953CBD" w:rsidRDefault="004E537A" w:rsidP="009A4E3C">
            <w:pPr>
              <w:pStyle w:val="Tabletext"/>
              <w:keepNext/>
              <w:keepLines/>
              <w:rPr>
                <w:sz w:val="16"/>
                <w:szCs w:val="16"/>
                <w:lang w:val="en-GB"/>
              </w:rPr>
            </w:pPr>
            <w:r w:rsidRPr="00953CBD">
              <w:rPr>
                <w:sz w:val="16"/>
                <w:szCs w:val="16"/>
                <w:lang w:val="en-GB"/>
              </w:rPr>
              <w:t>–</w:t>
            </w:r>
          </w:p>
        </w:tc>
        <w:tc>
          <w:tcPr>
            <w:tcW w:w="1546" w:type="dxa"/>
            <w:tcBorders>
              <w:top w:val="single" w:sz="6" w:space="0" w:color="auto"/>
              <w:left w:val="single" w:sz="6" w:space="0" w:color="auto"/>
              <w:bottom w:val="single" w:sz="6" w:space="0" w:color="auto"/>
              <w:right w:val="single" w:sz="6" w:space="0" w:color="auto"/>
            </w:tcBorders>
            <w:vAlign w:val="center"/>
          </w:tcPr>
          <w:p w14:paraId="73C19D90" w14:textId="77777777" w:rsidR="004E537A" w:rsidRPr="00953CBD" w:rsidRDefault="00FE0FBA" w:rsidP="009A4E3C">
            <w:pPr>
              <w:pStyle w:val="Tabletext"/>
              <w:keepNext/>
              <w:keepLines/>
              <w:rPr>
                <w:sz w:val="16"/>
                <w:szCs w:val="16"/>
                <w:lang w:val="en-GB"/>
              </w:rPr>
            </w:pPr>
            <w:r w:rsidRPr="00953CBD">
              <w:rPr>
                <w:sz w:val="16"/>
                <w:szCs w:val="16"/>
                <w:lang w:val="en-GB"/>
              </w:rPr>
              <w:t>+</w:t>
            </w:r>
          </w:p>
        </w:tc>
      </w:tr>
      <w:tr w:rsidR="004C2386" w:rsidRPr="00953CBD" w14:paraId="2CDD04D9" w14:textId="77777777" w:rsidTr="00EB088A">
        <w:trPr>
          <w:trHeight w:val="402"/>
          <w:jc w:val="center"/>
        </w:trPr>
        <w:tc>
          <w:tcPr>
            <w:tcW w:w="1548" w:type="dxa"/>
            <w:tcBorders>
              <w:top w:val="single" w:sz="6" w:space="0" w:color="auto"/>
              <w:left w:val="single" w:sz="6" w:space="0" w:color="auto"/>
              <w:bottom w:val="single" w:sz="4" w:space="0" w:color="auto"/>
            </w:tcBorders>
          </w:tcPr>
          <w:p w14:paraId="0C0F0B50" w14:textId="77777777" w:rsidR="004C2386" w:rsidRPr="00953CBD" w:rsidRDefault="00826BE5" w:rsidP="009A4E3C">
            <w:pPr>
              <w:keepNext/>
              <w:keepLines/>
              <w:spacing w:before="120" w:after="120" w:line="240" w:lineRule="auto"/>
              <w:jc w:val="center"/>
              <w:rPr>
                <w:rFonts w:ascii="Arial" w:hAnsi="Arial" w:cs="Arial"/>
                <w:b/>
                <w:sz w:val="16"/>
                <w:szCs w:val="16"/>
              </w:rPr>
            </w:pPr>
            <w:r w:rsidRPr="00953CBD">
              <w:rPr>
                <w:rFonts w:ascii="Arial" w:hAnsi="Arial" w:cs="Arial"/>
                <w:b/>
                <w:sz w:val="16"/>
                <w:szCs w:val="16"/>
              </w:rPr>
              <w:t>ELISA</w:t>
            </w:r>
            <w:r w:rsidR="00E0183A" w:rsidRPr="00953CBD">
              <w:rPr>
                <w:rFonts w:ascii="Arial" w:hAnsi="Arial" w:cs="Arial"/>
                <w:b/>
                <w:sz w:val="16"/>
                <w:szCs w:val="16"/>
              </w:rPr>
              <w:t xml:space="preserve"> </w:t>
            </w:r>
            <w:r w:rsidR="00D453F7" w:rsidRPr="00953CBD">
              <w:rPr>
                <w:rFonts w:ascii="Arial" w:hAnsi="Arial" w:cs="Arial"/>
                <w:b/>
                <w:sz w:val="16"/>
                <w:szCs w:val="16"/>
              </w:rPr>
              <w:t>– antibody detection</w:t>
            </w:r>
          </w:p>
        </w:tc>
        <w:tc>
          <w:tcPr>
            <w:tcW w:w="992" w:type="dxa"/>
            <w:tcBorders>
              <w:top w:val="single" w:sz="6" w:space="0" w:color="auto"/>
              <w:left w:val="single" w:sz="6" w:space="0" w:color="auto"/>
              <w:bottom w:val="single" w:sz="4" w:space="0" w:color="auto"/>
            </w:tcBorders>
            <w:vAlign w:val="center"/>
          </w:tcPr>
          <w:p w14:paraId="3831ABB8" w14:textId="77777777" w:rsidR="004C2386" w:rsidRPr="00953CBD" w:rsidRDefault="00ED2690" w:rsidP="009A4E3C">
            <w:pPr>
              <w:pStyle w:val="Tabletext"/>
              <w:keepNext/>
              <w:keepLines/>
              <w:rPr>
                <w:sz w:val="16"/>
                <w:szCs w:val="16"/>
                <w:lang w:val="en-GB"/>
              </w:rPr>
            </w:pPr>
            <w:r w:rsidRPr="00953CBD">
              <w:rPr>
                <w:sz w:val="16"/>
                <w:szCs w:val="16"/>
                <w:lang w:val="en-GB"/>
              </w:rPr>
              <w:t>++</w:t>
            </w:r>
          </w:p>
        </w:tc>
        <w:tc>
          <w:tcPr>
            <w:tcW w:w="1417" w:type="dxa"/>
            <w:tcBorders>
              <w:top w:val="single" w:sz="6" w:space="0" w:color="auto"/>
              <w:left w:val="single" w:sz="6" w:space="0" w:color="auto"/>
              <w:bottom w:val="single" w:sz="4" w:space="0" w:color="auto"/>
            </w:tcBorders>
            <w:vAlign w:val="center"/>
          </w:tcPr>
          <w:p w14:paraId="64957966" w14:textId="77777777" w:rsidR="004C2386" w:rsidRPr="00953CBD" w:rsidRDefault="00ED2690" w:rsidP="009A4E3C">
            <w:pPr>
              <w:pStyle w:val="Tabletext"/>
              <w:keepNext/>
              <w:keepLines/>
              <w:rPr>
                <w:sz w:val="16"/>
                <w:szCs w:val="16"/>
                <w:lang w:val="en-GB"/>
              </w:rPr>
            </w:pPr>
            <w:r w:rsidRPr="00953CBD">
              <w:rPr>
                <w:sz w:val="16"/>
                <w:szCs w:val="16"/>
                <w:lang w:val="en-GB"/>
              </w:rPr>
              <w:t>+</w:t>
            </w:r>
          </w:p>
        </w:tc>
        <w:tc>
          <w:tcPr>
            <w:tcW w:w="1276" w:type="dxa"/>
            <w:tcBorders>
              <w:top w:val="single" w:sz="6" w:space="0" w:color="auto"/>
              <w:left w:val="single" w:sz="6" w:space="0" w:color="auto"/>
              <w:bottom w:val="single" w:sz="4" w:space="0" w:color="auto"/>
            </w:tcBorders>
            <w:vAlign w:val="center"/>
          </w:tcPr>
          <w:p w14:paraId="555F29CD" w14:textId="77777777" w:rsidR="004C2386" w:rsidRPr="00953CBD" w:rsidRDefault="00ED2690" w:rsidP="009A4E3C">
            <w:pPr>
              <w:pStyle w:val="Tabletext"/>
              <w:keepNext/>
              <w:keepLines/>
              <w:rPr>
                <w:sz w:val="16"/>
                <w:szCs w:val="16"/>
                <w:lang w:val="en-GB"/>
              </w:rPr>
            </w:pPr>
            <w:r w:rsidRPr="00953CBD">
              <w:rPr>
                <w:sz w:val="16"/>
                <w:szCs w:val="16"/>
                <w:lang w:val="en-GB"/>
              </w:rPr>
              <w:t>+++</w:t>
            </w:r>
          </w:p>
        </w:tc>
        <w:tc>
          <w:tcPr>
            <w:tcW w:w="1134" w:type="dxa"/>
            <w:tcBorders>
              <w:top w:val="single" w:sz="6" w:space="0" w:color="auto"/>
              <w:left w:val="single" w:sz="6" w:space="0" w:color="auto"/>
              <w:bottom w:val="single" w:sz="4" w:space="0" w:color="auto"/>
            </w:tcBorders>
            <w:vAlign w:val="center"/>
          </w:tcPr>
          <w:p w14:paraId="3ED37EF4" w14:textId="77777777" w:rsidR="004C2386" w:rsidRPr="00953CBD" w:rsidRDefault="007F73C3" w:rsidP="009A4E3C">
            <w:pPr>
              <w:pStyle w:val="Tabletext"/>
              <w:keepNext/>
              <w:keepLines/>
              <w:rPr>
                <w:sz w:val="16"/>
                <w:szCs w:val="16"/>
                <w:lang w:val="en-GB"/>
              </w:rPr>
            </w:pPr>
            <w:r w:rsidRPr="00953CBD">
              <w:rPr>
                <w:sz w:val="16"/>
                <w:szCs w:val="16"/>
                <w:lang w:val="en-GB"/>
              </w:rPr>
              <w:t>+</w:t>
            </w:r>
          </w:p>
        </w:tc>
        <w:tc>
          <w:tcPr>
            <w:tcW w:w="1134" w:type="dxa"/>
            <w:tcBorders>
              <w:top w:val="single" w:sz="6" w:space="0" w:color="auto"/>
              <w:left w:val="single" w:sz="6" w:space="0" w:color="auto"/>
              <w:bottom w:val="single" w:sz="4" w:space="0" w:color="auto"/>
            </w:tcBorders>
            <w:vAlign w:val="center"/>
          </w:tcPr>
          <w:p w14:paraId="52BA3C8B" w14:textId="77777777" w:rsidR="004C2386" w:rsidRPr="00953CBD" w:rsidRDefault="007F73C3" w:rsidP="009A4E3C">
            <w:pPr>
              <w:pStyle w:val="Tabletext"/>
              <w:keepNext/>
              <w:keepLines/>
              <w:rPr>
                <w:sz w:val="16"/>
                <w:szCs w:val="16"/>
                <w:lang w:val="en-GB"/>
              </w:rPr>
            </w:pPr>
            <w:r w:rsidRPr="00953CBD">
              <w:rPr>
                <w:sz w:val="16"/>
                <w:szCs w:val="16"/>
                <w:lang w:val="en-GB"/>
              </w:rPr>
              <w:t>++</w:t>
            </w:r>
            <w:r w:rsidR="00ED2690" w:rsidRPr="00953CBD">
              <w:rPr>
                <w:sz w:val="16"/>
                <w:szCs w:val="16"/>
                <w:lang w:val="en-GB"/>
              </w:rPr>
              <w:t>+</w:t>
            </w:r>
          </w:p>
        </w:tc>
        <w:tc>
          <w:tcPr>
            <w:tcW w:w="1546" w:type="dxa"/>
            <w:tcBorders>
              <w:top w:val="single" w:sz="6" w:space="0" w:color="auto"/>
              <w:left w:val="single" w:sz="6" w:space="0" w:color="auto"/>
              <w:bottom w:val="single" w:sz="4" w:space="0" w:color="auto"/>
              <w:right w:val="single" w:sz="6" w:space="0" w:color="auto"/>
            </w:tcBorders>
            <w:vAlign w:val="center"/>
          </w:tcPr>
          <w:p w14:paraId="4DB17B89" w14:textId="77777777" w:rsidR="004C2386" w:rsidRPr="00953CBD" w:rsidRDefault="007F73C3" w:rsidP="009A4E3C">
            <w:pPr>
              <w:pStyle w:val="Tabletext"/>
              <w:keepNext/>
              <w:keepLines/>
              <w:rPr>
                <w:sz w:val="16"/>
                <w:szCs w:val="16"/>
                <w:lang w:val="en-GB"/>
              </w:rPr>
            </w:pPr>
            <w:r w:rsidRPr="00953CBD">
              <w:rPr>
                <w:sz w:val="16"/>
                <w:szCs w:val="16"/>
                <w:lang w:val="en-GB"/>
              </w:rPr>
              <w:t>+++</w:t>
            </w:r>
          </w:p>
        </w:tc>
      </w:tr>
    </w:tbl>
    <w:p w14:paraId="685D8266" w14:textId="77777777" w:rsidR="007609B1" w:rsidRPr="009A4E3C" w:rsidRDefault="007609B1" w:rsidP="007609B1">
      <w:pPr>
        <w:pStyle w:val="Textebrut"/>
        <w:spacing w:before="120"/>
        <w:jc w:val="center"/>
        <w:rPr>
          <w:rFonts w:ascii="Arial" w:hAnsi="Arial" w:cs="Arial"/>
          <w:color w:val="000000"/>
          <w:sz w:val="16"/>
          <w:szCs w:val="16"/>
        </w:rPr>
      </w:pPr>
      <w:r w:rsidRPr="009A4E3C">
        <w:rPr>
          <w:rFonts w:ascii="Arial" w:hAnsi="Arial" w:cs="Arial"/>
          <w:color w:val="000000"/>
          <w:sz w:val="16"/>
          <w:szCs w:val="16"/>
        </w:rPr>
        <w:t xml:space="preserve">Key: +++ = recommended </w:t>
      </w:r>
      <w:r w:rsidRPr="009A4E3C">
        <w:rPr>
          <w:rFonts w:ascii="Arial" w:hAnsi="Arial" w:cs="Arial"/>
          <w:color w:val="000000"/>
          <w:sz w:val="16"/>
          <w:szCs w:val="16"/>
          <w:u w:val="double"/>
        </w:rPr>
        <w:t>for this purpose</w:t>
      </w:r>
      <w:r w:rsidRPr="009A4E3C">
        <w:rPr>
          <w:rFonts w:ascii="Arial" w:hAnsi="Arial" w:cs="Arial"/>
          <w:strike/>
          <w:color w:val="000000"/>
          <w:sz w:val="16"/>
          <w:szCs w:val="16"/>
        </w:rPr>
        <w:t xml:space="preserve"> method</w:t>
      </w:r>
      <w:r w:rsidRPr="009A4E3C">
        <w:rPr>
          <w:rFonts w:ascii="Arial" w:hAnsi="Arial" w:cs="Arial"/>
          <w:color w:val="000000"/>
          <w:sz w:val="16"/>
          <w:szCs w:val="16"/>
        </w:rPr>
        <w:t xml:space="preserve">; ++ </w:t>
      </w:r>
      <w:r w:rsidRPr="009A4E3C">
        <w:rPr>
          <w:rFonts w:ascii="Arial" w:hAnsi="Arial" w:cs="Arial"/>
          <w:color w:val="000000"/>
          <w:sz w:val="16"/>
          <w:szCs w:val="16"/>
          <w:u w:val="double"/>
        </w:rPr>
        <w:t>recommended but has limitations</w:t>
      </w:r>
      <w:r w:rsidRPr="009A4E3C">
        <w:rPr>
          <w:rFonts w:ascii="Arial" w:hAnsi="Arial" w:cs="Arial"/>
          <w:strike/>
          <w:color w:val="000000"/>
          <w:sz w:val="16"/>
          <w:szCs w:val="16"/>
        </w:rPr>
        <w:t xml:space="preserve"> suitable method</w:t>
      </w:r>
      <w:r w:rsidRPr="009A4E3C">
        <w:rPr>
          <w:rFonts w:ascii="Arial" w:hAnsi="Arial" w:cs="Arial"/>
          <w:color w:val="000000"/>
          <w:sz w:val="16"/>
          <w:szCs w:val="16"/>
        </w:rPr>
        <w:t xml:space="preserve">; </w:t>
      </w:r>
      <w:r w:rsidRPr="009A4E3C">
        <w:rPr>
          <w:rFonts w:ascii="Arial" w:hAnsi="Arial" w:cs="Arial"/>
          <w:color w:val="000000"/>
          <w:sz w:val="16"/>
          <w:szCs w:val="16"/>
        </w:rPr>
        <w:br/>
        <w:t xml:space="preserve">+ = </w:t>
      </w:r>
      <w:r w:rsidRPr="009A4E3C">
        <w:rPr>
          <w:rFonts w:ascii="Arial" w:hAnsi="Arial" w:cs="Arial"/>
          <w:color w:val="000000"/>
          <w:sz w:val="16"/>
          <w:szCs w:val="16"/>
          <w:u w:val="double"/>
        </w:rPr>
        <w:t>suitable in very limited circumstances</w:t>
      </w:r>
      <w:r w:rsidRPr="009A4E3C">
        <w:rPr>
          <w:rFonts w:ascii="Arial" w:hAnsi="Arial" w:cs="Arial"/>
          <w:strike/>
          <w:color w:val="000000"/>
          <w:sz w:val="16"/>
          <w:szCs w:val="16"/>
        </w:rPr>
        <w:t xml:space="preserve"> may be used </w:t>
      </w:r>
      <w:r w:rsidRPr="009A4E3C">
        <w:rPr>
          <w:rFonts w:ascii="Arial" w:hAnsi="Arial" w:cs="Arial"/>
          <w:strike/>
          <w:sz w:val="16"/>
          <w:szCs w:val="16"/>
        </w:rPr>
        <w:t>in some situations, but cost, reliability, or other factors severely limits its application</w:t>
      </w:r>
      <w:r w:rsidRPr="009A4E3C">
        <w:rPr>
          <w:rFonts w:ascii="Arial" w:hAnsi="Arial" w:cs="Arial"/>
          <w:sz w:val="16"/>
          <w:szCs w:val="16"/>
        </w:rPr>
        <w:t xml:space="preserve">; </w:t>
      </w:r>
      <w:r w:rsidRPr="009A4E3C">
        <w:rPr>
          <w:rFonts w:ascii="Arial" w:hAnsi="Arial" w:cs="Arial"/>
          <w:color w:val="000000"/>
          <w:sz w:val="16"/>
          <w:szCs w:val="16"/>
        </w:rPr>
        <w:t>– = not appropriate for this purpose</w:t>
      </w:r>
      <w:r w:rsidRPr="009A4E3C">
        <w:rPr>
          <w:rFonts w:ascii="Arial" w:hAnsi="Arial" w:cs="Arial"/>
          <w:strike/>
          <w:color w:val="000000"/>
          <w:sz w:val="16"/>
          <w:szCs w:val="16"/>
        </w:rPr>
        <w:t>; n/a = not applicable</w:t>
      </w:r>
      <w:r w:rsidRPr="009A4E3C">
        <w:rPr>
          <w:rFonts w:ascii="Arial" w:hAnsi="Arial" w:cs="Arial"/>
          <w:color w:val="000000"/>
          <w:sz w:val="16"/>
          <w:szCs w:val="16"/>
        </w:rPr>
        <w:t>.</w:t>
      </w:r>
    </w:p>
    <w:p w14:paraId="360FB6A6" w14:textId="66607CD0" w:rsidR="004C2386" w:rsidRPr="009A4E3C" w:rsidRDefault="007609B1" w:rsidP="009A4E3C">
      <w:pPr>
        <w:pStyle w:val="Textebrut"/>
        <w:spacing w:after="240"/>
        <w:jc w:val="center"/>
        <w:rPr>
          <w:rFonts w:ascii="Arial" w:hAnsi="Arial" w:cs="Arial"/>
          <w:b/>
          <w:sz w:val="16"/>
          <w:szCs w:val="16"/>
        </w:rPr>
      </w:pPr>
      <w:r w:rsidRPr="009A4E3C">
        <w:rPr>
          <w:rFonts w:ascii="Arial" w:hAnsi="Arial" w:cs="Arial"/>
          <w:strike/>
          <w:sz w:val="16"/>
          <w:szCs w:val="16"/>
          <w:lang w:val="en-IE"/>
        </w:rPr>
        <w:t>Although not all of the tests listed as category +++ or ++ have undergone formal validation, their routine nature and the fact that they have been used widely without dubious results, makes them acceptable.</w:t>
      </w:r>
      <w:r w:rsidRPr="009A4E3C">
        <w:rPr>
          <w:rFonts w:ascii="Arial" w:hAnsi="Arial" w:cs="Arial"/>
          <w:strike/>
          <w:sz w:val="16"/>
          <w:szCs w:val="16"/>
          <w:lang w:val="en-IE"/>
        </w:rPr>
        <w:br/>
      </w:r>
      <w:r w:rsidR="00826BE5" w:rsidRPr="009A4E3C">
        <w:rPr>
          <w:rFonts w:ascii="Arial" w:hAnsi="Arial" w:cs="Arial"/>
          <w:sz w:val="16"/>
          <w:szCs w:val="16"/>
        </w:rPr>
        <w:t>ELISA = Enzyme-</w:t>
      </w:r>
      <w:r w:rsidR="00EB088A" w:rsidRPr="009A4E3C">
        <w:rPr>
          <w:rFonts w:ascii="Arial" w:hAnsi="Arial" w:cs="Arial"/>
          <w:sz w:val="16"/>
          <w:szCs w:val="16"/>
        </w:rPr>
        <w:t xml:space="preserve">linked </w:t>
      </w:r>
      <w:r w:rsidR="00826BE5" w:rsidRPr="009A4E3C">
        <w:rPr>
          <w:rFonts w:ascii="Arial" w:hAnsi="Arial" w:cs="Arial"/>
          <w:sz w:val="16"/>
          <w:szCs w:val="16"/>
        </w:rPr>
        <w:t xml:space="preserve">immunosorbent assay; PCR = </w:t>
      </w:r>
      <w:r w:rsidR="00EB088A" w:rsidRPr="009A4E3C">
        <w:rPr>
          <w:rFonts w:ascii="Arial" w:hAnsi="Arial" w:cs="Arial"/>
          <w:sz w:val="16"/>
          <w:szCs w:val="16"/>
        </w:rPr>
        <w:t xml:space="preserve">polymerase </w:t>
      </w:r>
      <w:r w:rsidR="00826BE5" w:rsidRPr="009A4E3C">
        <w:rPr>
          <w:rFonts w:ascii="Arial" w:hAnsi="Arial" w:cs="Arial"/>
          <w:sz w:val="16"/>
          <w:szCs w:val="16"/>
        </w:rPr>
        <w:t xml:space="preserve">chain reaction; VN = </w:t>
      </w:r>
      <w:r w:rsidR="00EB088A" w:rsidRPr="009A4E3C">
        <w:rPr>
          <w:rFonts w:ascii="Arial" w:hAnsi="Arial" w:cs="Arial"/>
          <w:sz w:val="16"/>
          <w:szCs w:val="16"/>
        </w:rPr>
        <w:t xml:space="preserve">virus </w:t>
      </w:r>
      <w:r w:rsidR="00826BE5" w:rsidRPr="009A4E3C">
        <w:rPr>
          <w:rFonts w:ascii="Arial" w:hAnsi="Arial" w:cs="Arial"/>
          <w:sz w:val="16"/>
          <w:szCs w:val="16"/>
        </w:rPr>
        <w:t>neutralisation.</w:t>
      </w:r>
    </w:p>
    <w:p w14:paraId="13DED287" w14:textId="77777777" w:rsidR="00A64257" w:rsidRPr="00953CBD" w:rsidRDefault="00A64257" w:rsidP="0019475C">
      <w:pPr>
        <w:pStyle w:val="1"/>
      </w:pPr>
      <w:r w:rsidRPr="00953CBD">
        <w:t>1.</w:t>
      </w:r>
      <w:r w:rsidRPr="00953CBD">
        <w:tab/>
        <w:t>Identification of the agent</w:t>
      </w:r>
    </w:p>
    <w:p w14:paraId="663F3ED0" w14:textId="72130B95" w:rsidR="00A64257" w:rsidRPr="00953CBD" w:rsidRDefault="00A64257" w:rsidP="0019475C">
      <w:pPr>
        <w:pStyle w:val="para1"/>
      </w:pPr>
      <w:r w:rsidRPr="00953CBD">
        <w:t>The virus may be isolated in chick</w:t>
      </w:r>
      <w:r w:rsidR="00274996">
        <w:t>en</w:t>
      </w:r>
      <w:r w:rsidRPr="00953CBD">
        <w:t xml:space="preserve"> embryo liver</w:t>
      </w:r>
      <w:r w:rsidRPr="009A4E3C">
        <w:rPr>
          <w:strike/>
        </w:rPr>
        <w:t xml:space="preserve"> (</w:t>
      </w:r>
      <w:r w:rsidR="002E3B67" w:rsidRPr="009A4E3C">
        <w:rPr>
          <w:strike/>
        </w:rPr>
        <w:t xml:space="preserve">McNulty </w:t>
      </w:r>
      <w:r w:rsidR="007E6C76" w:rsidRPr="009A4E3C">
        <w:rPr>
          <w:i/>
          <w:strike/>
        </w:rPr>
        <w:t>et al</w:t>
      </w:r>
      <w:r w:rsidR="002E3B67" w:rsidRPr="009A4E3C">
        <w:rPr>
          <w:strike/>
        </w:rPr>
        <w:t>., 1985</w:t>
      </w:r>
      <w:r w:rsidRPr="009A4E3C">
        <w:rPr>
          <w:strike/>
        </w:rPr>
        <w:t>)</w:t>
      </w:r>
      <w:r w:rsidRPr="00953CBD">
        <w:t>, chicken embryo kidney</w:t>
      </w:r>
      <w:r w:rsidRPr="009A4E3C">
        <w:rPr>
          <w:strike/>
        </w:rPr>
        <w:t xml:space="preserve"> (</w:t>
      </w:r>
      <w:r w:rsidR="002E3B67" w:rsidRPr="009A4E3C">
        <w:rPr>
          <w:strike/>
        </w:rPr>
        <w:t xml:space="preserve">Chang </w:t>
      </w:r>
      <w:r w:rsidR="007E6C76" w:rsidRPr="009A4E3C">
        <w:rPr>
          <w:i/>
          <w:strike/>
        </w:rPr>
        <w:t>et al</w:t>
      </w:r>
      <w:r w:rsidR="002E3B67" w:rsidRPr="009A4E3C">
        <w:rPr>
          <w:strike/>
        </w:rPr>
        <w:t>., 1960</w:t>
      </w:r>
      <w:r w:rsidRPr="009A4E3C">
        <w:rPr>
          <w:strike/>
        </w:rPr>
        <w:t>)</w:t>
      </w:r>
      <w:r w:rsidRPr="00953CBD">
        <w:t xml:space="preserve"> or in chicken kidney</w:t>
      </w:r>
      <w:r w:rsidRPr="009A4E3C">
        <w:rPr>
          <w:strike/>
        </w:rPr>
        <w:t xml:space="preserve"> (</w:t>
      </w:r>
      <w:r w:rsidR="002E3B67" w:rsidRPr="009A4E3C">
        <w:rPr>
          <w:strike/>
        </w:rPr>
        <w:t xml:space="preserve">Van </w:t>
      </w:r>
      <w:proofErr w:type="spellStart"/>
      <w:r w:rsidR="002E3B67" w:rsidRPr="009A4E3C">
        <w:rPr>
          <w:strike/>
        </w:rPr>
        <w:t>Kammen</w:t>
      </w:r>
      <w:proofErr w:type="spellEnd"/>
      <w:r w:rsidR="002E3B67" w:rsidRPr="009A4E3C">
        <w:rPr>
          <w:strike/>
        </w:rPr>
        <w:t xml:space="preserve"> &amp; </w:t>
      </w:r>
      <w:proofErr w:type="spellStart"/>
      <w:r w:rsidR="002E3B67" w:rsidRPr="009A4E3C">
        <w:rPr>
          <w:strike/>
        </w:rPr>
        <w:t>Spadbrow</w:t>
      </w:r>
      <w:proofErr w:type="spellEnd"/>
      <w:r w:rsidR="002E3B67" w:rsidRPr="009A4E3C">
        <w:rPr>
          <w:strike/>
        </w:rPr>
        <w:t>, 1976</w:t>
      </w:r>
      <w:r w:rsidRPr="009A4E3C">
        <w:rPr>
          <w:strike/>
        </w:rPr>
        <w:t>)</w:t>
      </w:r>
      <w:r w:rsidRPr="00953CBD">
        <w:t xml:space="preserve"> cell cultures. Of these, monolayers of chicken embryo liver cells have been found to be the most sensitive (</w:t>
      </w:r>
      <w:r w:rsidR="00260FC3" w:rsidRPr="00953CBD">
        <w:t>Hughes &amp; Jones, 1988</w:t>
      </w:r>
      <w:r w:rsidRPr="00953CBD">
        <w:t xml:space="preserve">). The virus can also be grown on the dropped </w:t>
      </w:r>
      <w:proofErr w:type="spellStart"/>
      <w:r w:rsidRPr="00953CBD">
        <w:t>chorioallantoic</w:t>
      </w:r>
      <w:proofErr w:type="spellEnd"/>
      <w:r w:rsidRPr="00953CBD">
        <w:t xml:space="preserve"> membrane (CAM) of 10</w:t>
      </w:r>
      <w:r w:rsidR="00C34B09" w:rsidRPr="00953CBD">
        <w:t xml:space="preserve">- to </w:t>
      </w:r>
      <w:r w:rsidRPr="00953CBD">
        <w:t xml:space="preserve">12-day-old </w:t>
      </w:r>
      <w:r w:rsidR="00C34B09" w:rsidRPr="00953CBD">
        <w:t xml:space="preserve">specific pathogen free (SPF) </w:t>
      </w:r>
      <w:r w:rsidRPr="00953CBD">
        <w:t>embryonated chicken eggs (</w:t>
      </w:r>
      <w:r w:rsidR="00260FC3" w:rsidRPr="00953CBD">
        <w:t>Jordan, 1964</w:t>
      </w:r>
      <w:r w:rsidRPr="00953CBD">
        <w:t>).</w:t>
      </w:r>
    </w:p>
    <w:p w14:paraId="23598D20" w14:textId="6EECDF7C" w:rsidR="00A64257" w:rsidRPr="00953CBD" w:rsidRDefault="00A64257" w:rsidP="00FD0647">
      <w:pPr>
        <w:pStyle w:val="para1"/>
      </w:pPr>
      <w:r w:rsidRPr="00953CBD">
        <w:t>The causative herpesvirus may be demonstrated directly in tracheal exudate by electron microscopy (</w:t>
      </w:r>
      <w:r w:rsidR="002E3B67" w:rsidRPr="00953CBD">
        <w:t xml:space="preserve">Van </w:t>
      </w:r>
      <w:proofErr w:type="spellStart"/>
      <w:r w:rsidR="002E3B67" w:rsidRPr="00953CBD">
        <w:t>Kammen</w:t>
      </w:r>
      <w:proofErr w:type="spellEnd"/>
      <w:r w:rsidR="002E3B67" w:rsidRPr="00953CBD">
        <w:t xml:space="preserve"> &amp; </w:t>
      </w:r>
      <w:proofErr w:type="spellStart"/>
      <w:r w:rsidR="002E3B67" w:rsidRPr="00953CBD">
        <w:t>Spadbrow</w:t>
      </w:r>
      <w:proofErr w:type="spellEnd"/>
      <w:r w:rsidR="002E3B67" w:rsidRPr="00953CBD">
        <w:t>, 1976</w:t>
      </w:r>
      <w:r w:rsidRPr="00953CBD">
        <w:t>). Viral antigens may be detected by immunofluorescence (</w:t>
      </w:r>
      <w:proofErr w:type="spellStart"/>
      <w:r w:rsidR="002E3B67" w:rsidRPr="00953CBD">
        <w:t>Braune</w:t>
      </w:r>
      <w:proofErr w:type="spellEnd"/>
      <w:r w:rsidR="002E3B67" w:rsidRPr="00953CBD">
        <w:t xml:space="preserve"> &amp; Gentry, 1985;</w:t>
      </w:r>
      <w:r w:rsidRPr="00953CBD">
        <w:t xml:space="preserve"> </w:t>
      </w:r>
      <w:r w:rsidR="002E3B67" w:rsidRPr="00953CBD">
        <w:t>Wilks &amp; Kogan, 1979</w:t>
      </w:r>
      <w:r w:rsidRPr="00953CBD">
        <w:t xml:space="preserve">), or </w:t>
      </w:r>
      <w:r w:rsidRPr="009A4E3C">
        <w:t>enzyme-linked immunosorbent assay (</w:t>
      </w:r>
      <w:r w:rsidRPr="00953CBD">
        <w:t>ELISA</w:t>
      </w:r>
      <w:r w:rsidRPr="009A4E3C">
        <w:t>)</w:t>
      </w:r>
      <w:r w:rsidRPr="00953CBD">
        <w:t xml:space="preserve">, using tracheal mucosal scrapings </w:t>
      </w:r>
      <w:r w:rsidRPr="00553296">
        <w:t>(</w:t>
      </w:r>
      <w:r w:rsidR="002E3B67" w:rsidRPr="00553296">
        <w:t>York &amp; Fahey, 1988</w:t>
      </w:r>
      <w:r w:rsidRPr="00553296">
        <w:t xml:space="preserve">). Histopathological examination of the trachea for typical herpesvirus intranuclear inclusions </w:t>
      </w:r>
      <w:r w:rsidR="004A016F" w:rsidRPr="00553296">
        <w:t>a</w:t>
      </w:r>
      <w:r w:rsidR="004A016F" w:rsidRPr="00953CBD">
        <w:t xml:space="preserve">nd syncytial cell formation </w:t>
      </w:r>
      <w:r w:rsidRPr="00953CBD">
        <w:t>may also be helpful (</w:t>
      </w:r>
      <w:r w:rsidR="002E3B67" w:rsidRPr="009A4E3C">
        <w:rPr>
          <w:strike/>
        </w:rPr>
        <w:t>Armstrong, 1959;</w:t>
      </w:r>
      <w:r w:rsidRPr="009A4E3C">
        <w:rPr>
          <w:strike/>
        </w:rPr>
        <w:t xml:space="preserve"> </w:t>
      </w:r>
      <w:proofErr w:type="spellStart"/>
      <w:r w:rsidR="00260FC3" w:rsidRPr="00953CBD">
        <w:t>Pirozok</w:t>
      </w:r>
      <w:proofErr w:type="spellEnd"/>
      <w:r w:rsidR="00260FC3" w:rsidRPr="00953CBD">
        <w:t xml:space="preserve"> </w:t>
      </w:r>
      <w:r w:rsidR="007E6C76" w:rsidRPr="00953CBD">
        <w:rPr>
          <w:i/>
        </w:rPr>
        <w:t>et al</w:t>
      </w:r>
      <w:r w:rsidR="00260FC3" w:rsidRPr="00953CBD">
        <w:t>., 1957</w:t>
      </w:r>
      <w:r w:rsidRPr="00953CBD">
        <w:t xml:space="preserve">). </w:t>
      </w:r>
      <w:r w:rsidRPr="007D1572">
        <w:rPr>
          <w:strike/>
          <w:highlight w:val="yellow"/>
        </w:rPr>
        <w:t xml:space="preserve">Methods of detecting </w:t>
      </w:r>
      <w:r w:rsidR="001F33E7" w:rsidRPr="007D1572">
        <w:rPr>
          <w:strike/>
          <w:highlight w:val="yellow"/>
        </w:rPr>
        <w:t xml:space="preserve">ILTV </w:t>
      </w:r>
      <w:r w:rsidRPr="007D1572">
        <w:rPr>
          <w:strike/>
          <w:highlight w:val="yellow"/>
        </w:rPr>
        <w:t>using polymerase chain reaction (PCR) have been described and PCR has been reported to be generally more s</w:t>
      </w:r>
      <w:r w:rsidR="002E3B67" w:rsidRPr="007D1572">
        <w:rPr>
          <w:strike/>
          <w:highlight w:val="yellow"/>
        </w:rPr>
        <w:t>ensitive than virus isolation (Alexander &amp; Nagy, 1997;</w:t>
      </w:r>
      <w:r w:rsidRPr="007D1572">
        <w:rPr>
          <w:strike/>
          <w:highlight w:val="yellow"/>
        </w:rPr>
        <w:t xml:space="preserve"> </w:t>
      </w:r>
      <w:proofErr w:type="spellStart"/>
      <w:r w:rsidR="00260FC3" w:rsidRPr="007D1572">
        <w:rPr>
          <w:strike/>
          <w:highlight w:val="yellow"/>
        </w:rPr>
        <w:t>Keam</w:t>
      </w:r>
      <w:proofErr w:type="spellEnd"/>
      <w:r w:rsidR="00260FC3" w:rsidRPr="007D1572">
        <w:rPr>
          <w:strike/>
          <w:highlight w:val="yellow"/>
        </w:rPr>
        <w:t xml:space="preserve"> </w:t>
      </w:r>
      <w:r w:rsidR="007E6C76" w:rsidRPr="007D1572">
        <w:rPr>
          <w:i/>
          <w:strike/>
          <w:highlight w:val="yellow"/>
        </w:rPr>
        <w:t>et al</w:t>
      </w:r>
      <w:r w:rsidR="00260FC3" w:rsidRPr="007D1572">
        <w:rPr>
          <w:strike/>
          <w:highlight w:val="yellow"/>
        </w:rPr>
        <w:t>., 1991</w:t>
      </w:r>
      <w:r w:rsidR="002E3B67" w:rsidRPr="007D1572">
        <w:rPr>
          <w:strike/>
          <w:highlight w:val="yellow"/>
        </w:rPr>
        <w:t>;</w:t>
      </w:r>
      <w:r w:rsidR="003F75AF" w:rsidRPr="007D1572">
        <w:rPr>
          <w:strike/>
          <w:highlight w:val="yellow"/>
        </w:rPr>
        <w:t xml:space="preserve"> </w:t>
      </w:r>
      <w:r w:rsidR="002E3B67" w:rsidRPr="007D1572">
        <w:rPr>
          <w:strike/>
          <w:highlight w:val="yellow"/>
        </w:rPr>
        <w:t xml:space="preserve">McNulty </w:t>
      </w:r>
      <w:r w:rsidR="007E6C76" w:rsidRPr="007D1572">
        <w:rPr>
          <w:i/>
          <w:strike/>
          <w:highlight w:val="yellow"/>
        </w:rPr>
        <w:t>et al</w:t>
      </w:r>
      <w:r w:rsidR="002E3B67" w:rsidRPr="007D1572">
        <w:rPr>
          <w:strike/>
          <w:highlight w:val="yellow"/>
        </w:rPr>
        <w:t>., 1985;</w:t>
      </w:r>
      <w:r w:rsidR="003F75AF" w:rsidRPr="007D1572">
        <w:rPr>
          <w:strike/>
          <w:highlight w:val="yellow"/>
        </w:rPr>
        <w:t xml:space="preserve"> </w:t>
      </w:r>
      <w:r w:rsidR="002E3B67" w:rsidRPr="007D1572">
        <w:rPr>
          <w:strike/>
          <w:highlight w:val="yellow"/>
        </w:rPr>
        <w:t xml:space="preserve">Williams </w:t>
      </w:r>
      <w:r w:rsidR="007E6C76" w:rsidRPr="007D1572">
        <w:rPr>
          <w:i/>
          <w:strike/>
          <w:highlight w:val="yellow"/>
        </w:rPr>
        <w:t>et al</w:t>
      </w:r>
      <w:r w:rsidR="002E3B67" w:rsidRPr="007D1572">
        <w:rPr>
          <w:strike/>
          <w:highlight w:val="yellow"/>
        </w:rPr>
        <w:t>., 1994</w:t>
      </w:r>
      <w:r w:rsidRPr="007D1572">
        <w:rPr>
          <w:strike/>
          <w:highlight w:val="yellow"/>
        </w:rPr>
        <w:t>).</w:t>
      </w:r>
      <w:r w:rsidR="007D1572" w:rsidRPr="007D1572">
        <w:rPr>
          <w:strike/>
          <w:highlight w:val="yellow"/>
        </w:rPr>
        <w:t xml:space="preserve"> </w:t>
      </w:r>
      <w:r w:rsidR="006D5469" w:rsidRPr="007D1572">
        <w:rPr>
          <w:highlight w:val="yellow"/>
          <w:u w:val="double"/>
        </w:rPr>
        <w:t xml:space="preserve">Both conventional and real-time </w:t>
      </w:r>
      <w:r w:rsidR="007D1572" w:rsidRPr="007D1572">
        <w:rPr>
          <w:highlight w:val="yellow"/>
          <w:u w:val="double"/>
        </w:rPr>
        <w:t>using polymerase chain reaction (PCR)</w:t>
      </w:r>
      <w:r w:rsidR="007D1572">
        <w:rPr>
          <w:highlight w:val="yellow"/>
          <w:u w:val="double"/>
        </w:rPr>
        <w:t xml:space="preserve"> </w:t>
      </w:r>
      <w:r w:rsidR="006D5469" w:rsidRPr="007D1572">
        <w:rPr>
          <w:highlight w:val="yellow"/>
          <w:u w:val="double"/>
        </w:rPr>
        <w:t xml:space="preserve">are used to detect ILTV nucleic acid. An additional advantage of </w:t>
      </w:r>
      <w:r w:rsidR="00D03C32" w:rsidRPr="007D1572">
        <w:rPr>
          <w:highlight w:val="yellow"/>
          <w:u w:val="double"/>
        </w:rPr>
        <w:t>real</w:t>
      </w:r>
      <w:r w:rsidR="00784B9D" w:rsidRPr="007D1572">
        <w:rPr>
          <w:highlight w:val="yellow"/>
          <w:u w:val="double"/>
        </w:rPr>
        <w:t>-</w:t>
      </w:r>
      <w:r w:rsidR="006D5469" w:rsidRPr="007D1572">
        <w:rPr>
          <w:highlight w:val="yellow"/>
          <w:u w:val="double"/>
        </w:rPr>
        <w:t xml:space="preserve">time PCR is that it provides a relative quantification of viral genomes per sample, which can indicate the stage of infection and level of virus transmission in the flock. Conventional PCR is also useful in the diagnosis of ILTV because amplification products generated by conventional PCR can be sequenced for further virus genotyping (Menendez </w:t>
      </w:r>
      <w:r w:rsidR="006D5469" w:rsidRPr="007D1572">
        <w:rPr>
          <w:i/>
          <w:iCs/>
          <w:highlight w:val="yellow"/>
          <w:u w:val="double"/>
        </w:rPr>
        <w:t>et a</w:t>
      </w:r>
      <w:r w:rsidR="00784B9D" w:rsidRPr="007D1572">
        <w:rPr>
          <w:i/>
          <w:iCs/>
          <w:highlight w:val="yellow"/>
          <w:u w:val="double"/>
        </w:rPr>
        <w:t>l</w:t>
      </w:r>
      <w:r w:rsidR="006D5469" w:rsidRPr="007D1572">
        <w:rPr>
          <w:i/>
          <w:iCs/>
          <w:highlight w:val="yellow"/>
          <w:u w:val="double"/>
        </w:rPr>
        <w:t>.,</w:t>
      </w:r>
      <w:r w:rsidR="006D5469" w:rsidRPr="007D1572">
        <w:rPr>
          <w:highlight w:val="yellow"/>
          <w:u w:val="double"/>
        </w:rPr>
        <w:t xml:space="preserve"> 2014).</w:t>
      </w:r>
    </w:p>
    <w:p w14:paraId="3D87DD1E" w14:textId="2966D7C6" w:rsidR="00A64257" w:rsidRPr="00953CBD" w:rsidRDefault="009C17B7" w:rsidP="009C17B7">
      <w:pPr>
        <w:pStyle w:val="11"/>
      </w:pPr>
      <w:r w:rsidRPr="00953CBD">
        <w:t>1.1.</w:t>
      </w:r>
      <w:r w:rsidR="00A64257" w:rsidRPr="00953CBD">
        <w:tab/>
        <w:t>Virus isolation</w:t>
      </w:r>
    </w:p>
    <w:p w14:paraId="203A8F3C" w14:textId="77777777" w:rsidR="00A64257" w:rsidRPr="00953CBD" w:rsidRDefault="00A64257" w:rsidP="009C17B7">
      <w:pPr>
        <w:pStyle w:val="11Para"/>
      </w:pPr>
      <w:r w:rsidRPr="00953CBD">
        <w:t xml:space="preserve">When samples are taken from live birds for virus isolation, tracheal swabs are superior to oropharyngeal or conjunctival swabs. These are placed in transport medium containing antibiotics. When selecting material for virus isolation from chronic outbreaks, it is more productive to cull a bird in the early stages of the infection, rather than to attempt to isolate virus from a bird that has died of asphyxiation after a long illness. The quality of sample is further improved if the bird is killed by barbiturate or other injection rather than by cervical dislocation. The whole head and neck from dead birds may be submitted, or only the trachea and larynx after their removal with minimal contamination. Tracheas should be transported in antibiotic broth for virus </w:t>
      </w:r>
      <w:proofErr w:type="gramStart"/>
      <w:r w:rsidRPr="00953CBD">
        <w:t>isolation, but</w:t>
      </w:r>
      <w:proofErr w:type="gramEnd"/>
      <w:r w:rsidRPr="00953CBD">
        <w:t xml:space="preserve"> wrapped in moist tissue paper if destined for electron microscopy. Any prolonged storage of infected tissues should be at –70°C or below to minimise loss of virus titre. Repeated freezing and thawing must be avoided as this reduces virus infectivity.</w:t>
      </w:r>
    </w:p>
    <w:p w14:paraId="0195A148" w14:textId="77777777" w:rsidR="00A64257" w:rsidRPr="00953CBD" w:rsidRDefault="00A64257" w:rsidP="009C17B7">
      <w:pPr>
        <w:pStyle w:val="11Para"/>
      </w:pPr>
      <w:r w:rsidRPr="00953CBD">
        <w:t>Exudate and epithelial cells are scraped from the tracheas, diluted approximately 1/5 in nutrient broth containing penicillin and streptomycin, and agitated vigorously. The resulting suspension is centrifuged at low speed to remove debris, and 0.1 ml of the supernatant fluid is inoculated on to the dropped CAM of at least three embryonated chicken eggs of 10–12 days’ incubation. The eggs are sealed with paraffin wax and incubated at 37°C for up to 7 days. They are candled daily and the CAMs of dead embryos or of those surviving for 7 days are examined for typical pocks. Alternatively, at least two confluent chick embryo liver or chicken embryo kidney cell monolayers, with their medium removed, are inoculated and allowed to adsorb for 1–2 hours. Cultures are overlaid with fresh medium, incubated for up to 7 days and examined daily under the microscope for evidence of a typical syncytial cell cytopathic effect (CPE).</w:t>
      </w:r>
    </w:p>
    <w:p w14:paraId="6458E846" w14:textId="77777777" w:rsidR="00A64257" w:rsidRPr="00953CBD" w:rsidRDefault="00A64257" w:rsidP="009C17B7">
      <w:pPr>
        <w:pStyle w:val="11Para"/>
      </w:pPr>
      <w:r w:rsidRPr="00953CBD">
        <w:t xml:space="preserve">In each instance, up to three passages of material may be necessary before a specimen </w:t>
      </w:r>
      <w:proofErr w:type="gramStart"/>
      <w:r w:rsidRPr="00953CBD">
        <w:t>is considered to be</w:t>
      </w:r>
      <w:proofErr w:type="gramEnd"/>
      <w:r w:rsidRPr="00953CBD">
        <w:t xml:space="preserve"> negative. A virus isolate can be confirmed as </w:t>
      </w:r>
      <w:r w:rsidR="001F33E7" w:rsidRPr="00953CBD">
        <w:t>ILTV</w:t>
      </w:r>
      <w:r w:rsidRPr="00953CBD">
        <w:t xml:space="preserve"> by a neutralisation test in eggs or cell culture using hyperimmune antiserum to </w:t>
      </w:r>
      <w:r w:rsidR="001F33E7" w:rsidRPr="00953CBD">
        <w:t>ILTV</w:t>
      </w:r>
      <w:r w:rsidRPr="00953CBD">
        <w:t>. Alternatively, virus particles may be identified rapidly in cell culture fluid or in pocks on CAMs by electron microscopy, viral antigens by immunofluorescence in acetone-fixed ILT-virus-infected cell cultures or in frozen sections of CAM and viral nucleic acid by PCR.</w:t>
      </w:r>
    </w:p>
    <w:p w14:paraId="54EDBB4C" w14:textId="77777777" w:rsidR="00A64257" w:rsidRPr="00953CBD" w:rsidRDefault="009C17B7" w:rsidP="009C17B7">
      <w:pPr>
        <w:pStyle w:val="11"/>
      </w:pPr>
      <w:r w:rsidRPr="00953CBD">
        <w:lastRenderedPageBreak/>
        <w:t>1.</w:t>
      </w:r>
      <w:r w:rsidR="00EB088A" w:rsidRPr="00953CBD">
        <w:t>2</w:t>
      </w:r>
      <w:r w:rsidRPr="00953CBD">
        <w:t>.</w:t>
      </w:r>
      <w:r w:rsidR="00A64257" w:rsidRPr="00953CBD">
        <w:tab/>
        <w:t>Immunofluorescence</w:t>
      </w:r>
    </w:p>
    <w:p w14:paraId="3F3746D3" w14:textId="77777777" w:rsidR="00A64257" w:rsidRPr="00953CBD" w:rsidRDefault="00A64257" w:rsidP="009C17B7">
      <w:pPr>
        <w:pStyle w:val="11Para"/>
      </w:pPr>
      <w:r w:rsidRPr="00953CBD">
        <w:t>In immunofluorescence tests for viral antigens, epithelial cell scrapings from the trachea are smeared on to a glass slide. Alternatively, 5 µm thick cryostat sections of trachea, snap-frozen in liquid nitrogen may be used. The preparations are fixed in acetone at room temperature for 10 minutes. These can be stained directly by applying chicken anti-</w:t>
      </w:r>
      <w:r w:rsidR="001F33E7" w:rsidRPr="00953CBD">
        <w:t>ILTV</w:t>
      </w:r>
      <w:r w:rsidRPr="00953CBD">
        <w:t xml:space="preserve"> immunoglobulin labelled with fluorescein isothiocyanate (FITC) for 1 hour, followed by rinsing for 15 minutes in a bath of phosphate</w:t>
      </w:r>
      <w:r w:rsidR="00C34B09" w:rsidRPr="00953CBD">
        <w:t>-</w:t>
      </w:r>
      <w:r w:rsidRPr="00953CBD">
        <w:t xml:space="preserve">buffered saline (PBS), pH 7.2, agitated with a magnetic stirrer. Otherwise, they can be stained indirectly by applying an appropriate dilution of chicken anti-ILT serum for 1 hour. The slide is rinsed thoroughly with PBS for 15 minutes as above, and an FITC-labelled anti-chicken immunoglobulin is applied for 30 minutes. After a final rinse, </w:t>
      </w:r>
      <w:proofErr w:type="gramStart"/>
      <w:r w:rsidRPr="00953CBD">
        <w:t>cover-slips</w:t>
      </w:r>
      <w:proofErr w:type="gramEnd"/>
      <w:r w:rsidRPr="00953CBD">
        <w:t xml:space="preserve"> are applied over non-fade </w:t>
      </w:r>
      <w:proofErr w:type="spellStart"/>
      <w:r w:rsidRPr="00953CBD">
        <w:t>mountant</w:t>
      </w:r>
      <w:proofErr w:type="spellEnd"/>
      <w:r w:rsidRPr="00953CBD">
        <w:t xml:space="preserve">. The preparations are examined for specific intranuclear fluorescence in the epithelial cells using a microscope with </w:t>
      </w:r>
      <w:proofErr w:type="spellStart"/>
      <w:r w:rsidRPr="00953CBD">
        <w:t>epifluorescent</w:t>
      </w:r>
      <w:proofErr w:type="spellEnd"/>
      <w:r w:rsidRPr="00953CBD">
        <w:t xml:space="preserve"> ultraviolet illumination. Suitable controls include the use of known uninfected specimens and, for the indirect method, the application of nonimmune chicken serum. </w:t>
      </w:r>
      <w:proofErr w:type="gramStart"/>
      <w:r w:rsidRPr="00953CBD">
        <w:t>Particular care</w:t>
      </w:r>
      <w:proofErr w:type="gramEnd"/>
      <w:r w:rsidRPr="00953CBD">
        <w:t xml:space="preserve"> should be taken in the reading of indirect immunofluorescence preparations, as endogenous chicken IgG in the trachea may cause unwanted attachment of FITC-labelled anti-chicken IgG.</w:t>
      </w:r>
    </w:p>
    <w:p w14:paraId="3CB23938" w14:textId="77777777" w:rsidR="00A64257" w:rsidRPr="00953CBD" w:rsidRDefault="009C17B7" w:rsidP="009C17B7">
      <w:pPr>
        <w:pStyle w:val="11"/>
      </w:pPr>
      <w:r w:rsidRPr="00953CBD">
        <w:t>1.</w:t>
      </w:r>
      <w:r w:rsidR="00EB088A" w:rsidRPr="00953CBD">
        <w:t>3</w:t>
      </w:r>
      <w:r w:rsidRPr="00953CBD">
        <w:t>.</w:t>
      </w:r>
      <w:r w:rsidR="00A64257" w:rsidRPr="00953CBD">
        <w:tab/>
        <w:t>Enzyme-linked immunosorbent assay</w:t>
      </w:r>
    </w:p>
    <w:p w14:paraId="1C49FF79" w14:textId="50D33CFA" w:rsidR="00A64257" w:rsidRPr="00953CBD" w:rsidRDefault="00C34B09" w:rsidP="009C17B7">
      <w:pPr>
        <w:pStyle w:val="11Para"/>
      </w:pPr>
      <w:proofErr w:type="gramStart"/>
      <w:r w:rsidRPr="00953CBD">
        <w:t>A number of</w:t>
      </w:r>
      <w:proofErr w:type="gramEnd"/>
      <w:r w:rsidRPr="00953CBD">
        <w:t xml:space="preserve"> </w:t>
      </w:r>
      <w:r w:rsidR="00E62E0B" w:rsidRPr="009A779B">
        <w:rPr>
          <w:u w:val="double"/>
        </w:rPr>
        <w:t>antigen detection</w:t>
      </w:r>
      <w:r w:rsidR="00E62E0B">
        <w:t xml:space="preserve"> </w:t>
      </w:r>
      <w:r w:rsidRPr="00953CBD">
        <w:t xml:space="preserve">ELISA kits are available commercially, and the assay procedure may vary depending on the kit; the manufacturer’s instructions should always be followed. </w:t>
      </w:r>
      <w:r w:rsidR="00A64257" w:rsidRPr="00953CBD">
        <w:t>When the monoclonal antibody (</w:t>
      </w:r>
      <w:proofErr w:type="spellStart"/>
      <w:r w:rsidR="00A64257" w:rsidRPr="00953CBD">
        <w:t>MAb</w:t>
      </w:r>
      <w:proofErr w:type="spellEnd"/>
      <w:r w:rsidR="00A64257" w:rsidRPr="00953CBD">
        <w:t>) ELISA is used for detecting viral antigens (</w:t>
      </w:r>
      <w:r w:rsidR="002E3B67" w:rsidRPr="00953CBD">
        <w:t xml:space="preserve">McNulty </w:t>
      </w:r>
      <w:r w:rsidR="007E6C76" w:rsidRPr="00953CBD">
        <w:rPr>
          <w:i/>
        </w:rPr>
        <w:t>et al</w:t>
      </w:r>
      <w:r w:rsidR="002E3B67" w:rsidRPr="00953CBD">
        <w:t>., 1985</w:t>
      </w:r>
      <w:r w:rsidR="00A64257" w:rsidRPr="00953CBD">
        <w:t xml:space="preserve">), tracheal exudate is mixed with an equal volume of PBS containing 1% (v/v) of a </w:t>
      </w:r>
      <w:proofErr w:type="spellStart"/>
      <w:r w:rsidR="000B0FFD" w:rsidRPr="009A779B">
        <w:rPr>
          <w:u w:val="double"/>
        </w:rPr>
        <w:t>nonionic</w:t>
      </w:r>
      <w:proofErr w:type="spellEnd"/>
      <w:r w:rsidR="000B0FFD" w:rsidRPr="009A779B">
        <w:rPr>
          <w:u w:val="double"/>
        </w:rPr>
        <w:t>, non-denaturing</w:t>
      </w:r>
      <w:r w:rsidR="000B0FFD">
        <w:t xml:space="preserve"> </w:t>
      </w:r>
      <w:r w:rsidR="00A64257" w:rsidRPr="00953CBD">
        <w:t xml:space="preserve">detergent, </w:t>
      </w:r>
      <w:r w:rsidR="00A64257" w:rsidRPr="009A779B">
        <w:rPr>
          <w:strike/>
        </w:rPr>
        <w:t xml:space="preserve">such as </w:t>
      </w:r>
      <w:proofErr w:type="spellStart"/>
      <w:r w:rsidR="00A64257" w:rsidRPr="009A779B">
        <w:rPr>
          <w:strike/>
        </w:rPr>
        <w:t>Nonidet</w:t>
      </w:r>
      <w:proofErr w:type="spellEnd"/>
      <w:r w:rsidR="00A64257" w:rsidRPr="009A779B">
        <w:rPr>
          <w:strike/>
        </w:rPr>
        <w:t xml:space="preserve"> P40 (BDH Chemicals, Poole, United Kingdom), </w:t>
      </w:r>
      <w:r w:rsidR="00A64257" w:rsidRPr="00953CBD">
        <w:t>then vortexed for 30 seconds and centrifuged at 10</w:t>
      </w:r>
      <w:r w:rsidR="00743C13">
        <w:t>,000 </w:t>
      </w:r>
      <w:r w:rsidR="00A64257" w:rsidRPr="00953CBD">
        <w:rPr>
          <w:b/>
          <w:i/>
        </w:rPr>
        <w:t>g</w:t>
      </w:r>
      <w:r w:rsidR="00A64257" w:rsidRPr="00953CBD">
        <w:t xml:space="preserve"> for 1 minute. The supernatant fluid is dropped in 50 µl volumes in wells of </w:t>
      </w:r>
      <w:proofErr w:type="spellStart"/>
      <w:r w:rsidR="00A64257" w:rsidRPr="00953CBD">
        <w:t>microtitre</w:t>
      </w:r>
      <w:proofErr w:type="spellEnd"/>
      <w:r w:rsidR="00A64257" w:rsidRPr="00953CBD">
        <w:t xml:space="preserve"> plates previously coated with rabbit IgG against </w:t>
      </w:r>
      <w:r w:rsidR="001F33E7" w:rsidRPr="00953CBD">
        <w:t>ILTV</w:t>
      </w:r>
      <w:r w:rsidR="00A64257" w:rsidRPr="00953CBD">
        <w:t xml:space="preserve">, diluted 1/200 in 0.05 M carbonate/bicarbonate buffer, pH 9.0, and incubated for 1 hour. Next, 50 µl of </w:t>
      </w:r>
      <w:proofErr w:type="spellStart"/>
      <w:r w:rsidR="00A64257" w:rsidRPr="00953CBD">
        <w:t>MAb</w:t>
      </w:r>
      <w:proofErr w:type="spellEnd"/>
      <w:r w:rsidR="00A64257" w:rsidRPr="00953CBD">
        <w:t xml:space="preserve"> against major glycoproteins of </w:t>
      </w:r>
      <w:r w:rsidR="001F33E7" w:rsidRPr="00953CBD">
        <w:t>ILTV</w:t>
      </w:r>
      <w:r w:rsidR="00A64257" w:rsidRPr="00953CBD">
        <w:t xml:space="preserve">, diluted 1/50 in PBS, is added to each well, followed by 50 µl of a 1/1000 dilution of affinity-purified goat anti-mouse IgG conjugated to horseradish peroxidase. The </w:t>
      </w:r>
      <w:r w:rsidR="006E6EBF" w:rsidRPr="009A779B">
        <w:rPr>
          <w:u w:val="double"/>
        </w:rPr>
        <w:t>chrom</w:t>
      </w:r>
      <w:r w:rsidR="006853C0">
        <w:rPr>
          <w:u w:val="double"/>
        </w:rPr>
        <w:t>o</w:t>
      </w:r>
      <w:r w:rsidR="006E6EBF" w:rsidRPr="009A779B">
        <w:rPr>
          <w:u w:val="double"/>
        </w:rPr>
        <w:t>gen/</w:t>
      </w:r>
      <w:r w:rsidR="00A64257" w:rsidRPr="00953CBD">
        <w:t>substrate, 5-aminosalicylic acid (6.5 mM)</w:t>
      </w:r>
      <w:r w:rsidR="006E6EBF" w:rsidRPr="006E6EBF">
        <w:t xml:space="preserve"> </w:t>
      </w:r>
      <w:r w:rsidR="006E6EBF" w:rsidRPr="009A779B">
        <w:rPr>
          <w:u w:val="double"/>
        </w:rPr>
        <w:t xml:space="preserve">with hydrogen peroxide </w:t>
      </w:r>
      <w:r w:rsidR="002214B3" w:rsidRPr="009A779B">
        <w:rPr>
          <w:u w:val="double"/>
        </w:rPr>
        <w:t>(</w:t>
      </w:r>
      <w:r w:rsidR="006E6EBF" w:rsidRPr="009A779B">
        <w:rPr>
          <w:u w:val="double"/>
        </w:rPr>
        <w:t>to a final concentration of 0.0005%</w:t>
      </w:r>
      <w:r w:rsidR="002214B3" w:rsidRPr="009A779B">
        <w:rPr>
          <w:u w:val="double"/>
        </w:rPr>
        <w:t>)</w:t>
      </w:r>
      <w:r w:rsidR="00A64257" w:rsidRPr="00953CBD">
        <w:t>, is added to the wells in 100 µl volumes. After 30 minutes, the plates are read at 450 nm on a spec</w:t>
      </w:r>
      <w:bookmarkStart w:id="1" w:name="_GoBack"/>
      <w:bookmarkEnd w:id="1"/>
      <w:r w:rsidR="00A64257" w:rsidRPr="00953CBD">
        <w:t xml:space="preserve">trophotometer and the absorbance reading for each well is corrected by subtracting the reading obtained for wells containing diluting buffer instead of tracheal exudate. The positive/negative cut-off point is taken as the mean absorbance value for several negative (i.e. tracheal material without </w:t>
      </w:r>
      <w:r w:rsidR="001F33E7" w:rsidRPr="00953CBD">
        <w:t>ILTV</w:t>
      </w:r>
      <w:r w:rsidR="00A64257" w:rsidRPr="00953CBD">
        <w:t>) samples plus 3 standard deviations.</w:t>
      </w:r>
    </w:p>
    <w:p w14:paraId="5DDA8E89" w14:textId="77777777" w:rsidR="00A64257" w:rsidRPr="00953CBD" w:rsidRDefault="009C17B7" w:rsidP="009C17B7">
      <w:pPr>
        <w:pStyle w:val="11"/>
      </w:pPr>
      <w:r w:rsidRPr="00953CBD">
        <w:t>1.</w:t>
      </w:r>
      <w:r w:rsidR="00EB088A" w:rsidRPr="00953CBD">
        <w:t>4</w:t>
      </w:r>
      <w:r w:rsidRPr="00953CBD">
        <w:t>.</w:t>
      </w:r>
      <w:r w:rsidR="00A64257" w:rsidRPr="00953CBD">
        <w:tab/>
        <w:t>Histopathology</w:t>
      </w:r>
    </w:p>
    <w:p w14:paraId="249B05D9" w14:textId="6AA33A7A" w:rsidR="00A64257" w:rsidRPr="00953CBD" w:rsidRDefault="00DC7660" w:rsidP="009C17B7">
      <w:pPr>
        <w:pStyle w:val="11Para"/>
      </w:pPr>
      <w:r w:rsidRPr="00953CBD">
        <w:t>Birds selected for post</w:t>
      </w:r>
      <w:r w:rsidR="00AB115D">
        <w:t>-</w:t>
      </w:r>
      <w:r w:rsidRPr="00953CBD">
        <w:t xml:space="preserve">mortem examination should be in the acute phase of disease. Euthanasia should be by </w:t>
      </w:r>
      <w:r w:rsidR="00461010" w:rsidRPr="00953CBD">
        <w:t xml:space="preserve">intravenous </w:t>
      </w:r>
      <w:r w:rsidRPr="00953CBD">
        <w:t>injection</w:t>
      </w:r>
      <w:r w:rsidR="00461010" w:rsidRPr="00953CBD">
        <w:t xml:space="preserve"> of barbiturates or exposure halothane</w:t>
      </w:r>
      <w:r w:rsidRPr="00953CBD">
        <w:t xml:space="preserve">, to avoid damaging the trachea. </w:t>
      </w:r>
      <w:r w:rsidR="00A64257" w:rsidRPr="00953CBD">
        <w:t xml:space="preserve">Tracheas for histopathological examination should be placed in </w:t>
      </w:r>
      <w:r w:rsidR="00E65C16" w:rsidRPr="00953CBD">
        <w:t xml:space="preserve">10% neutral buffered formalin or </w:t>
      </w:r>
      <w:proofErr w:type="spellStart"/>
      <w:r w:rsidR="00E65C16" w:rsidRPr="00953CBD">
        <w:t>Bouin</w:t>
      </w:r>
      <w:proofErr w:type="spellEnd"/>
      <w:r w:rsidR="00E65C16" w:rsidRPr="00953CBD">
        <w:t xml:space="preserve"> fixative (preferable for detection of intranuclear inclusion bodies)</w:t>
      </w:r>
      <w:r w:rsidR="00A64257" w:rsidRPr="00953CBD">
        <w:t xml:space="preserve"> immediately after removal from the birds and</w:t>
      </w:r>
      <w:r w:rsidR="00C34B09" w:rsidRPr="00953CBD">
        <w:t>,</w:t>
      </w:r>
      <w:r w:rsidR="00A64257" w:rsidRPr="00953CBD">
        <w:t xml:space="preserve"> </w:t>
      </w:r>
      <w:r w:rsidR="00E65C16" w:rsidRPr="00953CBD">
        <w:t>after fixation</w:t>
      </w:r>
      <w:r w:rsidR="00C34B09" w:rsidRPr="00953CBD">
        <w:t>,</w:t>
      </w:r>
      <w:r w:rsidR="00E65C16" w:rsidRPr="00953CBD">
        <w:t xml:space="preserve"> </w:t>
      </w:r>
      <w:r w:rsidR="00A64257" w:rsidRPr="00953CBD">
        <w:t>embedded in paraffin wax. Eyelid and lung are sometimes examined. Intranuclear inclusions may be seen in the epithelial cells of the trachea</w:t>
      </w:r>
      <w:r w:rsidR="00C34B09" w:rsidRPr="00953CBD">
        <w:t xml:space="preserve"> </w:t>
      </w:r>
      <w:r w:rsidR="00A64257" w:rsidRPr="00953CBD">
        <w:t xml:space="preserve">after staining </w:t>
      </w:r>
      <w:r w:rsidR="00E65C16" w:rsidRPr="00953CBD">
        <w:t xml:space="preserve">with </w:t>
      </w:r>
      <w:r w:rsidR="00A64257" w:rsidRPr="00953CBD">
        <w:t xml:space="preserve">haematoxylin and eosin. </w:t>
      </w:r>
      <w:r w:rsidR="00C34B09" w:rsidRPr="00953CBD">
        <w:t>S</w:t>
      </w:r>
      <w:r w:rsidR="00E65C16" w:rsidRPr="00953CBD">
        <w:t xml:space="preserve">yncytial cell formations are often present within the exudates and commonly contain intranuclear inclusion bodies. Inclusion bodies </w:t>
      </w:r>
      <w:r w:rsidR="00A64257" w:rsidRPr="00953CBD">
        <w:t>are the classical Cowdry type A inclusions of herpesviruses, but they may be present for only 3–5 days after infection. In severe cases where most infected cells have detached from the tracheal lining, inclusions may be seen in intact cells among the cellular debris in the lumen of the trachea. Longitudinal rather than transverse sections of trachea permit examination of the whole length of the organ.</w:t>
      </w:r>
    </w:p>
    <w:p w14:paraId="6A3C14C5" w14:textId="77777777" w:rsidR="00A64257" w:rsidRPr="00953CBD" w:rsidRDefault="009C17B7" w:rsidP="009C17B7">
      <w:pPr>
        <w:pStyle w:val="11"/>
      </w:pPr>
      <w:r w:rsidRPr="00953CBD">
        <w:t>1.</w:t>
      </w:r>
      <w:r w:rsidR="00EB088A" w:rsidRPr="00953CBD">
        <w:t>5</w:t>
      </w:r>
      <w:r w:rsidRPr="00953CBD">
        <w:t>.</w:t>
      </w:r>
      <w:r w:rsidR="00A64257" w:rsidRPr="00953CBD">
        <w:tab/>
        <w:t>Molecular methods</w:t>
      </w:r>
    </w:p>
    <w:p w14:paraId="1DF5B996" w14:textId="63FBCE00" w:rsidR="00A64257" w:rsidRPr="00953CBD" w:rsidRDefault="00A64257" w:rsidP="009C17B7">
      <w:pPr>
        <w:pStyle w:val="11Para"/>
      </w:pPr>
      <w:r w:rsidRPr="00953CBD">
        <w:t xml:space="preserve">Several molecular methods for identifying </w:t>
      </w:r>
      <w:r w:rsidR="001F33E7" w:rsidRPr="00953CBD">
        <w:t>ILTV</w:t>
      </w:r>
      <w:r w:rsidRPr="00953CBD">
        <w:t xml:space="preserve"> DNA in clinical samples have been reported, but the </w:t>
      </w:r>
      <w:r w:rsidR="0019475C" w:rsidRPr="00953CBD">
        <w:t>PCR</w:t>
      </w:r>
      <w:r w:rsidRPr="00953CBD">
        <w:t xml:space="preserve"> has proved </w:t>
      </w:r>
      <w:r w:rsidR="00F02AA9">
        <w:t>t</w:t>
      </w:r>
      <w:r w:rsidRPr="00953CBD">
        <w:t xml:space="preserve">he most useful. </w:t>
      </w:r>
      <w:r w:rsidRPr="009A4E3C">
        <w:rPr>
          <w:strike/>
        </w:rPr>
        <w:t>Dot-blot hybridisation assays and cloned virus DNA fragments were shown to be highly sensitive for detecting virus when isolation and ELISA were negative (</w:t>
      </w:r>
      <w:proofErr w:type="spellStart"/>
      <w:r w:rsidR="00260FC3" w:rsidRPr="009A4E3C">
        <w:rPr>
          <w:strike/>
        </w:rPr>
        <w:t>Keam</w:t>
      </w:r>
      <w:proofErr w:type="spellEnd"/>
      <w:r w:rsidR="00260FC3" w:rsidRPr="009A4E3C">
        <w:rPr>
          <w:strike/>
        </w:rPr>
        <w:t xml:space="preserve"> </w:t>
      </w:r>
      <w:r w:rsidR="007E6C76" w:rsidRPr="009A4E3C">
        <w:rPr>
          <w:i/>
          <w:strike/>
        </w:rPr>
        <w:t>et al</w:t>
      </w:r>
      <w:r w:rsidR="00260FC3" w:rsidRPr="009A4E3C">
        <w:rPr>
          <w:strike/>
        </w:rPr>
        <w:t>., 1991</w:t>
      </w:r>
      <w:r w:rsidR="002E3B67" w:rsidRPr="009A4E3C">
        <w:rPr>
          <w:strike/>
        </w:rPr>
        <w:t>;</w:t>
      </w:r>
      <w:r w:rsidR="0019475C" w:rsidRPr="009A4E3C">
        <w:rPr>
          <w:strike/>
        </w:rPr>
        <w:t xml:space="preserve"> </w:t>
      </w:r>
      <w:r w:rsidR="00260FC3" w:rsidRPr="009A4E3C">
        <w:rPr>
          <w:strike/>
        </w:rPr>
        <w:t xml:space="preserve">Key </w:t>
      </w:r>
      <w:r w:rsidR="007E6C76" w:rsidRPr="009A4E3C">
        <w:rPr>
          <w:i/>
          <w:strike/>
        </w:rPr>
        <w:t>et al</w:t>
      </w:r>
      <w:r w:rsidR="00260FC3" w:rsidRPr="009A4E3C">
        <w:rPr>
          <w:strike/>
        </w:rPr>
        <w:t>., 1994</w:t>
      </w:r>
      <w:r w:rsidRPr="009A4E3C">
        <w:rPr>
          <w:strike/>
        </w:rPr>
        <w:t>).</w:t>
      </w:r>
      <w:r w:rsidRPr="00341C19">
        <w:rPr>
          <w:strike/>
        </w:rPr>
        <w:t xml:space="preserve"> </w:t>
      </w:r>
      <w:r w:rsidR="005C5E5D">
        <w:t>U</w:t>
      </w:r>
      <w:r w:rsidR="005C5E5D" w:rsidRPr="00953CBD">
        <w:t xml:space="preserve">sing a nested PCR, </w:t>
      </w:r>
      <w:proofErr w:type="spellStart"/>
      <w:r w:rsidRPr="00953CBD">
        <w:t>Humberd</w:t>
      </w:r>
      <w:proofErr w:type="spellEnd"/>
      <w:r w:rsidRPr="00953CBD">
        <w:t xml:space="preserve"> </w:t>
      </w:r>
      <w:r w:rsidR="007E6C76" w:rsidRPr="00953CBD">
        <w:rPr>
          <w:i/>
        </w:rPr>
        <w:t>et al</w:t>
      </w:r>
      <w:r w:rsidRPr="00953CBD">
        <w:t>. (</w:t>
      </w:r>
      <w:r w:rsidR="002E3B67" w:rsidRPr="00953CBD">
        <w:t>2002</w:t>
      </w:r>
      <w:r w:rsidRPr="00953CBD">
        <w:t xml:space="preserve">) showed that </w:t>
      </w:r>
      <w:r w:rsidR="001F33E7" w:rsidRPr="00953CBD">
        <w:t>ILTV</w:t>
      </w:r>
      <w:r w:rsidRPr="00953CBD">
        <w:t xml:space="preserve"> DNA could be detected in formalin-fixed, paraffin-embedded tissues independently of the presence of syncytial cells, intranuclear inclusions or both.</w:t>
      </w:r>
    </w:p>
    <w:p w14:paraId="76DD782B" w14:textId="77777777" w:rsidR="00A64257" w:rsidRPr="00953CBD" w:rsidRDefault="00A64257" w:rsidP="009C17B7">
      <w:pPr>
        <w:pStyle w:val="11Para"/>
      </w:pPr>
      <w:r w:rsidRPr="00953CBD">
        <w:t>PCR has been found to be more sensitive than virus isolation for clinical samples, especially when other contaminant viruses such as adenoviruses are present (</w:t>
      </w:r>
      <w:r w:rsidR="002E3B67" w:rsidRPr="00953CBD">
        <w:t xml:space="preserve">Williams </w:t>
      </w:r>
      <w:r w:rsidR="007E6C76" w:rsidRPr="00953CBD">
        <w:rPr>
          <w:i/>
        </w:rPr>
        <w:t>et al</w:t>
      </w:r>
      <w:r w:rsidR="002E3B67" w:rsidRPr="00953CBD">
        <w:t>., 1994</w:t>
      </w:r>
      <w:r w:rsidRPr="00953CBD">
        <w:t>). Alexander &amp; Nagy (</w:t>
      </w:r>
      <w:r w:rsidR="002E3B67" w:rsidRPr="00953CBD">
        <w:t>1997</w:t>
      </w:r>
      <w:r w:rsidRPr="00953CBD">
        <w:t>) found that during the middle to the end of the infection phase, PCR and virus isolation were similar in sensitivity, but PCR was superior in the recovery phase.</w:t>
      </w:r>
    </w:p>
    <w:p w14:paraId="573F15FD" w14:textId="77777777" w:rsidR="000668A0" w:rsidRDefault="004F7F3A" w:rsidP="009C17B7">
      <w:pPr>
        <w:pStyle w:val="11Para"/>
      </w:pPr>
      <w:r w:rsidRPr="00953CBD">
        <w:lastRenderedPageBreak/>
        <w:t>T</w:t>
      </w:r>
      <w:r w:rsidR="00A64257" w:rsidRPr="00953CBD">
        <w:t>he combination of PCR with restriction fragment length polymorphism (RFLP) analysis of single and multiple viral genes and genome regions has enabled the characteri</w:t>
      </w:r>
      <w:r w:rsidR="001F33E7" w:rsidRPr="00953CBD">
        <w:t>s</w:t>
      </w:r>
      <w:r w:rsidR="00A64257" w:rsidRPr="00953CBD">
        <w:t>at</w:t>
      </w:r>
      <w:r w:rsidR="0019475C" w:rsidRPr="00953CBD">
        <w:t>ion of different strains within</w:t>
      </w:r>
      <w:r w:rsidR="001F33E7" w:rsidRPr="00953CBD">
        <w:t xml:space="preserve"> a country or region</w:t>
      </w:r>
      <w:r w:rsidR="008863F8" w:rsidRPr="00953CBD">
        <w:t xml:space="preserve"> (</w:t>
      </w:r>
      <w:r w:rsidR="002E3B67" w:rsidRPr="00953CBD">
        <w:t xml:space="preserve">Chang </w:t>
      </w:r>
      <w:r w:rsidR="007E6C76" w:rsidRPr="00953CBD">
        <w:rPr>
          <w:i/>
        </w:rPr>
        <w:t>et al</w:t>
      </w:r>
      <w:r w:rsidR="002E3B67" w:rsidRPr="00953CBD">
        <w:t>., 1997</w:t>
      </w:r>
      <w:r w:rsidR="008863F8" w:rsidRPr="00953CBD">
        <w:t>)</w:t>
      </w:r>
      <w:r w:rsidR="001F33E7" w:rsidRPr="00953CBD">
        <w:t xml:space="preserve">. </w:t>
      </w:r>
      <w:r w:rsidR="00A64257" w:rsidRPr="00953CBD">
        <w:t>Several reports have shown that while some field strains are closely related to and likely to be derived from vaccine viruses, others are true ‘wild types’ (</w:t>
      </w:r>
      <w:proofErr w:type="spellStart"/>
      <w:r w:rsidR="00260FC3" w:rsidRPr="00953CBD">
        <w:t>Ojkic</w:t>
      </w:r>
      <w:proofErr w:type="spellEnd"/>
      <w:r w:rsidR="00260FC3" w:rsidRPr="00953CBD">
        <w:t xml:space="preserve"> </w:t>
      </w:r>
      <w:r w:rsidR="007E6C76" w:rsidRPr="00953CBD">
        <w:rPr>
          <w:i/>
        </w:rPr>
        <w:t>et al</w:t>
      </w:r>
      <w:r w:rsidR="00260FC3" w:rsidRPr="00953CBD">
        <w:t>., 2006</w:t>
      </w:r>
      <w:r w:rsidR="003F75AF" w:rsidRPr="00953CBD">
        <w:t>)</w:t>
      </w:r>
      <w:r w:rsidR="00A64257" w:rsidRPr="00953CBD">
        <w:rPr>
          <w:i/>
          <w:iCs/>
        </w:rPr>
        <w:t>.</w:t>
      </w:r>
      <w:r w:rsidR="00A64257" w:rsidRPr="00953CBD">
        <w:t xml:space="preserve"> Genes commonly examined by different authors include ICP4, TK (thymidine kinase), glycoprotein G (</w:t>
      </w:r>
      <w:proofErr w:type="spellStart"/>
      <w:r w:rsidR="00A64257" w:rsidRPr="00953CBD">
        <w:t>gG</w:t>
      </w:r>
      <w:proofErr w:type="spellEnd"/>
      <w:r w:rsidR="00A64257" w:rsidRPr="00953CBD">
        <w:t>), glycoprotein E (</w:t>
      </w:r>
      <w:proofErr w:type="spellStart"/>
      <w:r w:rsidR="00A64257" w:rsidRPr="00953CBD">
        <w:t>gE</w:t>
      </w:r>
      <w:proofErr w:type="spellEnd"/>
      <w:r w:rsidR="00A64257" w:rsidRPr="00953CBD">
        <w:t xml:space="preserve">) and UL47. </w:t>
      </w:r>
      <w:proofErr w:type="spellStart"/>
      <w:r w:rsidR="00A64257" w:rsidRPr="00953CBD">
        <w:t>Oldoni</w:t>
      </w:r>
      <w:proofErr w:type="spellEnd"/>
      <w:r w:rsidR="00A64257" w:rsidRPr="00953CBD">
        <w:t xml:space="preserve"> </w:t>
      </w:r>
      <w:r w:rsidR="001F33E7" w:rsidRPr="00953CBD">
        <w:t>&amp;</w:t>
      </w:r>
      <w:r w:rsidR="00A64257" w:rsidRPr="00953CBD">
        <w:t xml:space="preserve"> Garcia (</w:t>
      </w:r>
      <w:r w:rsidR="003F75AF" w:rsidRPr="00953CBD">
        <w:t>2</w:t>
      </w:r>
      <w:r w:rsidR="002E3B67" w:rsidRPr="00953CBD">
        <w:t>007</w:t>
      </w:r>
      <w:r w:rsidR="00A64257" w:rsidRPr="00953CBD">
        <w:t>) used 36 restriction enzymes, while o</w:t>
      </w:r>
      <w:r w:rsidR="001F33E7" w:rsidRPr="00953CBD">
        <w:t>thers have used as few as four.</w:t>
      </w:r>
      <w:r w:rsidR="00DC7660" w:rsidRPr="00953CBD">
        <w:t xml:space="preserve"> </w:t>
      </w:r>
    </w:p>
    <w:p w14:paraId="2958112B" w14:textId="36A7A3B2" w:rsidR="00A64257" w:rsidRPr="00953CBD" w:rsidRDefault="00DC7660" w:rsidP="000668A0">
      <w:pPr>
        <w:pStyle w:val="11Para"/>
      </w:pPr>
      <w:r w:rsidRPr="00953CBD">
        <w:t xml:space="preserve">There </w:t>
      </w:r>
      <w:r w:rsidRPr="000668A0">
        <w:rPr>
          <w:strike/>
        </w:rPr>
        <w:t xml:space="preserve">are as yet </w:t>
      </w:r>
      <w:r w:rsidR="000668A0" w:rsidRPr="000668A0">
        <w:rPr>
          <w:u w:val="double"/>
        </w:rPr>
        <w:t>is</w:t>
      </w:r>
      <w:r w:rsidR="000668A0">
        <w:t xml:space="preserve"> </w:t>
      </w:r>
      <w:r w:rsidRPr="00953CBD">
        <w:t xml:space="preserve">no </w:t>
      </w:r>
      <w:r w:rsidR="00413B8A" w:rsidRPr="000668A0">
        <w:rPr>
          <w:strike/>
        </w:rPr>
        <w:t xml:space="preserve">universally accepted </w:t>
      </w:r>
      <w:r w:rsidRPr="00953CBD">
        <w:t>molecular test</w:t>
      </w:r>
      <w:r w:rsidR="001D625F" w:rsidRPr="000668A0">
        <w:rPr>
          <w:strike/>
        </w:rPr>
        <w:t>s</w:t>
      </w:r>
      <w:r w:rsidRPr="00953CBD">
        <w:t xml:space="preserve"> that </w:t>
      </w:r>
      <w:r w:rsidRPr="000668A0">
        <w:rPr>
          <w:strike/>
        </w:rPr>
        <w:t>enable differentiation between field and vaccine strains</w:t>
      </w:r>
      <w:r w:rsidR="000668A0" w:rsidRPr="000668A0">
        <w:rPr>
          <w:strike/>
        </w:rPr>
        <w:t xml:space="preserve"> </w:t>
      </w:r>
      <w:r w:rsidR="000668A0" w:rsidRPr="000668A0">
        <w:rPr>
          <w:u w:val="double"/>
        </w:rPr>
        <w:t xml:space="preserve">is universally recognised for strain identification of ILTVs, but a protocol has been provided below in Section B.1.5.1.iv </w:t>
      </w:r>
      <w:r w:rsidR="000668A0" w:rsidRPr="000668A0">
        <w:rPr>
          <w:i/>
          <w:iCs/>
          <w:u w:val="double"/>
        </w:rPr>
        <w:t>Restriction fragment length polymorphism</w:t>
      </w:r>
      <w:r w:rsidR="000668A0" w:rsidRPr="000668A0">
        <w:rPr>
          <w:u w:val="double"/>
        </w:rPr>
        <w:t xml:space="preserve"> that has been used in a number of poultry diagnostic laboratories for differentiation of vaccines and field strains and epidemiological investigations</w:t>
      </w:r>
      <w:r w:rsidRPr="00953CBD">
        <w:t xml:space="preserve">. A good history of vaccination in the flock </w:t>
      </w:r>
      <w:r w:rsidR="00413B8A" w:rsidRPr="00953CBD">
        <w:t>may</w:t>
      </w:r>
      <w:r w:rsidRPr="00953CBD">
        <w:t xml:space="preserve"> assist with interpretation of results</w:t>
      </w:r>
      <w:r w:rsidR="00413B8A" w:rsidRPr="00953CBD">
        <w:t xml:space="preserve"> although it should be noted that field strain infection can occur in vaccinated birds</w:t>
      </w:r>
      <w:r w:rsidR="0050346C" w:rsidRPr="00953CBD">
        <w:t xml:space="preserve">. </w:t>
      </w:r>
      <w:r w:rsidR="001D625F" w:rsidRPr="00953CBD">
        <w:t>V</w:t>
      </w:r>
      <w:r w:rsidR="0050346C" w:rsidRPr="00953CBD">
        <w:t xml:space="preserve">accine strains can </w:t>
      </w:r>
      <w:r w:rsidR="001D625F" w:rsidRPr="00953CBD">
        <w:t xml:space="preserve">also </w:t>
      </w:r>
      <w:r w:rsidR="0050346C" w:rsidRPr="00953CBD">
        <w:t>occasionally be isolated from unvaccinated birds,</w:t>
      </w:r>
    </w:p>
    <w:p w14:paraId="329768BA" w14:textId="77777777" w:rsidR="009C17B7" w:rsidRPr="00953CBD" w:rsidRDefault="009C17B7" w:rsidP="009C17B7">
      <w:pPr>
        <w:pStyle w:val="111"/>
      </w:pPr>
      <w:r w:rsidRPr="00953CBD">
        <w:t>1.</w:t>
      </w:r>
      <w:r w:rsidR="00EB088A" w:rsidRPr="00953CBD">
        <w:t>5</w:t>
      </w:r>
      <w:r w:rsidRPr="00953CBD">
        <w:t>.1.</w:t>
      </w:r>
      <w:r w:rsidRPr="00953CBD">
        <w:tab/>
        <w:t>Test procedures</w:t>
      </w:r>
    </w:p>
    <w:p w14:paraId="759973B2" w14:textId="336BD76A" w:rsidR="00E4268A" w:rsidRPr="00953CBD" w:rsidRDefault="0019475C" w:rsidP="0019475C">
      <w:pPr>
        <w:pStyle w:val="i"/>
      </w:pPr>
      <w:proofErr w:type="spellStart"/>
      <w:r w:rsidRPr="00953CBD">
        <w:t>i</w:t>
      </w:r>
      <w:proofErr w:type="spellEnd"/>
      <w:r w:rsidRPr="00953CBD">
        <w:t>)</w:t>
      </w:r>
      <w:r w:rsidRPr="00953CBD">
        <w:tab/>
      </w:r>
      <w:r w:rsidR="00E540AD" w:rsidRPr="00953CBD">
        <w:t xml:space="preserve">Conventional </w:t>
      </w:r>
      <w:r w:rsidR="00A64257" w:rsidRPr="0065732F">
        <w:rPr>
          <w:iCs/>
        </w:rPr>
        <w:t>PCR</w:t>
      </w:r>
      <w:r w:rsidR="00A64257" w:rsidRPr="00953CBD">
        <w:rPr>
          <w:i/>
          <w:iCs/>
        </w:rPr>
        <w:t xml:space="preserve"> </w:t>
      </w:r>
    </w:p>
    <w:p w14:paraId="2C9E0934" w14:textId="4B33BDF2" w:rsidR="00474220" w:rsidRPr="00953CBD" w:rsidRDefault="00A64257">
      <w:pPr>
        <w:pStyle w:val="afourthpara"/>
      </w:pPr>
      <w:r w:rsidRPr="00953CBD">
        <w:t xml:space="preserve">In a </w:t>
      </w:r>
      <w:r w:rsidR="002F2B65" w:rsidRPr="00953CBD">
        <w:t xml:space="preserve">typical PCR protocol for </w:t>
      </w:r>
      <w:r w:rsidR="001F33E7" w:rsidRPr="00953CBD">
        <w:t>ILTV</w:t>
      </w:r>
      <w:r w:rsidR="002F2B65" w:rsidRPr="00953CBD">
        <w:t xml:space="preserve">, </w:t>
      </w:r>
      <w:r w:rsidRPr="00953CBD">
        <w:t xml:space="preserve">viral DNA is extracted from clinical samples (swabs, tissues), </w:t>
      </w:r>
      <w:proofErr w:type="spellStart"/>
      <w:r w:rsidRPr="00953CBD">
        <w:t>chorioallantoic</w:t>
      </w:r>
      <w:proofErr w:type="spellEnd"/>
      <w:r w:rsidRPr="00953CBD">
        <w:t xml:space="preserve"> membrane plaques, cell culture supernatants or vacc</w:t>
      </w:r>
      <w:r w:rsidR="001F33E7" w:rsidRPr="00953CBD">
        <w:t>ines using DNA extraction kits.</w:t>
      </w:r>
      <w:r w:rsidRPr="00953CBD">
        <w:t xml:space="preserve"> Primers u</w:t>
      </w:r>
      <w:r w:rsidR="001F33E7" w:rsidRPr="00953CBD">
        <w:t>s</w:t>
      </w:r>
      <w:r w:rsidRPr="00953CBD">
        <w:t xml:space="preserve">ed can be obtained from previously published work or designed using </w:t>
      </w:r>
      <w:r w:rsidR="001F33E7" w:rsidRPr="00953CBD">
        <w:t>ILTV</w:t>
      </w:r>
      <w:r w:rsidRPr="00953CBD">
        <w:t xml:space="preserve"> sequences on the </w:t>
      </w:r>
      <w:proofErr w:type="spellStart"/>
      <w:r w:rsidRPr="00953CBD">
        <w:t>Genbank</w:t>
      </w:r>
      <w:proofErr w:type="spellEnd"/>
      <w:r w:rsidRPr="00953CBD">
        <w:t xml:space="preserve"> international database. </w:t>
      </w:r>
    </w:p>
    <w:p w14:paraId="5D1393DE" w14:textId="105FFA5D" w:rsidR="00474220" w:rsidRPr="00953CBD" w:rsidRDefault="00D86A8A">
      <w:pPr>
        <w:pStyle w:val="afourthpara"/>
      </w:pPr>
      <w:r w:rsidRPr="00953CBD">
        <w:t xml:space="preserve">The following protocol is routinely used in </w:t>
      </w:r>
      <w:proofErr w:type="gramStart"/>
      <w:r w:rsidRPr="00953CBD">
        <w:t>a number of</w:t>
      </w:r>
      <w:proofErr w:type="gramEnd"/>
      <w:r w:rsidRPr="00953CBD">
        <w:t xml:space="preserve"> veterinary diagnostic laboratories for detection of ILTV in clinical specimens and has potential for the preliminary typing of the virus by </w:t>
      </w:r>
      <w:r w:rsidR="009324D4" w:rsidRPr="00953CBD">
        <w:t>r</w:t>
      </w:r>
      <w:r w:rsidRPr="00953CBD">
        <w:t xml:space="preserve">estriction fragment length polymorphism of the PCR </w:t>
      </w:r>
      <w:r w:rsidR="000B544A" w:rsidRPr="00953CBD">
        <w:t>amplicons</w:t>
      </w:r>
      <w:r w:rsidRPr="00953CBD">
        <w:t>.</w:t>
      </w:r>
      <w:r w:rsidR="001F115B" w:rsidRPr="00953CBD">
        <w:t xml:space="preserve"> Full</w:t>
      </w:r>
      <w:r w:rsidRPr="00953CBD">
        <w:t xml:space="preserve"> details of this PCR </w:t>
      </w:r>
      <w:r w:rsidR="00AE41C8" w:rsidRPr="00953CBD">
        <w:t>are</w:t>
      </w:r>
      <w:r w:rsidRPr="00953CBD">
        <w:t xml:space="preserve"> provided in Kirkpatrick </w:t>
      </w:r>
      <w:r w:rsidRPr="00953CBD">
        <w:rPr>
          <w:i/>
        </w:rPr>
        <w:t>et al</w:t>
      </w:r>
      <w:r w:rsidR="00136B3D" w:rsidRPr="00953CBD">
        <w:rPr>
          <w:i/>
        </w:rPr>
        <w:t>.</w:t>
      </w:r>
      <w:r w:rsidRPr="00953CBD">
        <w:t xml:space="preserve"> (2006</w:t>
      </w:r>
      <w:r w:rsidR="00180D76" w:rsidRPr="00953CBD">
        <w:t>b</w:t>
      </w:r>
      <w:r w:rsidRPr="00953CBD">
        <w:t xml:space="preserve">). </w:t>
      </w:r>
      <w:r w:rsidR="009E2611" w:rsidRPr="00953CBD">
        <w:t>In brief,</w:t>
      </w:r>
      <w:r w:rsidRPr="00953CBD">
        <w:t xml:space="preserve"> </w:t>
      </w:r>
      <w:r w:rsidR="000B544A" w:rsidRPr="00953CBD">
        <w:t>a</w:t>
      </w:r>
      <w:r w:rsidR="008E63D8">
        <w:t>n approximately</w:t>
      </w:r>
      <w:r w:rsidR="000B544A" w:rsidRPr="00953CBD">
        <w:t xml:space="preserve"> </w:t>
      </w:r>
      <w:r w:rsidR="008E63D8">
        <w:t xml:space="preserve">2.24 </w:t>
      </w:r>
      <w:proofErr w:type="spellStart"/>
      <w:r w:rsidR="008E63D8">
        <w:t>k</w:t>
      </w:r>
      <w:r w:rsidR="0073733D" w:rsidRPr="00953CBD">
        <w:t>bp</w:t>
      </w:r>
      <w:proofErr w:type="spellEnd"/>
      <w:r w:rsidR="0073733D" w:rsidRPr="00953CBD">
        <w:t xml:space="preserve"> </w:t>
      </w:r>
      <w:r w:rsidR="000B544A" w:rsidRPr="00953CBD">
        <w:t xml:space="preserve">region </w:t>
      </w:r>
      <w:r w:rsidR="0073733D" w:rsidRPr="00953CBD">
        <w:t xml:space="preserve">of the ILTV thymidine kinase gene is amplified using </w:t>
      </w:r>
      <w:r w:rsidR="00AE41C8" w:rsidRPr="00953CBD">
        <w:t>a pair of f</w:t>
      </w:r>
      <w:r w:rsidR="00E720E0" w:rsidRPr="00953CBD">
        <w:t>orward (5’-CTG</w:t>
      </w:r>
      <w:r w:rsidR="00826BE5" w:rsidRPr="00953CBD">
        <w:t>-</w:t>
      </w:r>
      <w:r w:rsidR="00E720E0" w:rsidRPr="00953CBD">
        <w:t>GGC</w:t>
      </w:r>
      <w:r w:rsidR="00826BE5" w:rsidRPr="00953CBD">
        <w:t>-</w:t>
      </w:r>
      <w:r w:rsidR="00E720E0" w:rsidRPr="00953CBD">
        <w:t>TAA</w:t>
      </w:r>
      <w:r w:rsidR="00826BE5" w:rsidRPr="00953CBD">
        <w:t>-</w:t>
      </w:r>
      <w:r w:rsidR="00E720E0" w:rsidRPr="00953CBD">
        <w:t>ATC</w:t>
      </w:r>
      <w:r w:rsidR="00826BE5" w:rsidRPr="00953CBD">
        <w:t>-</w:t>
      </w:r>
      <w:r w:rsidR="00E720E0" w:rsidRPr="00953CBD">
        <w:t>ATC</w:t>
      </w:r>
      <w:r w:rsidR="00826BE5" w:rsidRPr="00953CBD">
        <w:t>-</w:t>
      </w:r>
      <w:r w:rsidR="00E720E0" w:rsidRPr="00953CBD">
        <w:t>CAA</w:t>
      </w:r>
      <w:r w:rsidR="00826BE5" w:rsidRPr="00953CBD">
        <w:t>-</w:t>
      </w:r>
      <w:r w:rsidR="00E720E0" w:rsidRPr="00953CBD">
        <w:t>GAC</w:t>
      </w:r>
      <w:r w:rsidR="00826BE5" w:rsidRPr="00953CBD">
        <w:t>-</w:t>
      </w:r>
      <w:r w:rsidR="00E720E0" w:rsidRPr="00953CBD">
        <w:t>ATC</w:t>
      </w:r>
      <w:r w:rsidR="00826BE5" w:rsidRPr="00953CBD">
        <w:t>-</w:t>
      </w:r>
      <w:r w:rsidR="00E720E0" w:rsidRPr="00953CBD">
        <w:t>A-3’) and</w:t>
      </w:r>
      <w:r w:rsidR="00AE41C8" w:rsidRPr="00953CBD">
        <w:t xml:space="preserve"> r</w:t>
      </w:r>
      <w:r w:rsidR="00E720E0" w:rsidRPr="00953CBD">
        <w:t>everse (5’-GCT</w:t>
      </w:r>
      <w:r w:rsidR="00826BE5" w:rsidRPr="00953CBD">
        <w:t>-</w:t>
      </w:r>
      <w:r w:rsidR="00E720E0" w:rsidRPr="00953CBD">
        <w:t>CTC</w:t>
      </w:r>
      <w:r w:rsidR="00826BE5" w:rsidRPr="00953CBD">
        <w:t>-</w:t>
      </w:r>
      <w:r w:rsidR="00E720E0" w:rsidRPr="00953CBD">
        <w:t>TCG</w:t>
      </w:r>
      <w:r w:rsidR="00826BE5" w:rsidRPr="00953CBD">
        <w:t>-</w:t>
      </w:r>
      <w:r w:rsidR="00E720E0" w:rsidRPr="00953CBD">
        <w:t>AGT</w:t>
      </w:r>
      <w:r w:rsidR="00826BE5" w:rsidRPr="00953CBD">
        <w:t>-</w:t>
      </w:r>
      <w:r w:rsidR="00E720E0" w:rsidRPr="00953CBD">
        <w:t>AAG</w:t>
      </w:r>
      <w:r w:rsidR="00826BE5" w:rsidRPr="00953CBD">
        <w:t>-</w:t>
      </w:r>
      <w:r w:rsidR="00E720E0" w:rsidRPr="00953CBD">
        <w:t>AAT</w:t>
      </w:r>
      <w:r w:rsidR="00826BE5" w:rsidRPr="00953CBD">
        <w:t>-</w:t>
      </w:r>
      <w:r w:rsidR="00E720E0" w:rsidRPr="00953CBD">
        <w:t>GAG</w:t>
      </w:r>
      <w:r w:rsidR="00826BE5" w:rsidRPr="00953CBD">
        <w:t>-</w:t>
      </w:r>
      <w:r w:rsidR="00E720E0" w:rsidRPr="00953CBD">
        <w:t>TAC</w:t>
      </w:r>
      <w:r w:rsidR="00826BE5" w:rsidRPr="00953CBD">
        <w:t>-</w:t>
      </w:r>
      <w:r w:rsidR="00E720E0" w:rsidRPr="00953CBD">
        <w:t>A-3’) primer</w:t>
      </w:r>
      <w:r w:rsidR="00AE41C8" w:rsidRPr="00953CBD">
        <w:t xml:space="preserve">s and the </w:t>
      </w:r>
      <w:r w:rsidR="000B544A" w:rsidRPr="00953CBD">
        <w:t xml:space="preserve">resultant </w:t>
      </w:r>
      <w:r w:rsidR="00AE41C8" w:rsidRPr="00953CBD">
        <w:t>amplicons are</w:t>
      </w:r>
      <w:r w:rsidR="00E720E0" w:rsidRPr="00953CBD">
        <w:t xml:space="preserve"> </w:t>
      </w:r>
      <w:r w:rsidR="000B544A" w:rsidRPr="00953CBD">
        <w:t xml:space="preserve">separated by electrophoresis through 0.8% agarose gels, stained with </w:t>
      </w:r>
      <w:r w:rsidR="00474220" w:rsidRPr="00953CBD">
        <w:t>an appropriate</w:t>
      </w:r>
      <w:r w:rsidR="000B544A" w:rsidRPr="00953CBD">
        <w:t xml:space="preserve"> nucleic acid stain and exposed to UV light for visualisation.</w:t>
      </w:r>
      <w:r w:rsidR="00E720E0" w:rsidRPr="00953CBD">
        <w:t xml:space="preserve"> The 50 </w:t>
      </w:r>
      <w:r w:rsidR="000B544A" w:rsidRPr="00953CBD">
        <w:t>µ</w:t>
      </w:r>
      <w:r w:rsidR="00E720E0" w:rsidRPr="00953CBD">
        <w:t xml:space="preserve">l </w:t>
      </w:r>
      <w:r w:rsidR="000B544A" w:rsidRPr="00953CBD">
        <w:t>amplification</w:t>
      </w:r>
      <w:r w:rsidR="00E720E0" w:rsidRPr="00953CBD">
        <w:t xml:space="preserve"> reaction contain</w:t>
      </w:r>
      <w:r w:rsidR="000B544A" w:rsidRPr="00953CBD">
        <w:t>s</w:t>
      </w:r>
      <w:r w:rsidR="00E720E0" w:rsidRPr="00953CBD">
        <w:t xml:space="preserve"> 200 </w:t>
      </w:r>
      <w:r w:rsidR="000B544A" w:rsidRPr="00953CBD">
        <w:t>µ</w:t>
      </w:r>
      <w:r w:rsidR="00E720E0" w:rsidRPr="00953CBD">
        <w:t xml:space="preserve">M each of </w:t>
      </w:r>
      <w:proofErr w:type="spellStart"/>
      <w:r w:rsidR="00E720E0" w:rsidRPr="00953CBD">
        <w:t>dATP</w:t>
      </w:r>
      <w:proofErr w:type="spellEnd"/>
      <w:r w:rsidR="00E720E0" w:rsidRPr="00953CBD">
        <w:t xml:space="preserve">, </w:t>
      </w:r>
      <w:proofErr w:type="spellStart"/>
      <w:r w:rsidR="00E720E0" w:rsidRPr="00953CBD">
        <w:t>dCTP</w:t>
      </w:r>
      <w:proofErr w:type="spellEnd"/>
      <w:r w:rsidR="00E720E0" w:rsidRPr="00953CBD">
        <w:t>,</w:t>
      </w:r>
      <w:r w:rsidR="000B544A" w:rsidRPr="00953CBD">
        <w:t xml:space="preserve"> </w:t>
      </w:r>
      <w:proofErr w:type="spellStart"/>
      <w:r w:rsidR="00E720E0" w:rsidRPr="00953CBD">
        <w:t>dGTP</w:t>
      </w:r>
      <w:proofErr w:type="spellEnd"/>
      <w:r w:rsidR="00E720E0" w:rsidRPr="00953CBD">
        <w:t xml:space="preserve"> and dTTP, 1</w:t>
      </w:r>
      <w:r w:rsidR="00341C19">
        <w:t> </w:t>
      </w:r>
      <w:r w:rsidR="000B544A" w:rsidRPr="00953CBD">
        <w:t>m</w:t>
      </w:r>
      <w:r w:rsidR="00E720E0" w:rsidRPr="00953CBD">
        <w:t>M MgCl</w:t>
      </w:r>
      <w:r w:rsidR="00E720E0" w:rsidRPr="00F37625">
        <w:rPr>
          <w:szCs w:val="14"/>
          <w:vertAlign w:val="subscript"/>
        </w:rPr>
        <w:t>2</w:t>
      </w:r>
      <w:r w:rsidR="00E720E0" w:rsidRPr="00953CBD">
        <w:t xml:space="preserve">, 250 </w:t>
      </w:r>
      <w:r w:rsidR="000B544A" w:rsidRPr="00953CBD">
        <w:t>µ</w:t>
      </w:r>
      <w:r w:rsidR="00E720E0" w:rsidRPr="00953CBD">
        <w:t xml:space="preserve">M each of the primers, 1 </w:t>
      </w:r>
      <w:r w:rsidR="000B544A" w:rsidRPr="00953CBD">
        <w:t>µ</w:t>
      </w:r>
      <w:r w:rsidR="00E720E0" w:rsidRPr="00953CBD">
        <w:t xml:space="preserve">l </w:t>
      </w:r>
      <w:r w:rsidR="002B6EBC" w:rsidRPr="00953CBD">
        <w:t>(2.5</w:t>
      </w:r>
      <w:r w:rsidR="008E63D8">
        <w:t> </w:t>
      </w:r>
      <w:r w:rsidR="002B6EBC" w:rsidRPr="00953CBD">
        <w:t xml:space="preserve">units) </w:t>
      </w:r>
      <w:proofErr w:type="spellStart"/>
      <w:r w:rsidR="00E720E0" w:rsidRPr="00953CBD">
        <w:t>Taq</w:t>
      </w:r>
      <w:proofErr w:type="spellEnd"/>
      <w:r w:rsidR="000B544A" w:rsidRPr="00953CBD">
        <w:t xml:space="preserve"> </w:t>
      </w:r>
      <w:r w:rsidR="00E720E0" w:rsidRPr="00953CBD">
        <w:t xml:space="preserve">DNA polymerase, 5 </w:t>
      </w:r>
      <w:r w:rsidR="000B544A" w:rsidRPr="00953CBD">
        <w:t>µ</w:t>
      </w:r>
      <w:r w:rsidR="00E720E0" w:rsidRPr="00953CBD">
        <w:t>l of 10</w:t>
      </w:r>
      <w:r w:rsidR="00341C19">
        <w:t> </w:t>
      </w:r>
      <w:r w:rsidR="00826BE5" w:rsidRPr="00953CBD">
        <w:t>×</w:t>
      </w:r>
      <w:r w:rsidR="00E720E0" w:rsidRPr="00953CBD">
        <w:t xml:space="preserve"> </w:t>
      </w:r>
      <w:proofErr w:type="spellStart"/>
      <w:r w:rsidR="00E720E0" w:rsidRPr="00953CBD">
        <w:t>Taq</w:t>
      </w:r>
      <w:proofErr w:type="spellEnd"/>
      <w:r w:rsidR="00E720E0" w:rsidRPr="00953CBD">
        <w:t xml:space="preserve"> DNA polymerase buffer</w:t>
      </w:r>
      <w:r w:rsidR="000B544A" w:rsidRPr="00953CBD">
        <w:t xml:space="preserve"> </w:t>
      </w:r>
      <w:r w:rsidR="00E720E0" w:rsidRPr="00953CBD">
        <w:t xml:space="preserve">and 5 </w:t>
      </w:r>
      <w:r w:rsidR="000B544A" w:rsidRPr="00953CBD">
        <w:t>µ</w:t>
      </w:r>
      <w:r w:rsidR="00E720E0" w:rsidRPr="00953CBD">
        <w:t xml:space="preserve">l extracted DNA as template. The reaction mixture </w:t>
      </w:r>
      <w:r w:rsidR="002B6EBC" w:rsidRPr="00953CBD">
        <w:t>should be</w:t>
      </w:r>
      <w:r w:rsidR="00E720E0" w:rsidRPr="00953CBD">
        <w:t xml:space="preserve"> incubated</w:t>
      </w:r>
      <w:r w:rsidR="000B544A" w:rsidRPr="00953CBD">
        <w:t xml:space="preserve"> </w:t>
      </w:r>
      <w:r w:rsidR="00E720E0" w:rsidRPr="00953CBD">
        <w:t>at 94</w:t>
      </w:r>
      <w:r w:rsidR="002B6EBC" w:rsidRPr="00953CBD">
        <w:t>°</w:t>
      </w:r>
      <w:r w:rsidR="00E720E0" w:rsidRPr="00953CBD">
        <w:t>C for 3</w:t>
      </w:r>
      <w:r w:rsidR="008E63D8">
        <w:t> </w:t>
      </w:r>
      <w:r w:rsidR="00E720E0" w:rsidRPr="00953CBD">
        <w:t>min</w:t>
      </w:r>
      <w:r w:rsidR="00826BE5" w:rsidRPr="00953CBD">
        <w:t>utes, then subjected to 35 </w:t>
      </w:r>
      <w:r w:rsidR="00E720E0" w:rsidRPr="00953CBD">
        <w:t>cycles of 94</w:t>
      </w:r>
      <w:r w:rsidR="002B6EBC" w:rsidRPr="00953CBD">
        <w:t>°</w:t>
      </w:r>
      <w:r w:rsidR="00E720E0" w:rsidRPr="00953CBD">
        <w:t>C for 15</w:t>
      </w:r>
      <w:r w:rsidR="00341C19">
        <w:t> </w:t>
      </w:r>
      <w:r w:rsidR="00E720E0" w:rsidRPr="00953CBD">
        <w:t>sec</w:t>
      </w:r>
      <w:r w:rsidR="00826BE5" w:rsidRPr="00953CBD">
        <w:t>onds</w:t>
      </w:r>
      <w:r w:rsidR="00E720E0" w:rsidRPr="00953CBD">
        <w:t>, 60</w:t>
      </w:r>
      <w:r w:rsidR="002B6EBC" w:rsidRPr="00953CBD">
        <w:t>°</w:t>
      </w:r>
      <w:r w:rsidR="00E720E0" w:rsidRPr="00953CBD">
        <w:t>C for</w:t>
      </w:r>
      <w:r w:rsidR="000B544A" w:rsidRPr="00953CBD">
        <w:t xml:space="preserve"> </w:t>
      </w:r>
      <w:r w:rsidR="00E720E0" w:rsidRPr="00953CBD">
        <w:t xml:space="preserve">45 </w:t>
      </w:r>
      <w:r w:rsidR="00826BE5" w:rsidRPr="00953CBD">
        <w:t xml:space="preserve">seconds </w:t>
      </w:r>
      <w:r w:rsidR="00E720E0" w:rsidRPr="00953CBD">
        <w:t>and 72</w:t>
      </w:r>
      <w:r w:rsidR="002B6EBC" w:rsidRPr="00953CBD">
        <w:t>°</w:t>
      </w:r>
      <w:r w:rsidR="00E720E0" w:rsidRPr="00953CBD">
        <w:t xml:space="preserve">C for 150 </w:t>
      </w:r>
      <w:r w:rsidR="00826BE5" w:rsidRPr="00953CBD">
        <w:t>seconds</w:t>
      </w:r>
      <w:r w:rsidR="00E720E0" w:rsidRPr="00953CBD">
        <w:t>, and finally incubated at 72</w:t>
      </w:r>
      <w:r w:rsidR="002B6EBC" w:rsidRPr="00953CBD">
        <w:t>°</w:t>
      </w:r>
      <w:r w:rsidR="00E720E0" w:rsidRPr="00953CBD">
        <w:t>C for 3 min</w:t>
      </w:r>
      <w:r w:rsidR="00826BE5" w:rsidRPr="00953CBD">
        <w:t>utes</w:t>
      </w:r>
      <w:r w:rsidR="00E720E0" w:rsidRPr="00953CBD">
        <w:t>.</w:t>
      </w:r>
      <w:r w:rsidR="000B544A" w:rsidRPr="00953CBD">
        <w:t xml:space="preserve"> </w:t>
      </w:r>
      <w:r w:rsidR="00E720E0" w:rsidRPr="00953CBD">
        <w:t>In each series of PCRs, a control tube containing sterile distilled H</w:t>
      </w:r>
      <w:r w:rsidR="00826BE5" w:rsidRPr="00F37625">
        <w:rPr>
          <w:szCs w:val="14"/>
          <w:vertAlign w:val="subscript"/>
        </w:rPr>
        <w:t>2</w:t>
      </w:r>
      <w:r w:rsidR="00E720E0" w:rsidRPr="00953CBD">
        <w:t>O,</w:t>
      </w:r>
      <w:r w:rsidR="000B544A" w:rsidRPr="00953CBD">
        <w:t xml:space="preserve"> </w:t>
      </w:r>
      <w:r w:rsidR="00E720E0" w:rsidRPr="00953CBD">
        <w:t xml:space="preserve">instead of extracted DNA, </w:t>
      </w:r>
      <w:r w:rsidR="002B6EBC" w:rsidRPr="00953CBD">
        <w:t>should be</w:t>
      </w:r>
      <w:r w:rsidR="00E720E0" w:rsidRPr="00953CBD">
        <w:t xml:space="preserve"> included as a negative control.</w:t>
      </w:r>
      <w:r w:rsidR="00DA5D14" w:rsidRPr="00953CBD">
        <w:t xml:space="preserve"> </w:t>
      </w:r>
    </w:p>
    <w:p w14:paraId="0A506C07" w14:textId="4C158170" w:rsidR="00474220" w:rsidRPr="00953CBD" w:rsidRDefault="00474220" w:rsidP="00474220">
      <w:pPr>
        <w:pStyle w:val="afourthpara"/>
        <w:rPr>
          <w:lang w:val="en-US"/>
        </w:rPr>
      </w:pPr>
      <w:r w:rsidRPr="00953CBD">
        <w:t xml:space="preserve">Another protocol that has been used in veterinary diagnostic laboratories around the world for the detection and preliminary typing of the virus involves the amplification of two regions of the ICP4 gene. </w:t>
      </w:r>
      <w:r w:rsidRPr="00953CBD">
        <w:rPr>
          <w:lang w:val="en-US"/>
        </w:rPr>
        <w:t>Primers ICP4-1F (5</w:t>
      </w:r>
      <w:r w:rsidRPr="00953CBD">
        <w:rPr>
          <w:bCs/>
          <w:lang w:val="en-US"/>
        </w:rPr>
        <w:t>’</w:t>
      </w:r>
      <w:r w:rsidRPr="00953CBD">
        <w:rPr>
          <w:lang w:val="en-US"/>
        </w:rPr>
        <w:t>-ACT</w:t>
      </w:r>
      <w:r w:rsidR="00FE165E" w:rsidRPr="00953CBD">
        <w:rPr>
          <w:lang w:val="en-US"/>
        </w:rPr>
        <w:t>-</w:t>
      </w:r>
      <w:r w:rsidRPr="00953CBD">
        <w:rPr>
          <w:lang w:val="en-US"/>
        </w:rPr>
        <w:t>GAT</w:t>
      </w:r>
      <w:r w:rsidR="00FE165E" w:rsidRPr="00953CBD">
        <w:rPr>
          <w:lang w:val="en-US"/>
        </w:rPr>
        <w:t>-</w:t>
      </w:r>
      <w:r w:rsidRPr="00953CBD">
        <w:rPr>
          <w:lang w:val="en-US"/>
        </w:rPr>
        <w:t>AGC</w:t>
      </w:r>
      <w:r w:rsidR="00FE165E" w:rsidRPr="00953CBD">
        <w:rPr>
          <w:lang w:val="en-US"/>
        </w:rPr>
        <w:t>-</w:t>
      </w:r>
      <w:r w:rsidRPr="00953CBD">
        <w:rPr>
          <w:lang w:val="en-US"/>
        </w:rPr>
        <w:t>TTT</w:t>
      </w:r>
      <w:r w:rsidR="00FE165E" w:rsidRPr="00953CBD">
        <w:rPr>
          <w:lang w:val="en-US"/>
        </w:rPr>
        <w:t>-</w:t>
      </w:r>
      <w:r w:rsidRPr="00953CBD">
        <w:rPr>
          <w:lang w:val="en-US"/>
        </w:rPr>
        <w:t>TCG</w:t>
      </w:r>
      <w:r w:rsidR="00FE165E" w:rsidRPr="00953CBD">
        <w:rPr>
          <w:lang w:val="en-US"/>
        </w:rPr>
        <w:t>-</w:t>
      </w:r>
      <w:r w:rsidRPr="00953CBD">
        <w:rPr>
          <w:lang w:val="en-US"/>
        </w:rPr>
        <w:t>TAC</w:t>
      </w:r>
      <w:r w:rsidR="00FE165E" w:rsidRPr="00953CBD">
        <w:rPr>
          <w:lang w:val="en-US"/>
        </w:rPr>
        <w:t>-</w:t>
      </w:r>
      <w:r w:rsidRPr="00953CBD">
        <w:rPr>
          <w:lang w:val="en-US"/>
        </w:rPr>
        <w:t>AGC</w:t>
      </w:r>
      <w:r w:rsidR="00FE165E" w:rsidRPr="00953CBD">
        <w:rPr>
          <w:lang w:val="en-US"/>
        </w:rPr>
        <w:t>-</w:t>
      </w:r>
      <w:r w:rsidRPr="00953CBD">
        <w:rPr>
          <w:lang w:val="en-US"/>
        </w:rPr>
        <w:t>ACG-3’) and ICP4-1R (5</w:t>
      </w:r>
      <w:r w:rsidRPr="0065732F">
        <w:rPr>
          <w:bCs/>
          <w:lang w:val="en-US"/>
        </w:rPr>
        <w:t>’</w:t>
      </w:r>
      <w:r w:rsidRPr="00953CBD">
        <w:rPr>
          <w:lang w:val="en-US"/>
        </w:rPr>
        <w:t>-CAT-CGG-GAC-ATT-CTC-CAG-GTA-GCA-3’</w:t>
      </w:r>
      <w:r w:rsidRPr="00953CBD">
        <w:rPr>
          <w:bCs/>
          <w:lang w:val="en-US"/>
        </w:rPr>
        <w:t>) amplify a 688 bp fragment at position 181 to 869</w:t>
      </w:r>
      <w:r w:rsidRPr="00F37625">
        <w:rPr>
          <w:rStyle w:val="Appelnotedebasdep"/>
          <w:bCs/>
          <w:lang w:val="en-US"/>
        </w:rPr>
        <w:footnoteReference w:id="2"/>
      </w:r>
      <w:r w:rsidRPr="00953CBD">
        <w:rPr>
          <w:bCs/>
          <w:lang w:val="en-US"/>
        </w:rPr>
        <w:t>;</w:t>
      </w:r>
      <w:r w:rsidRPr="00953CBD">
        <w:rPr>
          <w:lang w:val="en-US"/>
        </w:rPr>
        <w:t xml:space="preserve"> ICP4-2F (5’-CTT-CAG-ACT-CCA-GCT-CAT-CTG-3’) and ICP4-2R (5’-AGT</w:t>
      </w:r>
      <w:r w:rsidR="00FE165E" w:rsidRPr="00953CBD">
        <w:rPr>
          <w:lang w:val="en-US"/>
        </w:rPr>
        <w:t>-</w:t>
      </w:r>
      <w:r w:rsidRPr="00953CBD">
        <w:rPr>
          <w:lang w:val="en-US"/>
        </w:rPr>
        <w:t>CAT</w:t>
      </w:r>
      <w:r w:rsidR="00FE165E" w:rsidRPr="00953CBD">
        <w:rPr>
          <w:lang w:val="en-US"/>
        </w:rPr>
        <w:t>-</w:t>
      </w:r>
      <w:r w:rsidRPr="00953CBD">
        <w:rPr>
          <w:lang w:val="en-US"/>
        </w:rPr>
        <w:t>GCG</w:t>
      </w:r>
      <w:r w:rsidR="00FE165E" w:rsidRPr="00953CBD">
        <w:rPr>
          <w:lang w:val="en-US"/>
        </w:rPr>
        <w:t>-</w:t>
      </w:r>
      <w:r w:rsidRPr="00953CBD">
        <w:rPr>
          <w:lang w:val="en-US"/>
        </w:rPr>
        <w:t>TCT</w:t>
      </w:r>
      <w:r w:rsidR="00FE165E" w:rsidRPr="00953CBD">
        <w:rPr>
          <w:lang w:val="en-US"/>
        </w:rPr>
        <w:t>-</w:t>
      </w:r>
      <w:r w:rsidRPr="00953CBD">
        <w:rPr>
          <w:lang w:val="en-US"/>
        </w:rPr>
        <w:t>ATG</w:t>
      </w:r>
      <w:r w:rsidR="00FE165E" w:rsidRPr="00953CBD">
        <w:rPr>
          <w:lang w:val="en-US"/>
        </w:rPr>
        <w:t>-</w:t>
      </w:r>
      <w:r w:rsidRPr="00953CBD">
        <w:rPr>
          <w:lang w:val="en-US"/>
        </w:rPr>
        <w:t>GCG</w:t>
      </w:r>
      <w:r w:rsidR="00FE165E" w:rsidRPr="00953CBD">
        <w:rPr>
          <w:lang w:val="en-US"/>
        </w:rPr>
        <w:t>-</w:t>
      </w:r>
      <w:r w:rsidRPr="00953CBD">
        <w:rPr>
          <w:lang w:val="en-US"/>
        </w:rPr>
        <w:t>TTG</w:t>
      </w:r>
      <w:r w:rsidR="00FE165E" w:rsidRPr="00953CBD">
        <w:rPr>
          <w:lang w:val="en-US"/>
        </w:rPr>
        <w:t>-</w:t>
      </w:r>
      <w:r w:rsidRPr="00953CBD">
        <w:rPr>
          <w:lang w:val="en-US"/>
        </w:rPr>
        <w:t>AC-3’) amplify a 635 bp fragment at position 3804 to 4440</w:t>
      </w:r>
      <w:r w:rsidR="00707C91" w:rsidRPr="00F37625">
        <w:rPr>
          <w:rStyle w:val="Appelnotedebasdep"/>
          <w:bCs/>
          <w:lang w:val="en-US"/>
        </w:rPr>
        <w:footnoteReference w:id="3"/>
      </w:r>
      <w:r w:rsidRPr="00953CBD">
        <w:rPr>
          <w:lang w:val="en-US"/>
        </w:rPr>
        <w:t>. Full details of these PCRs are provided by Chacon &amp; Ferreira</w:t>
      </w:r>
      <w:r w:rsidR="00DC010A" w:rsidRPr="00953CBD">
        <w:rPr>
          <w:lang w:val="en-US"/>
        </w:rPr>
        <w:t xml:space="preserve"> (</w:t>
      </w:r>
      <w:r w:rsidRPr="00953CBD">
        <w:rPr>
          <w:lang w:val="en-US"/>
        </w:rPr>
        <w:t>2009</w:t>
      </w:r>
      <w:r w:rsidR="00DC010A" w:rsidRPr="00953CBD">
        <w:rPr>
          <w:lang w:val="en-US"/>
        </w:rPr>
        <w:t>)</w:t>
      </w:r>
      <w:r w:rsidRPr="00953CBD">
        <w:rPr>
          <w:lang w:val="en-US"/>
        </w:rPr>
        <w:t>.</w:t>
      </w:r>
    </w:p>
    <w:p w14:paraId="45E6FB66" w14:textId="13A557DF" w:rsidR="00A64257" w:rsidRPr="00953CBD" w:rsidRDefault="00537DD5" w:rsidP="00E720E0">
      <w:pPr>
        <w:pStyle w:val="afourthpara"/>
      </w:pPr>
      <w:r w:rsidRPr="009A4E3C">
        <w:rPr>
          <w:strike/>
        </w:rPr>
        <w:t xml:space="preserve">A </w:t>
      </w:r>
      <w:r w:rsidR="00F74474" w:rsidRPr="009A4E3C">
        <w:rPr>
          <w:u w:val="double"/>
        </w:rPr>
        <w:t>T</w:t>
      </w:r>
      <w:r w:rsidR="008E3CBE" w:rsidRPr="009A4E3C">
        <w:rPr>
          <w:u w:val="double"/>
        </w:rPr>
        <w:t>he</w:t>
      </w:r>
      <w:r w:rsidR="008E3CBE" w:rsidRPr="00953CBD">
        <w:t xml:space="preserve"> </w:t>
      </w:r>
      <w:r w:rsidRPr="00953CBD">
        <w:t xml:space="preserve">real-time PCR protocol </w:t>
      </w:r>
      <w:r w:rsidR="0001109F" w:rsidRPr="00953CBD">
        <w:t xml:space="preserve">described by </w:t>
      </w:r>
      <w:proofErr w:type="spellStart"/>
      <w:r w:rsidR="0001109F" w:rsidRPr="00953CBD">
        <w:t>Mahmoudian</w:t>
      </w:r>
      <w:proofErr w:type="spellEnd"/>
      <w:r w:rsidR="0001109F" w:rsidRPr="00953CBD">
        <w:t xml:space="preserve"> </w:t>
      </w:r>
      <w:r w:rsidR="0001109F" w:rsidRPr="00953CBD">
        <w:rPr>
          <w:i/>
        </w:rPr>
        <w:t>et al</w:t>
      </w:r>
      <w:r w:rsidR="0001109F" w:rsidRPr="00953CBD">
        <w:t>.</w:t>
      </w:r>
      <w:r w:rsidRPr="00953CBD">
        <w:t xml:space="preserve"> </w:t>
      </w:r>
      <w:r w:rsidR="0001109F" w:rsidRPr="00953CBD">
        <w:t xml:space="preserve">(2011) </w:t>
      </w:r>
      <w:r w:rsidR="004A636E" w:rsidRPr="00953CBD">
        <w:t xml:space="preserve">can </w:t>
      </w:r>
      <w:r w:rsidRPr="00953CBD">
        <w:t xml:space="preserve">also </w:t>
      </w:r>
      <w:r w:rsidR="004A636E" w:rsidRPr="00953CBD">
        <w:t>be used</w:t>
      </w:r>
      <w:r w:rsidRPr="00953CBD">
        <w:t xml:space="preserve"> as a conventional PCR </w:t>
      </w:r>
      <w:r w:rsidR="003C2CE1" w:rsidRPr="009A4E3C">
        <w:rPr>
          <w:strike/>
        </w:rPr>
        <w:t>and</w:t>
      </w:r>
      <w:r w:rsidR="004A636E" w:rsidRPr="009A4E3C">
        <w:rPr>
          <w:strike/>
        </w:rPr>
        <w:t xml:space="preserve"> </w:t>
      </w:r>
      <w:r w:rsidR="00F74474" w:rsidRPr="009A4E3C">
        <w:rPr>
          <w:u w:val="double"/>
        </w:rPr>
        <w:t>with</w:t>
      </w:r>
      <w:r w:rsidR="00F74474" w:rsidRPr="00953CBD">
        <w:t xml:space="preserve"> </w:t>
      </w:r>
      <w:r w:rsidR="004A636E" w:rsidRPr="00953CBD">
        <w:t xml:space="preserve">the final products </w:t>
      </w:r>
      <w:r w:rsidR="003C2CE1" w:rsidRPr="00953CBD">
        <w:t>can</w:t>
      </w:r>
      <w:r w:rsidR="004A636E" w:rsidRPr="00953CBD">
        <w:t xml:space="preserve"> be examined by electrophoresis through 2% agarose gels</w:t>
      </w:r>
      <w:r w:rsidR="001F33E7" w:rsidRPr="00953CBD">
        <w:t>.</w:t>
      </w:r>
    </w:p>
    <w:p w14:paraId="4947556A" w14:textId="77777777" w:rsidR="00A64257" w:rsidRPr="00953CBD" w:rsidRDefault="0019475C" w:rsidP="00707C91">
      <w:pPr>
        <w:pStyle w:val="i"/>
        <w:keepNext/>
      </w:pPr>
      <w:r w:rsidRPr="00953CBD">
        <w:t>ii)</w:t>
      </w:r>
      <w:r w:rsidRPr="00953CBD">
        <w:tab/>
      </w:r>
      <w:r w:rsidR="00A64257" w:rsidRPr="0065732F">
        <w:rPr>
          <w:iCs/>
        </w:rPr>
        <w:t>Real-time PCR</w:t>
      </w:r>
    </w:p>
    <w:p w14:paraId="50A4A9C9" w14:textId="7448A5AC" w:rsidR="00B718DE" w:rsidRPr="00953CBD" w:rsidRDefault="006F15F4" w:rsidP="00004846">
      <w:pPr>
        <w:pStyle w:val="afourthpara"/>
      </w:pPr>
      <w:r w:rsidRPr="00953CBD">
        <w:t>R</w:t>
      </w:r>
      <w:r w:rsidR="00A64257" w:rsidRPr="00953CBD">
        <w:t>eal-time PCR assay</w:t>
      </w:r>
      <w:r w:rsidRPr="00953CBD">
        <w:t>s</w:t>
      </w:r>
      <w:r w:rsidR="00A64257" w:rsidRPr="00953CBD">
        <w:t xml:space="preserve"> </w:t>
      </w:r>
      <w:r w:rsidRPr="00953CBD">
        <w:t xml:space="preserve">have </w:t>
      </w:r>
      <w:r w:rsidR="00A64257" w:rsidRPr="00953CBD">
        <w:t xml:space="preserve">been described for </w:t>
      </w:r>
      <w:r w:rsidR="001F33E7" w:rsidRPr="00953CBD">
        <w:t>ILTV</w:t>
      </w:r>
      <w:r w:rsidR="00A64257" w:rsidRPr="00953CBD">
        <w:t xml:space="preserve"> (</w:t>
      </w:r>
      <w:proofErr w:type="spellStart"/>
      <w:r w:rsidR="002E3B67" w:rsidRPr="00953CBD">
        <w:t>Creelan</w:t>
      </w:r>
      <w:proofErr w:type="spellEnd"/>
      <w:r w:rsidR="002E3B67" w:rsidRPr="00953CBD">
        <w:t xml:space="preserve"> </w:t>
      </w:r>
      <w:r w:rsidR="007E6C76" w:rsidRPr="00953CBD">
        <w:rPr>
          <w:i/>
        </w:rPr>
        <w:t>et al</w:t>
      </w:r>
      <w:r w:rsidR="002E3B67" w:rsidRPr="00953CBD">
        <w:t>., 2006</w:t>
      </w:r>
      <w:r w:rsidRPr="00953CBD">
        <w:t xml:space="preserve">; </w:t>
      </w:r>
      <w:proofErr w:type="spellStart"/>
      <w:r w:rsidRPr="00953CBD">
        <w:t>Mahmoudian</w:t>
      </w:r>
      <w:proofErr w:type="spellEnd"/>
      <w:r w:rsidRPr="00953CBD">
        <w:t xml:space="preserve"> </w:t>
      </w:r>
      <w:r w:rsidRPr="00953CBD">
        <w:rPr>
          <w:i/>
        </w:rPr>
        <w:t>et al.</w:t>
      </w:r>
      <w:r w:rsidRPr="00953CBD">
        <w:t>, 2011</w:t>
      </w:r>
      <w:r w:rsidR="00A64257" w:rsidRPr="00953CBD">
        <w:t>). T</w:t>
      </w:r>
      <w:r w:rsidRPr="00953CBD">
        <w:t>hese</w:t>
      </w:r>
      <w:r w:rsidR="00A64257" w:rsidRPr="00953CBD">
        <w:t xml:space="preserve"> </w:t>
      </w:r>
      <w:r w:rsidRPr="00953CBD">
        <w:t xml:space="preserve">have </w:t>
      </w:r>
      <w:r w:rsidR="00A64257" w:rsidRPr="00953CBD">
        <w:t xml:space="preserve">the advantage that </w:t>
      </w:r>
      <w:r w:rsidR="00C34B09" w:rsidRPr="00953CBD">
        <w:t xml:space="preserve">they </w:t>
      </w:r>
      <w:r w:rsidR="00A64257" w:rsidRPr="00953CBD">
        <w:t>can be conducted in less than 2</w:t>
      </w:r>
      <w:r w:rsidR="001F33E7" w:rsidRPr="00953CBD">
        <w:t> </w:t>
      </w:r>
      <w:r w:rsidR="00A64257" w:rsidRPr="00953CBD">
        <w:t>h</w:t>
      </w:r>
      <w:r w:rsidR="001F33E7" w:rsidRPr="00953CBD">
        <w:t>ours</w:t>
      </w:r>
      <w:r w:rsidR="0018136E" w:rsidRPr="00953CBD">
        <w:t xml:space="preserve"> and</w:t>
      </w:r>
      <w:r w:rsidR="00A64257" w:rsidRPr="00953CBD">
        <w:t xml:space="preserve"> therefore provide a very rapid method of ILT diagnosis in comparison with traditional virus isolation, or even the standard PCR fo</w:t>
      </w:r>
      <w:r w:rsidR="001F33E7" w:rsidRPr="00953CBD">
        <w:t>llowed by gel electrophoresis.</w:t>
      </w:r>
      <w:r w:rsidR="00136B3D" w:rsidRPr="00953CBD">
        <w:t xml:space="preserve"> </w:t>
      </w:r>
      <w:r w:rsidR="00054580" w:rsidRPr="00953CBD">
        <w:t>The following protocol can</w:t>
      </w:r>
      <w:r w:rsidR="00136B3D" w:rsidRPr="00953CBD">
        <w:t xml:space="preserve"> </w:t>
      </w:r>
      <w:r w:rsidR="00054580" w:rsidRPr="00953CBD">
        <w:t>be</w:t>
      </w:r>
      <w:r w:rsidR="00136B3D" w:rsidRPr="00953CBD">
        <w:t xml:space="preserve"> used for rapid detection of ILTV in clinical specimens</w:t>
      </w:r>
      <w:r w:rsidR="002171EF" w:rsidRPr="00953CBD">
        <w:t>. F</w:t>
      </w:r>
      <w:r w:rsidR="00136B3D" w:rsidRPr="00953CBD">
        <w:t xml:space="preserve">ull details of </w:t>
      </w:r>
      <w:r w:rsidR="00054580" w:rsidRPr="00953CBD">
        <w:t>the methodology</w:t>
      </w:r>
      <w:r w:rsidR="00136B3D" w:rsidRPr="00953CBD">
        <w:t xml:space="preserve"> are provided in </w:t>
      </w:r>
      <w:proofErr w:type="spellStart"/>
      <w:r w:rsidR="009A6D31" w:rsidRPr="00953CBD">
        <w:t>Callison</w:t>
      </w:r>
      <w:proofErr w:type="spellEnd"/>
      <w:r w:rsidR="00136B3D" w:rsidRPr="00953CBD">
        <w:t xml:space="preserve"> </w:t>
      </w:r>
      <w:r w:rsidR="00136B3D" w:rsidRPr="00953CBD">
        <w:rPr>
          <w:i/>
        </w:rPr>
        <w:t>et al.</w:t>
      </w:r>
      <w:r w:rsidR="00136B3D" w:rsidRPr="00953CBD">
        <w:t xml:space="preserve"> (20</w:t>
      </w:r>
      <w:r w:rsidR="009A6D31" w:rsidRPr="00953CBD">
        <w:t>07</w:t>
      </w:r>
      <w:r w:rsidR="00136B3D" w:rsidRPr="00953CBD">
        <w:t>)</w:t>
      </w:r>
      <w:r w:rsidR="00826BE5" w:rsidRPr="00953CBD">
        <w:t>. In</w:t>
      </w:r>
      <w:r w:rsidR="0055087F" w:rsidRPr="00953CBD">
        <w:t xml:space="preserve"> brief, two oligonucleotide primers, </w:t>
      </w:r>
      <w:r w:rsidR="009A6D31" w:rsidRPr="00953CBD">
        <w:t>ILTVgCU771</w:t>
      </w:r>
      <w:r w:rsidR="0055087F" w:rsidRPr="00953CBD">
        <w:t xml:space="preserve"> (5’-</w:t>
      </w:r>
      <w:r w:rsidR="009A6D31" w:rsidRPr="00953CBD">
        <w:t>CCT</w:t>
      </w:r>
      <w:r w:rsidR="00826BE5" w:rsidRPr="00953CBD">
        <w:t>-</w:t>
      </w:r>
      <w:r w:rsidR="009A6D31" w:rsidRPr="00953CBD">
        <w:t>TGC</w:t>
      </w:r>
      <w:r w:rsidR="00826BE5" w:rsidRPr="00953CBD">
        <w:t>-</w:t>
      </w:r>
      <w:r w:rsidR="009A6D31" w:rsidRPr="00953CBD">
        <w:t>GTT</w:t>
      </w:r>
      <w:r w:rsidR="00826BE5" w:rsidRPr="00953CBD">
        <w:t>-</w:t>
      </w:r>
      <w:r w:rsidR="009A6D31" w:rsidRPr="00953CBD">
        <w:t>TGA</w:t>
      </w:r>
      <w:r w:rsidR="00826BE5" w:rsidRPr="00953CBD">
        <w:t>-</w:t>
      </w:r>
      <w:r w:rsidR="009A6D31" w:rsidRPr="00953CBD">
        <w:t>ATT</w:t>
      </w:r>
      <w:r w:rsidR="00826BE5" w:rsidRPr="00953CBD">
        <w:t>-</w:t>
      </w:r>
      <w:r w:rsidR="009A6D31" w:rsidRPr="00953CBD">
        <w:t>TTT</w:t>
      </w:r>
      <w:r w:rsidR="00826BE5" w:rsidRPr="00953CBD">
        <w:t>-</w:t>
      </w:r>
      <w:r w:rsidR="009A6D31" w:rsidRPr="00953CBD">
        <w:t>CTG</w:t>
      </w:r>
      <w:r w:rsidR="00826BE5" w:rsidRPr="00953CBD">
        <w:t>-</w:t>
      </w:r>
      <w:r w:rsidR="009A6D31" w:rsidRPr="00953CBD">
        <w:t>T</w:t>
      </w:r>
      <w:r w:rsidR="0055087F" w:rsidRPr="00953CBD">
        <w:t xml:space="preserve">-3’) and </w:t>
      </w:r>
      <w:r w:rsidR="009A6D31" w:rsidRPr="00953CBD">
        <w:t>ILTVgCL873</w:t>
      </w:r>
      <w:r w:rsidR="0055087F" w:rsidRPr="00953CBD">
        <w:t xml:space="preserve"> (5’-</w:t>
      </w:r>
      <w:r w:rsidR="009A6D31" w:rsidRPr="00953CBD">
        <w:t>TTC</w:t>
      </w:r>
      <w:r w:rsidR="00826BE5" w:rsidRPr="00953CBD">
        <w:t>-</w:t>
      </w:r>
      <w:r w:rsidR="009A6D31" w:rsidRPr="00953CBD">
        <w:t>GTG</w:t>
      </w:r>
      <w:r w:rsidR="00826BE5" w:rsidRPr="00953CBD">
        <w:t>-</w:t>
      </w:r>
      <w:r w:rsidR="009A6D31" w:rsidRPr="00953CBD">
        <w:t>GGT</w:t>
      </w:r>
      <w:r w:rsidR="00826BE5" w:rsidRPr="00953CBD">
        <w:t>-</w:t>
      </w:r>
      <w:r w:rsidR="009A6D31" w:rsidRPr="00953CBD">
        <w:t>TAG</w:t>
      </w:r>
      <w:r w:rsidR="00826BE5" w:rsidRPr="00953CBD">
        <w:t>-</w:t>
      </w:r>
      <w:r w:rsidR="009A6D31" w:rsidRPr="00953CBD">
        <w:t>AGG</w:t>
      </w:r>
      <w:r w:rsidR="00826BE5" w:rsidRPr="00953CBD">
        <w:t>-</w:t>
      </w:r>
      <w:r w:rsidR="009A6D31" w:rsidRPr="00953CBD">
        <w:t>TCT</w:t>
      </w:r>
      <w:r w:rsidR="00826BE5" w:rsidRPr="00953CBD">
        <w:t>-</w:t>
      </w:r>
      <w:r w:rsidR="009A6D31" w:rsidRPr="00953CBD">
        <w:t>GT</w:t>
      </w:r>
      <w:r w:rsidR="0055087F" w:rsidRPr="00953CBD">
        <w:t>-3’), are used to amplify a 1</w:t>
      </w:r>
      <w:r w:rsidR="002D6811" w:rsidRPr="00953CBD">
        <w:t>0</w:t>
      </w:r>
      <w:r w:rsidR="0055087F" w:rsidRPr="00953CBD">
        <w:t>3</w:t>
      </w:r>
      <w:r w:rsidR="007A7296" w:rsidRPr="00953CBD">
        <w:t>-</w:t>
      </w:r>
      <w:r w:rsidR="0055087F" w:rsidRPr="00953CBD">
        <w:t xml:space="preserve">bp product from the ILTV </w:t>
      </w:r>
      <w:proofErr w:type="spellStart"/>
      <w:r w:rsidR="002D6811" w:rsidRPr="00953CBD">
        <w:t>gC</w:t>
      </w:r>
      <w:proofErr w:type="spellEnd"/>
      <w:r w:rsidR="0055087F" w:rsidRPr="00953CBD">
        <w:t xml:space="preserve"> gene.</w:t>
      </w:r>
      <w:r w:rsidR="00127F86" w:rsidRPr="00953CBD">
        <w:t xml:space="preserve"> A </w:t>
      </w:r>
      <w:proofErr w:type="spellStart"/>
      <w:r w:rsidR="00127F86" w:rsidRPr="009A779B">
        <w:rPr>
          <w:strike/>
        </w:rPr>
        <w:t>Taqman</w:t>
      </w:r>
      <w:proofErr w:type="spellEnd"/>
      <w:r w:rsidR="00127F86" w:rsidRPr="009A779B">
        <w:rPr>
          <w:strike/>
        </w:rPr>
        <w:t xml:space="preserve"> dual</w:t>
      </w:r>
      <w:r w:rsidR="009A779B">
        <w:rPr>
          <w:strike/>
        </w:rPr>
        <w:t xml:space="preserve"> </w:t>
      </w:r>
      <w:r w:rsidR="00AE619E" w:rsidRPr="009A779B">
        <w:rPr>
          <w:u w:val="double"/>
        </w:rPr>
        <w:t>flu</w:t>
      </w:r>
      <w:r w:rsidR="00374F5D" w:rsidRPr="009A779B">
        <w:rPr>
          <w:u w:val="double"/>
        </w:rPr>
        <w:t>orescent</w:t>
      </w:r>
      <w:r w:rsidR="00127F86" w:rsidRPr="00953CBD">
        <w:t>-labelled probe, ILTV</w:t>
      </w:r>
      <w:r w:rsidR="00707C91" w:rsidRPr="00953CBD">
        <w:t xml:space="preserve"> </w:t>
      </w:r>
      <w:r w:rsidR="00127F86" w:rsidRPr="00953CBD">
        <w:t>probe817 (5’-FAM-CAG</w:t>
      </w:r>
      <w:r w:rsidR="00826BE5" w:rsidRPr="00953CBD">
        <w:t>-</w:t>
      </w:r>
      <w:r w:rsidR="00127F86" w:rsidRPr="00953CBD">
        <w:t>CTC</w:t>
      </w:r>
      <w:r w:rsidR="00826BE5" w:rsidRPr="00953CBD">
        <w:t>-</w:t>
      </w:r>
      <w:r w:rsidR="00127F86" w:rsidRPr="00953CBD">
        <w:t>GGT</w:t>
      </w:r>
      <w:r w:rsidR="00826BE5" w:rsidRPr="00953CBD">
        <w:t>-</w:t>
      </w:r>
      <w:r w:rsidR="00127F86" w:rsidRPr="00953CBD">
        <w:t>GAC</w:t>
      </w:r>
      <w:r w:rsidR="00826BE5" w:rsidRPr="00953CBD">
        <w:t>-</w:t>
      </w:r>
      <w:r w:rsidR="00127F86" w:rsidRPr="00953CBD">
        <w:t>CCC</w:t>
      </w:r>
      <w:r w:rsidR="00826BE5" w:rsidRPr="00953CBD">
        <w:t>-</w:t>
      </w:r>
      <w:r w:rsidR="00127F86" w:rsidRPr="00953CBD">
        <w:t>ATT</w:t>
      </w:r>
      <w:r w:rsidR="00826BE5" w:rsidRPr="00953CBD">
        <w:t>-</w:t>
      </w:r>
      <w:r w:rsidR="00127F86" w:rsidRPr="00953CBD">
        <w:t>CTA</w:t>
      </w:r>
      <w:r w:rsidR="00826BE5" w:rsidRPr="00953CBD">
        <w:t>-</w:t>
      </w:r>
      <w:r w:rsidR="00127F86" w:rsidRPr="00953CBD">
        <w:lastRenderedPageBreak/>
        <w:t>BHQ1-3’)</w:t>
      </w:r>
      <w:r w:rsidR="007A7296" w:rsidRPr="00953CBD">
        <w:t>,</w:t>
      </w:r>
      <w:r w:rsidR="00127F86" w:rsidRPr="00953CBD">
        <w:t xml:space="preserve"> is also used. </w:t>
      </w:r>
      <w:r w:rsidR="0055087F" w:rsidRPr="00953CBD">
        <w:t xml:space="preserve">The reaction </w:t>
      </w:r>
      <w:r w:rsidR="00AD58FD" w:rsidRPr="00953CBD">
        <w:t>i</w:t>
      </w:r>
      <w:r w:rsidR="0055087F" w:rsidRPr="00953CBD">
        <w:t xml:space="preserve">s conducted </w:t>
      </w:r>
      <w:r w:rsidR="00707C91" w:rsidRPr="00953CBD">
        <w:t xml:space="preserve">with </w:t>
      </w:r>
      <w:r w:rsidR="004046F0" w:rsidRPr="00953CBD">
        <w:t>appropriate PCR kits, for example, using</w:t>
      </w:r>
      <w:r w:rsidR="00AD58FD" w:rsidRPr="00953CBD">
        <w:t xml:space="preserve"> </w:t>
      </w:r>
      <w:r w:rsidR="0055087F" w:rsidRPr="00953CBD">
        <w:t>2</w:t>
      </w:r>
      <w:r w:rsidR="00FA324F" w:rsidRPr="00953CBD">
        <w:t>5</w:t>
      </w:r>
      <w:r w:rsidR="0055087F" w:rsidRPr="00953CBD">
        <w:t xml:space="preserve"> µ</w:t>
      </w:r>
      <w:r w:rsidR="00826BE5" w:rsidRPr="00953CBD">
        <w:t>l</w:t>
      </w:r>
      <w:r w:rsidR="0055087F" w:rsidRPr="00953CBD">
        <w:t xml:space="preserve"> total volume</w:t>
      </w:r>
      <w:r w:rsidR="00AD58FD" w:rsidRPr="00953CBD">
        <w:t xml:space="preserve"> </w:t>
      </w:r>
      <w:r w:rsidR="0055087F" w:rsidRPr="00953CBD">
        <w:t>contain</w:t>
      </w:r>
      <w:r w:rsidR="004046F0" w:rsidRPr="00953CBD">
        <w:t>ing</w:t>
      </w:r>
      <w:r w:rsidR="0055087F" w:rsidRPr="00953CBD">
        <w:t xml:space="preserve"> </w:t>
      </w:r>
      <w:r w:rsidR="00AD0A01" w:rsidRPr="00953CBD">
        <w:t>10 µ</w:t>
      </w:r>
      <w:r w:rsidR="00826BE5" w:rsidRPr="00953CBD">
        <w:t>l</w:t>
      </w:r>
      <w:r w:rsidR="00AD0A01" w:rsidRPr="00953CBD">
        <w:t xml:space="preserve"> of the 2× master mix, 0.5 µM of forward and reverse primers, </w:t>
      </w:r>
      <w:r w:rsidR="008656CF" w:rsidRPr="00953CBD">
        <w:t>0.1</w:t>
      </w:r>
      <w:r w:rsidR="004046F0" w:rsidRPr="00953CBD">
        <w:t> </w:t>
      </w:r>
      <w:r w:rsidR="008656CF" w:rsidRPr="00953CBD">
        <w:t xml:space="preserve">µM of the </w:t>
      </w:r>
      <w:r w:rsidR="00AD0A01" w:rsidRPr="00953CBD">
        <w:t>probe, 1</w:t>
      </w:r>
      <w:r w:rsidR="004046F0" w:rsidRPr="00953CBD">
        <w:t xml:space="preserve"> </w:t>
      </w:r>
      <w:r w:rsidR="00AD0A01" w:rsidRPr="00953CBD">
        <w:t>µ</w:t>
      </w:r>
      <w:r w:rsidR="004046F0" w:rsidRPr="00953CBD">
        <w:t>l</w:t>
      </w:r>
      <w:r w:rsidR="00AD0A01" w:rsidRPr="00953CBD">
        <w:t xml:space="preserve"> of HK-UNG, and 5 µl of DNA template.</w:t>
      </w:r>
      <w:r w:rsidR="00004EE6" w:rsidRPr="00953CBD">
        <w:t xml:space="preserve"> </w:t>
      </w:r>
      <w:r w:rsidR="0055087F" w:rsidRPr="00953CBD">
        <w:t xml:space="preserve">Incubation and data acquisition </w:t>
      </w:r>
      <w:r w:rsidR="004046F0" w:rsidRPr="00953CBD">
        <w:t>are</w:t>
      </w:r>
      <w:r w:rsidR="0055087F" w:rsidRPr="00953CBD">
        <w:t xml:space="preserve"> performed using a </w:t>
      </w:r>
      <w:r w:rsidR="00AD58FD" w:rsidRPr="00953CBD">
        <w:t xml:space="preserve">real-time thermocycler although PCR protocols </w:t>
      </w:r>
      <w:r w:rsidR="003E7861" w:rsidRPr="00953CBD">
        <w:t>will need</w:t>
      </w:r>
      <w:r w:rsidR="00AD58FD" w:rsidRPr="00953CBD">
        <w:t xml:space="preserve"> to be optimised </w:t>
      </w:r>
      <w:r w:rsidR="004046F0" w:rsidRPr="00953CBD">
        <w:t>for the machine used</w:t>
      </w:r>
      <w:r w:rsidR="00AD58FD" w:rsidRPr="00953CBD">
        <w:t xml:space="preserve">. </w:t>
      </w:r>
      <w:r w:rsidR="0055087F" w:rsidRPr="00953CBD">
        <w:t xml:space="preserve">Reactions </w:t>
      </w:r>
      <w:r w:rsidR="00AD58FD" w:rsidRPr="00953CBD">
        <w:t>are</w:t>
      </w:r>
      <w:r w:rsidR="0055087F" w:rsidRPr="00953CBD">
        <w:t xml:space="preserve"> incubated for 2</w:t>
      </w:r>
      <w:r w:rsidR="004046F0" w:rsidRPr="00953CBD">
        <w:t> </w:t>
      </w:r>
      <w:r w:rsidR="0055087F" w:rsidRPr="00953CBD">
        <w:t>min</w:t>
      </w:r>
      <w:r w:rsidR="00826BE5" w:rsidRPr="00953CBD">
        <w:t>utes</w:t>
      </w:r>
      <w:r w:rsidR="0055087F" w:rsidRPr="00953CBD">
        <w:t xml:space="preserve"> at 50°C, 1</w:t>
      </w:r>
      <w:r w:rsidR="00B718DE" w:rsidRPr="00953CBD">
        <w:t>5</w:t>
      </w:r>
      <w:r w:rsidR="00826BE5" w:rsidRPr="00953CBD">
        <w:t xml:space="preserve"> minutes </w:t>
      </w:r>
      <w:r w:rsidR="0055087F" w:rsidRPr="00953CBD">
        <w:t xml:space="preserve">at 95°C, then 40 cycles of 15 </w:t>
      </w:r>
      <w:r w:rsidR="00826BE5" w:rsidRPr="00953CBD">
        <w:t>seconds</w:t>
      </w:r>
      <w:r w:rsidR="0055087F" w:rsidRPr="00953CBD">
        <w:t xml:space="preserve"> at 9</w:t>
      </w:r>
      <w:r w:rsidR="00B718DE" w:rsidRPr="00953CBD">
        <w:t>4</w:t>
      </w:r>
      <w:r w:rsidR="0055087F" w:rsidRPr="00953CBD">
        <w:t>°C and 1</w:t>
      </w:r>
      <w:r w:rsidR="004046F0" w:rsidRPr="00953CBD">
        <w:t> </w:t>
      </w:r>
      <w:r w:rsidR="0055087F" w:rsidRPr="00953CBD">
        <w:t>min</w:t>
      </w:r>
      <w:r w:rsidR="00826BE5" w:rsidRPr="00953CBD">
        <w:t>ute</w:t>
      </w:r>
      <w:r w:rsidR="0055087F" w:rsidRPr="00953CBD">
        <w:t xml:space="preserve"> at 60°C. </w:t>
      </w:r>
      <w:r w:rsidR="00004846" w:rsidRPr="00953CBD">
        <w:t xml:space="preserve">For each </w:t>
      </w:r>
      <w:r w:rsidR="0062437D" w:rsidRPr="00953CBD">
        <w:t>assay</w:t>
      </w:r>
      <w:r w:rsidR="00004846" w:rsidRPr="00953CBD">
        <w:t>, the threshold cycle number</w:t>
      </w:r>
      <w:r w:rsidR="0062437D" w:rsidRPr="00953CBD">
        <w:t xml:space="preserve"> </w:t>
      </w:r>
      <w:r w:rsidR="00004846" w:rsidRPr="00953CBD">
        <w:t xml:space="preserve">(CT value) </w:t>
      </w:r>
      <w:r w:rsidR="0062437D" w:rsidRPr="00953CBD">
        <w:t>is</w:t>
      </w:r>
      <w:r w:rsidR="00004846" w:rsidRPr="00953CBD">
        <w:t xml:space="preserve"> the PCR cycle number</w:t>
      </w:r>
      <w:r w:rsidR="007A7296" w:rsidRPr="00953CBD">
        <w:t xml:space="preserve"> </w:t>
      </w:r>
      <w:r w:rsidR="00004846" w:rsidRPr="00953CBD">
        <w:t>at which the fluorescence of the reaction exceed</w:t>
      </w:r>
      <w:r w:rsidR="0062437D" w:rsidRPr="00953CBD">
        <w:t>s</w:t>
      </w:r>
      <w:r w:rsidR="00004846" w:rsidRPr="00953CBD">
        <w:t xml:space="preserve"> 30 units of</w:t>
      </w:r>
      <w:r w:rsidR="0062437D" w:rsidRPr="00953CBD">
        <w:t xml:space="preserve"> </w:t>
      </w:r>
      <w:r w:rsidR="00004846" w:rsidRPr="00953CBD">
        <w:t>fluorescence</w:t>
      </w:r>
      <w:r w:rsidR="0062437D" w:rsidRPr="00953CBD">
        <w:t>.</w:t>
      </w:r>
    </w:p>
    <w:p w14:paraId="5CEF2645" w14:textId="3DA83B8F" w:rsidR="00D74616" w:rsidRPr="00953CBD" w:rsidRDefault="00D74616" w:rsidP="001F33E7">
      <w:pPr>
        <w:pStyle w:val="i"/>
      </w:pPr>
      <w:r w:rsidRPr="00953CBD">
        <w:t>iii)</w:t>
      </w:r>
      <w:r w:rsidRPr="00953CBD">
        <w:tab/>
        <w:t>Nucleotide sequence analysis</w:t>
      </w:r>
    </w:p>
    <w:p w14:paraId="1107492F" w14:textId="77777777" w:rsidR="00553296" w:rsidRDefault="00BD2960" w:rsidP="001D625F">
      <w:pPr>
        <w:pStyle w:val="afourthpara"/>
      </w:pPr>
      <w:r w:rsidRPr="00953CBD">
        <w:t xml:space="preserve">A number of ILTV genes </w:t>
      </w:r>
      <w:r w:rsidR="00A223CC" w:rsidRPr="00953CBD">
        <w:t>can be</w:t>
      </w:r>
      <w:r w:rsidRPr="00953CBD">
        <w:t xml:space="preserve"> targeted for PCR followed by nucleotide sequence analysis of the resultant amplicons for</w:t>
      </w:r>
      <w:r w:rsidR="00A223CC" w:rsidRPr="00953CBD">
        <w:t xml:space="preserve"> strain identification purposes</w:t>
      </w:r>
      <w:r w:rsidRPr="00953CBD">
        <w:t xml:space="preserve">, </w:t>
      </w:r>
      <w:r w:rsidR="009A4E3C" w:rsidRPr="00953CBD">
        <w:t>for</w:t>
      </w:r>
      <w:r w:rsidR="00DC010A" w:rsidRPr="00953CBD">
        <w:t xml:space="preserve"> example, ICP4 may be amplified by PCR using the primers described by Chacon &amp; Ferreira, (2009) and the resultant amplicons purified using a disposable mini column method and submitted to bi-directional DNA sequencing using the PCR primers as sequencing primers. </w:t>
      </w:r>
      <w:r w:rsidR="00DC307F" w:rsidRPr="00953CBD">
        <w:t xml:space="preserve">Various software </w:t>
      </w:r>
      <w:r w:rsidR="0065732F">
        <w:t xml:space="preserve">programs </w:t>
      </w:r>
      <w:r w:rsidR="00DC307F" w:rsidRPr="00953CBD">
        <w:t xml:space="preserve">including </w:t>
      </w:r>
      <w:proofErr w:type="spellStart"/>
      <w:r w:rsidR="00DC307F" w:rsidRPr="00953CBD">
        <w:t>clustal</w:t>
      </w:r>
      <w:proofErr w:type="spellEnd"/>
      <w:r w:rsidR="00DC307F" w:rsidRPr="00953CBD">
        <w:t xml:space="preserve"> W may be used for analysis of the sequences</w:t>
      </w:r>
      <w:r w:rsidR="00DC010A" w:rsidRPr="00953CBD">
        <w:t xml:space="preserve"> and comparison with the existing sequences in GenBank</w:t>
      </w:r>
      <w:r w:rsidR="00DC307F" w:rsidRPr="00953CBD">
        <w:t>.</w:t>
      </w:r>
      <w:r w:rsidRPr="00953CBD">
        <w:t xml:space="preserve"> </w:t>
      </w:r>
      <w:r w:rsidR="00595490" w:rsidRPr="00953CBD">
        <w:t>It should be noted that sequence analysis of multiple genes may be required for proper identification of the ILTV strains.</w:t>
      </w:r>
      <w:r w:rsidR="003D14CA">
        <w:t xml:space="preserve"> </w:t>
      </w:r>
    </w:p>
    <w:p w14:paraId="10E5527F" w14:textId="634CB6A2" w:rsidR="006A311F" w:rsidRPr="00953CBD" w:rsidRDefault="003D14CA" w:rsidP="001D625F">
      <w:pPr>
        <w:pStyle w:val="afourthpara"/>
      </w:pPr>
      <w:r w:rsidRPr="009A4E3C">
        <w:rPr>
          <w:u w:val="double"/>
        </w:rPr>
        <w:t>Whole genome sequencing has also been reported in several publications</w:t>
      </w:r>
      <w:r w:rsidR="003446CA" w:rsidRPr="009A4E3C">
        <w:rPr>
          <w:u w:val="double"/>
        </w:rPr>
        <w:t xml:space="preserve"> </w:t>
      </w:r>
      <w:r w:rsidRPr="009A4E3C">
        <w:rPr>
          <w:u w:val="double"/>
        </w:rPr>
        <w:t xml:space="preserve">as a means </w:t>
      </w:r>
      <w:r w:rsidR="00553296">
        <w:rPr>
          <w:u w:val="double"/>
        </w:rPr>
        <w:t>of</w:t>
      </w:r>
      <w:r w:rsidRPr="009A4E3C">
        <w:rPr>
          <w:u w:val="double"/>
        </w:rPr>
        <w:t xml:space="preserve"> fully characterising the viral strains</w:t>
      </w:r>
      <w:r w:rsidR="00553296">
        <w:rPr>
          <w:u w:val="double"/>
        </w:rPr>
        <w:t>,</w:t>
      </w:r>
      <w:r w:rsidRPr="009A4E3C">
        <w:rPr>
          <w:u w:val="double"/>
        </w:rPr>
        <w:t xml:space="preserve"> but</w:t>
      </w:r>
      <w:r w:rsidR="00553296">
        <w:rPr>
          <w:u w:val="double"/>
        </w:rPr>
        <w:t>,</w:t>
      </w:r>
      <w:r w:rsidRPr="009A4E3C">
        <w:rPr>
          <w:u w:val="double"/>
        </w:rPr>
        <w:t xml:space="preserve"> at least currently, equipment, reagents and expertise are available only in </w:t>
      </w:r>
      <w:r w:rsidR="00553296">
        <w:rPr>
          <w:u w:val="double"/>
        </w:rPr>
        <w:t xml:space="preserve">a </w:t>
      </w:r>
      <w:r w:rsidRPr="009A4E3C">
        <w:rPr>
          <w:u w:val="double"/>
        </w:rPr>
        <w:t>limited</w:t>
      </w:r>
      <w:r w:rsidR="00553296">
        <w:rPr>
          <w:u w:val="double"/>
        </w:rPr>
        <w:t xml:space="preserve"> number of</w:t>
      </w:r>
      <w:r w:rsidRPr="009A4E3C">
        <w:rPr>
          <w:u w:val="double"/>
        </w:rPr>
        <w:t xml:space="preserve"> laboratories and therefore this technique has not been discussed here.</w:t>
      </w:r>
      <w:r>
        <w:t xml:space="preserve"> </w:t>
      </w:r>
    </w:p>
    <w:p w14:paraId="58125B89" w14:textId="32385B6B" w:rsidR="00A64257" w:rsidRPr="00953CBD" w:rsidRDefault="00D74616" w:rsidP="001F33E7">
      <w:pPr>
        <w:pStyle w:val="i"/>
      </w:pPr>
      <w:r w:rsidRPr="00953CBD">
        <w:t>iv</w:t>
      </w:r>
      <w:r w:rsidR="0019475C" w:rsidRPr="00953CBD">
        <w:t>)</w:t>
      </w:r>
      <w:r w:rsidR="0019475C" w:rsidRPr="00953CBD">
        <w:tab/>
      </w:r>
      <w:r w:rsidR="001F33E7" w:rsidRPr="0065732F">
        <w:rPr>
          <w:iCs/>
        </w:rPr>
        <w:t>Restriction fragment length polymorphism</w:t>
      </w:r>
      <w:r w:rsidR="001F33E7" w:rsidRPr="0065732F">
        <w:t xml:space="preserve"> (</w:t>
      </w:r>
      <w:r w:rsidR="001F33E7" w:rsidRPr="0065732F">
        <w:rPr>
          <w:iCs/>
        </w:rPr>
        <w:t>RFLP</w:t>
      </w:r>
      <w:r w:rsidR="001F33E7" w:rsidRPr="0065732F">
        <w:t>)</w:t>
      </w:r>
    </w:p>
    <w:p w14:paraId="3B7CD216" w14:textId="16918DC2" w:rsidR="00B149E3" w:rsidRPr="00953CBD" w:rsidRDefault="00010176" w:rsidP="00181FE8">
      <w:pPr>
        <w:pStyle w:val="afourthpara"/>
      </w:pPr>
      <w:r w:rsidRPr="009A4E3C">
        <w:rPr>
          <w:u w:val="double"/>
        </w:rPr>
        <w:t>The combination of PCR and RFLP has enabled field strains of ILTV to be distinguished from vaccine strains (</w:t>
      </w:r>
      <w:proofErr w:type="spellStart"/>
      <w:r w:rsidRPr="009A4E3C">
        <w:rPr>
          <w:u w:val="double"/>
        </w:rPr>
        <w:t>Creelan</w:t>
      </w:r>
      <w:proofErr w:type="spellEnd"/>
      <w:r w:rsidRPr="009A4E3C">
        <w:rPr>
          <w:u w:val="double"/>
        </w:rPr>
        <w:t xml:space="preserve"> </w:t>
      </w:r>
      <w:r w:rsidRPr="009A4E3C">
        <w:rPr>
          <w:i/>
          <w:u w:val="double"/>
        </w:rPr>
        <w:t>et al</w:t>
      </w:r>
      <w:r w:rsidRPr="009A4E3C">
        <w:rPr>
          <w:u w:val="double"/>
        </w:rPr>
        <w:t xml:space="preserve">., 2006; Han &amp; Sim, 2001; Kirkpatrick </w:t>
      </w:r>
      <w:r w:rsidRPr="009A4E3C">
        <w:rPr>
          <w:i/>
          <w:u w:val="double"/>
        </w:rPr>
        <w:t>et al.</w:t>
      </w:r>
      <w:r w:rsidRPr="009A4E3C">
        <w:rPr>
          <w:u w:val="double"/>
        </w:rPr>
        <w:t xml:space="preserve">, 2006a; </w:t>
      </w:r>
      <w:proofErr w:type="spellStart"/>
      <w:r w:rsidRPr="009A4E3C">
        <w:rPr>
          <w:u w:val="double"/>
        </w:rPr>
        <w:t>Ojkic</w:t>
      </w:r>
      <w:proofErr w:type="spellEnd"/>
      <w:r w:rsidRPr="009A4E3C">
        <w:rPr>
          <w:u w:val="double"/>
        </w:rPr>
        <w:t xml:space="preserve"> </w:t>
      </w:r>
      <w:r w:rsidRPr="009A4E3C">
        <w:rPr>
          <w:i/>
          <w:u w:val="double"/>
        </w:rPr>
        <w:t>et al</w:t>
      </w:r>
      <w:r w:rsidRPr="009A4E3C">
        <w:rPr>
          <w:u w:val="double"/>
        </w:rPr>
        <w:t xml:space="preserve">., 2006; </w:t>
      </w:r>
      <w:proofErr w:type="spellStart"/>
      <w:r w:rsidRPr="009A4E3C">
        <w:rPr>
          <w:u w:val="double"/>
        </w:rPr>
        <w:t>Oldoni</w:t>
      </w:r>
      <w:proofErr w:type="spellEnd"/>
      <w:r w:rsidRPr="009A4E3C">
        <w:rPr>
          <w:u w:val="double"/>
        </w:rPr>
        <w:t xml:space="preserve"> &amp; Garcia 2007).</w:t>
      </w:r>
      <w:r>
        <w:t xml:space="preserve"> </w:t>
      </w:r>
      <w:r w:rsidR="00A64257" w:rsidRPr="00953CBD">
        <w:t>A range of restriction endonucleases (RE) have been described for RFLP analysis of ILTV PCR products and several genes hav</w:t>
      </w:r>
      <w:r w:rsidR="001F33E7" w:rsidRPr="00953CBD">
        <w:t xml:space="preserve">e been targeted for digestion. They include </w:t>
      </w:r>
      <w:r w:rsidR="00A64257" w:rsidRPr="00953CBD">
        <w:t>ICP4, TK, UL15, UL47 gly</w:t>
      </w:r>
      <w:r w:rsidR="002F7E8C" w:rsidRPr="00953CBD">
        <w:t xml:space="preserve">coprotein G and ORF-BTK genes. </w:t>
      </w:r>
      <w:r w:rsidR="00A26A7D" w:rsidRPr="00953CBD">
        <w:t xml:space="preserve">Detailed description of the methodology can be found in </w:t>
      </w:r>
      <w:proofErr w:type="spellStart"/>
      <w:r w:rsidR="00A26A7D" w:rsidRPr="00953CBD">
        <w:t>Creelan</w:t>
      </w:r>
      <w:proofErr w:type="spellEnd"/>
      <w:r w:rsidR="00A26A7D" w:rsidRPr="00953CBD">
        <w:t xml:space="preserve"> </w:t>
      </w:r>
      <w:r w:rsidR="00A26A7D" w:rsidRPr="00953CBD">
        <w:rPr>
          <w:i/>
        </w:rPr>
        <w:t>et al</w:t>
      </w:r>
      <w:r w:rsidR="00A26A7D" w:rsidRPr="00953CBD">
        <w:t xml:space="preserve">. </w:t>
      </w:r>
      <w:r w:rsidR="00A26A7D" w:rsidRPr="009A4E3C">
        <w:rPr>
          <w:lang w:val="da-DK"/>
        </w:rPr>
        <w:t xml:space="preserve">(2006), Han &amp; Sim (2001), Kirkpatrick </w:t>
      </w:r>
      <w:r w:rsidR="00A26A7D" w:rsidRPr="009A4E3C">
        <w:rPr>
          <w:i/>
          <w:lang w:val="da-DK"/>
        </w:rPr>
        <w:t>et al.</w:t>
      </w:r>
      <w:r w:rsidR="00A26A7D" w:rsidRPr="009A4E3C">
        <w:rPr>
          <w:lang w:val="da-DK"/>
        </w:rPr>
        <w:t xml:space="preserve"> (2006a), Ojkic </w:t>
      </w:r>
      <w:r w:rsidR="00A26A7D" w:rsidRPr="009A4E3C">
        <w:rPr>
          <w:i/>
          <w:lang w:val="da-DK"/>
        </w:rPr>
        <w:t>et al</w:t>
      </w:r>
      <w:r w:rsidR="00A26A7D" w:rsidRPr="009A4E3C">
        <w:rPr>
          <w:lang w:val="da-DK"/>
        </w:rPr>
        <w:t>.,</w:t>
      </w:r>
      <w:r w:rsidR="001D625F" w:rsidRPr="009A4E3C">
        <w:rPr>
          <w:lang w:val="da-DK"/>
        </w:rPr>
        <w:t xml:space="preserve"> </w:t>
      </w:r>
      <w:r w:rsidR="00A26A7D" w:rsidRPr="009A4E3C">
        <w:rPr>
          <w:lang w:val="da-DK"/>
        </w:rPr>
        <w:t xml:space="preserve">(2006) and Oldoni </w:t>
      </w:r>
      <w:r w:rsidR="00513469" w:rsidRPr="009A4E3C">
        <w:rPr>
          <w:lang w:val="da-DK"/>
        </w:rPr>
        <w:t>&amp; Garcia</w:t>
      </w:r>
      <w:r w:rsidR="001D625F" w:rsidRPr="009A4E3C">
        <w:rPr>
          <w:lang w:val="da-DK"/>
        </w:rPr>
        <w:t xml:space="preserve"> </w:t>
      </w:r>
      <w:r w:rsidR="00A26A7D" w:rsidRPr="009A4E3C">
        <w:rPr>
          <w:lang w:val="da-DK"/>
        </w:rPr>
        <w:t xml:space="preserve">(2007). </w:t>
      </w:r>
      <w:r w:rsidR="00A26A7D" w:rsidRPr="00953CBD">
        <w:t xml:space="preserve">A brief description of methodology for TK, ICP4, ICP18.5 and ORFB-TK </w:t>
      </w:r>
      <w:r w:rsidR="000D046B" w:rsidRPr="00953CBD">
        <w:t xml:space="preserve">PCR RFLP </w:t>
      </w:r>
      <w:proofErr w:type="gramStart"/>
      <w:r w:rsidR="00A26A7D" w:rsidRPr="00953CBD">
        <w:t>is</w:t>
      </w:r>
      <w:proofErr w:type="gramEnd"/>
      <w:r w:rsidR="00A26A7D" w:rsidRPr="00953CBD">
        <w:t xml:space="preserve"> provided </w:t>
      </w:r>
      <w:r w:rsidR="00B149E3" w:rsidRPr="00953CBD">
        <w:t>below</w:t>
      </w:r>
      <w:r w:rsidR="000D046B" w:rsidRPr="00953CBD">
        <w:t xml:space="preserve"> from Kirkpatrick </w:t>
      </w:r>
      <w:r w:rsidR="000D046B" w:rsidRPr="00953CBD">
        <w:rPr>
          <w:i/>
        </w:rPr>
        <w:t>et al</w:t>
      </w:r>
      <w:r w:rsidR="000D046B" w:rsidRPr="00953CBD">
        <w:t>. (2006a) with some modifications</w:t>
      </w:r>
      <w:r w:rsidR="00A26A7D" w:rsidRPr="00953CBD">
        <w:t>.</w:t>
      </w:r>
      <w:r w:rsidR="00B149E3" w:rsidRPr="00953CBD">
        <w:t xml:space="preserve"> </w:t>
      </w:r>
    </w:p>
    <w:p w14:paraId="521A24B3" w14:textId="4618FA56" w:rsidR="00181FE8" w:rsidRPr="00953CBD" w:rsidRDefault="00181FE8" w:rsidP="00B149E3">
      <w:pPr>
        <w:pStyle w:val="afourthpara"/>
      </w:pPr>
      <w:r w:rsidRPr="00953CBD">
        <w:t xml:space="preserve">For amplification of TK, PCR is performed </w:t>
      </w:r>
      <w:r w:rsidR="00B149E3" w:rsidRPr="00953CBD">
        <w:t xml:space="preserve">in </w:t>
      </w:r>
      <w:r w:rsidRPr="00953CBD">
        <w:t>a 50-µl reaction mixture contain</w:t>
      </w:r>
      <w:r w:rsidR="00B149E3" w:rsidRPr="00953CBD">
        <w:t>ing</w:t>
      </w:r>
      <w:r w:rsidRPr="00953CBD">
        <w:t xml:space="preserve"> 200 µM each </w:t>
      </w:r>
      <w:proofErr w:type="spellStart"/>
      <w:r w:rsidRPr="00953CBD">
        <w:t>dATP</w:t>
      </w:r>
      <w:proofErr w:type="spellEnd"/>
      <w:r w:rsidRPr="00953CBD">
        <w:t xml:space="preserve">, </w:t>
      </w:r>
      <w:proofErr w:type="spellStart"/>
      <w:r w:rsidRPr="00953CBD">
        <w:t>dCTP</w:t>
      </w:r>
      <w:proofErr w:type="spellEnd"/>
      <w:r w:rsidRPr="00953CBD">
        <w:t xml:space="preserve">, </w:t>
      </w:r>
      <w:proofErr w:type="spellStart"/>
      <w:r w:rsidRPr="00953CBD">
        <w:t>dGTP</w:t>
      </w:r>
      <w:proofErr w:type="spellEnd"/>
      <w:r w:rsidRPr="00953CBD">
        <w:t>, and dTTP, 1 mM MgCl</w:t>
      </w:r>
      <w:r w:rsidRPr="00F37625">
        <w:rPr>
          <w:vertAlign w:val="subscript"/>
        </w:rPr>
        <w:t>2</w:t>
      </w:r>
      <w:r w:rsidRPr="00953CBD">
        <w:t xml:space="preserve">, 250 µM </w:t>
      </w:r>
      <w:r w:rsidR="00B149E3" w:rsidRPr="00953CBD">
        <w:t xml:space="preserve">of </w:t>
      </w:r>
      <w:r w:rsidRPr="00953CBD">
        <w:t>each primer</w:t>
      </w:r>
      <w:r w:rsidR="00B149E3" w:rsidRPr="00953CBD">
        <w:t xml:space="preserve"> (TK forward</w:t>
      </w:r>
      <w:r w:rsidR="00513469" w:rsidRPr="00953CBD">
        <w:t>:</w:t>
      </w:r>
      <w:r w:rsidR="00B149E3" w:rsidRPr="00953CBD">
        <w:t xml:space="preserve"> CTG</w:t>
      </w:r>
      <w:r w:rsidR="001D625F" w:rsidRPr="00953CBD">
        <w:t>-</w:t>
      </w:r>
      <w:r w:rsidR="00B149E3" w:rsidRPr="00953CBD">
        <w:t>GGC</w:t>
      </w:r>
      <w:r w:rsidR="001D625F" w:rsidRPr="00953CBD">
        <w:t>-</w:t>
      </w:r>
      <w:r w:rsidR="00B149E3" w:rsidRPr="00953CBD">
        <w:t>TAA</w:t>
      </w:r>
      <w:r w:rsidR="001D625F" w:rsidRPr="00953CBD">
        <w:t>-</w:t>
      </w:r>
      <w:r w:rsidR="00B149E3" w:rsidRPr="00953CBD">
        <w:t>ATC</w:t>
      </w:r>
      <w:r w:rsidR="001D625F" w:rsidRPr="00953CBD">
        <w:t>-</w:t>
      </w:r>
      <w:r w:rsidR="00B149E3" w:rsidRPr="00953CBD">
        <w:t>ATC</w:t>
      </w:r>
      <w:r w:rsidR="001D625F" w:rsidRPr="00953CBD">
        <w:t>-</w:t>
      </w:r>
      <w:r w:rsidR="00B149E3" w:rsidRPr="00953CBD">
        <w:t>CAA</w:t>
      </w:r>
      <w:r w:rsidR="001D625F" w:rsidRPr="00953CBD">
        <w:t>-</w:t>
      </w:r>
      <w:r w:rsidR="00B149E3" w:rsidRPr="00953CBD">
        <w:t>GAC</w:t>
      </w:r>
      <w:r w:rsidR="001D625F" w:rsidRPr="00953CBD">
        <w:t>-</w:t>
      </w:r>
      <w:r w:rsidR="00B149E3" w:rsidRPr="00953CBD">
        <w:t>ATC</w:t>
      </w:r>
      <w:r w:rsidR="001D625F" w:rsidRPr="00953CBD">
        <w:t>-</w:t>
      </w:r>
      <w:r w:rsidR="00B149E3" w:rsidRPr="00953CBD">
        <w:t>A; and TK reverse</w:t>
      </w:r>
      <w:r w:rsidR="00513469" w:rsidRPr="00953CBD">
        <w:t>:</w:t>
      </w:r>
      <w:r w:rsidR="00B149E3" w:rsidRPr="00953CBD">
        <w:t xml:space="preserve"> GCT</w:t>
      </w:r>
      <w:r w:rsidR="001D625F" w:rsidRPr="00953CBD">
        <w:t>-</w:t>
      </w:r>
      <w:r w:rsidR="00B149E3" w:rsidRPr="00953CBD">
        <w:t>CTC</w:t>
      </w:r>
      <w:r w:rsidR="001D625F" w:rsidRPr="00953CBD">
        <w:t>-</w:t>
      </w:r>
      <w:r w:rsidR="00B149E3" w:rsidRPr="00953CBD">
        <w:t>TCG</w:t>
      </w:r>
      <w:r w:rsidR="001D625F" w:rsidRPr="00953CBD">
        <w:t>-</w:t>
      </w:r>
      <w:r w:rsidR="00B149E3" w:rsidRPr="00953CBD">
        <w:t>AGT</w:t>
      </w:r>
      <w:r w:rsidR="001D625F" w:rsidRPr="00953CBD">
        <w:t>-</w:t>
      </w:r>
      <w:r w:rsidR="00B149E3" w:rsidRPr="00953CBD">
        <w:t>AAG</w:t>
      </w:r>
      <w:r w:rsidR="001D625F" w:rsidRPr="00953CBD">
        <w:t>-</w:t>
      </w:r>
      <w:r w:rsidR="00B149E3" w:rsidRPr="00953CBD">
        <w:t>AAT</w:t>
      </w:r>
      <w:r w:rsidR="001D625F" w:rsidRPr="00953CBD">
        <w:t>-</w:t>
      </w:r>
      <w:r w:rsidR="00B149E3" w:rsidRPr="00953CBD">
        <w:t>GAG</w:t>
      </w:r>
      <w:r w:rsidR="001D625F" w:rsidRPr="00953CBD">
        <w:t>-</w:t>
      </w:r>
      <w:r w:rsidR="00B149E3" w:rsidRPr="00953CBD">
        <w:t>TAC</w:t>
      </w:r>
      <w:r w:rsidR="001D625F" w:rsidRPr="00953CBD">
        <w:t>-</w:t>
      </w:r>
      <w:r w:rsidR="00B149E3" w:rsidRPr="00953CBD">
        <w:t>A)</w:t>
      </w:r>
      <w:r w:rsidRPr="00953CBD">
        <w:t xml:space="preserve">, 1.25 U of </w:t>
      </w:r>
      <w:proofErr w:type="spellStart"/>
      <w:r w:rsidRPr="00953CBD">
        <w:t>Taq</w:t>
      </w:r>
      <w:proofErr w:type="spellEnd"/>
      <w:r w:rsidRPr="00953CBD">
        <w:t xml:space="preserve"> DNA polymerase</w:t>
      </w:r>
      <w:r w:rsidRPr="009A779B">
        <w:rPr>
          <w:strike/>
        </w:rPr>
        <w:t xml:space="preserve"> (Promega)</w:t>
      </w:r>
      <w:r w:rsidRPr="00953CBD">
        <w:t>, 5 µl of 10</w:t>
      </w:r>
      <w:r w:rsidR="00513469" w:rsidRPr="00953CBD">
        <w:t>×</w:t>
      </w:r>
      <w:r w:rsidRPr="00953CBD">
        <w:t xml:space="preserve"> </w:t>
      </w:r>
      <w:proofErr w:type="spellStart"/>
      <w:r w:rsidRPr="00953CBD">
        <w:t>Taq</w:t>
      </w:r>
      <w:proofErr w:type="spellEnd"/>
      <w:r w:rsidRPr="00953CBD">
        <w:t xml:space="preserve"> DNA polymerase buffer, and 2 µl of extracted DNA. The reaction mixture </w:t>
      </w:r>
      <w:r w:rsidR="00B149E3" w:rsidRPr="00953CBD">
        <w:t>is</w:t>
      </w:r>
      <w:r w:rsidRPr="00953CBD">
        <w:t xml:space="preserve"> incubated at 94°C for 3 min</w:t>
      </w:r>
      <w:r w:rsidR="001D625F" w:rsidRPr="00953CBD">
        <w:t>utes</w:t>
      </w:r>
      <w:r w:rsidRPr="00953CBD">
        <w:t>, then subjected to 35 cycles of 94°C for 15 sec</w:t>
      </w:r>
      <w:r w:rsidR="001D625F" w:rsidRPr="00953CBD">
        <w:t>onds</w:t>
      </w:r>
      <w:r w:rsidRPr="00953CBD">
        <w:t>, 60°C for 45 sec</w:t>
      </w:r>
      <w:r w:rsidR="001D625F" w:rsidRPr="00953CBD">
        <w:t>onds</w:t>
      </w:r>
      <w:r w:rsidRPr="00953CBD">
        <w:t xml:space="preserve"> and 72°C for 60 sec</w:t>
      </w:r>
      <w:r w:rsidR="001D625F" w:rsidRPr="00953CBD">
        <w:t>onds</w:t>
      </w:r>
      <w:r w:rsidRPr="00953CBD">
        <w:t>, and finally incubated at 72°C for 3 min</w:t>
      </w:r>
      <w:r w:rsidR="001D625F" w:rsidRPr="00953CBD">
        <w:t>utes</w:t>
      </w:r>
      <w:r w:rsidRPr="00953CBD">
        <w:t>.</w:t>
      </w:r>
    </w:p>
    <w:p w14:paraId="4FFEC5BC" w14:textId="3F0253D4" w:rsidR="00181FE8" w:rsidRPr="00953CBD" w:rsidRDefault="00043B8E" w:rsidP="00043B8E">
      <w:pPr>
        <w:pStyle w:val="afourthpara"/>
      </w:pPr>
      <w:r w:rsidRPr="00953CBD">
        <w:t>PCR</w:t>
      </w:r>
      <w:r w:rsidR="00181FE8" w:rsidRPr="00953CBD">
        <w:t xml:space="preserve"> amplification of ICP4, ICP18.5 and ORFB-TK, </w:t>
      </w:r>
      <w:r w:rsidR="00615A2F" w:rsidRPr="00953CBD">
        <w:t xml:space="preserve">is performed </w:t>
      </w:r>
      <w:r w:rsidRPr="00953CBD">
        <w:t>in separate tubes using primers ICP4 forward</w:t>
      </w:r>
      <w:r w:rsidR="00513469" w:rsidRPr="00953CBD">
        <w:t>:</w:t>
      </w:r>
      <w:r w:rsidRPr="00953CBD">
        <w:t xml:space="preserve"> AAA</w:t>
      </w:r>
      <w:r w:rsidR="001D625F" w:rsidRPr="00953CBD">
        <w:t>-</w:t>
      </w:r>
      <w:r w:rsidRPr="00953CBD">
        <w:t>CCT</w:t>
      </w:r>
      <w:r w:rsidR="001D625F" w:rsidRPr="00953CBD">
        <w:t>-</w:t>
      </w:r>
      <w:r w:rsidRPr="00953CBD">
        <w:t>GTA</w:t>
      </w:r>
      <w:r w:rsidR="001D625F" w:rsidRPr="00953CBD">
        <w:t>-</w:t>
      </w:r>
      <w:r w:rsidRPr="00953CBD">
        <w:t>GAG</w:t>
      </w:r>
      <w:r w:rsidR="001D625F" w:rsidRPr="00953CBD">
        <w:t>-</w:t>
      </w:r>
      <w:r w:rsidRPr="00953CBD">
        <w:t>ACA</w:t>
      </w:r>
      <w:r w:rsidR="001D625F" w:rsidRPr="00953CBD">
        <w:t>-</w:t>
      </w:r>
      <w:r w:rsidRPr="00953CBD">
        <w:t>GTA</w:t>
      </w:r>
      <w:r w:rsidR="001D625F" w:rsidRPr="00953CBD">
        <w:t>-</w:t>
      </w:r>
      <w:r w:rsidRPr="00953CBD">
        <w:t>CCG</w:t>
      </w:r>
      <w:r w:rsidR="001D625F" w:rsidRPr="00953CBD">
        <w:t>-</w:t>
      </w:r>
      <w:r w:rsidRPr="00953CBD">
        <w:t>TGA</w:t>
      </w:r>
      <w:r w:rsidR="001D625F" w:rsidRPr="00953CBD">
        <w:t>-</w:t>
      </w:r>
      <w:r w:rsidRPr="00953CBD">
        <w:t>C and ICP4 reverse</w:t>
      </w:r>
      <w:r w:rsidR="00513469" w:rsidRPr="00953CBD">
        <w:t>:</w:t>
      </w:r>
      <w:r w:rsidRPr="00953CBD">
        <w:t xml:space="preserve"> ATT</w:t>
      </w:r>
      <w:r w:rsidR="001D625F" w:rsidRPr="00953CBD">
        <w:t>-</w:t>
      </w:r>
      <w:r w:rsidRPr="00953CBD">
        <w:t>ACT</w:t>
      </w:r>
      <w:r w:rsidR="001D625F" w:rsidRPr="00953CBD">
        <w:t>-</w:t>
      </w:r>
      <w:r w:rsidRPr="00953CBD">
        <w:t>ACG</w:t>
      </w:r>
      <w:r w:rsidR="001D625F" w:rsidRPr="00953CBD">
        <w:t>-</w:t>
      </w:r>
      <w:r w:rsidRPr="00953CBD">
        <w:t>TGA</w:t>
      </w:r>
      <w:r w:rsidR="001D625F" w:rsidRPr="00953CBD">
        <w:t>-</w:t>
      </w:r>
      <w:r w:rsidRPr="00953CBD">
        <w:t>CCT</w:t>
      </w:r>
      <w:r w:rsidR="001D625F" w:rsidRPr="00953CBD">
        <w:t>-</w:t>
      </w:r>
      <w:r w:rsidRPr="00953CBD">
        <w:t>ACA</w:t>
      </w:r>
      <w:r w:rsidR="001D625F" w:rsidRPr="00953CBD">
        <w:t>-</w:t>
      </w:r>
      <w:r w:rsidRPr="00953CBD">
        <w:t>TTG</w:t>
      </w:r>
      <w:r w:rsidR="001D625F" w:rsidRPr="00953CBD">
        <w:t>-</w:t>
      </w:r>
      <w:r w:rsidRPr="00953CBD">
        <w:t>AGC</w:t>
      </w:r>
      <w:r w:rsidR="001D625F" w:rsidRPr="00953CBD">
        <w:t>-</w:t>
      </w:r>
      <w:r w:rsidRPr="00953CBD">
        <w:t>C; ICP18.5 forward</w:t>
      </w:r>
      <w:r w:rsidR="00513469" w:rsidRPr="00953CBD">
        <w:t>:</w:t>
      </w:r>
      <w:r w:rsidRPr="00953CBD">
        <w:t xml:space="preserve"> TCG</w:t>
      </w:r>
      <w:r w:rsidR="001D625F" w:rsidRPr="00953CBD">
        <w:t>-</w:t>
      </w:r>
      <w:r w:rsidRPr="00953CBD">
        <w:t>CTT</w:t>
      </w:r>
      <w:r w:rsidR="001D625F" w:rsidRPr="00953CBD">
        <w:t>-</w:t>
      </w:r>
      <w:r w:rsidRPr="00953CBD">
        <w:t>GCA</w:t>
      </w:r>
      <w:r w:rsidR="001D625F" w:rsidRPr="00953CBD">
        <w:t>-</w:t>
      </w:r>
      <w:r w:rsidRPr="00953CBD">
        <w:t>AGG</w:t>
      </w:r>
      <w:r w:rsidR="001D625F" w:rsidRPr="00953CBD">
        <w:t>-</w:t>
      </w:r>
      <w:r w:rsidRPr="00953CBD">
        <w:t>TCT</w:t>
      </w:r>
      <w:r w:rsidR="001D625F" w:rsidRPr="00953CBD">
        <w:t>-</w:t>
      </w:r>
      <w:r w:rsidRPr="00953CBD">
        <w:t>TCT</w:t>
      </w:r>
      <w:r w:rsidR="001D625F" w:rsidRPr="00953CBD">
        <w:t>-</w:t>
      </w:r>
      <w:r w:rsidRPr="00953CBD">
        <w:t>GAT</w:t>
      </w:r>
      <w:r w:rsidR="001D625F" w:rsidRPr="00953CBD">
        <w:t>-</w:t>
      </w:r>
      <w:r w:rsidRPr="00953CBD">
        <w:t>GG and ICP18.5 reverse</w:t>
      </w:r>
      <w:r w:rsidR="00513469" w:rsidRPr="00953CBD">
        <w:t>:</w:t>
      </w:r>
      <w:r w:rsidRPr="00953CBD">
        <w:t xml:space="preserve"> AGA</w:t>
      </w:r>
      <w:r w:rsidR="001D625F" w:rsidRPr="00953CBD">
        <w:t>-</w:t>
      </w:r>
      <w:r w:rsidRPr="00953CBD">
        <w:t>AGA</w:t>
      </w:r>
      <w:r w:rsidR="001D625F" w:rsidRPr="00953CBD">
        <w:t>-</w:t>
      </w:r>
      <w:r w:rsidRPr="00953CBD">
        <w:t>TGT</w:t>
      </w:r>
      <w:r w:rsidR="001D625F" w:rsidRPr="00953CBD">
        <w:t>-</w:t>
      </w:r>
      <w:r w:rsidRPr="00953CBD">
        <w:t>TAA</w:t>
      </w:r>
      <w:r w:rsidR="001D625F" w:rsidRPr="00953CBD">
        <w:t>-</w:t>
      </w:r>
      <w:r w:rsidRPr="00953CBD">
        <w:t>TTC</w:t>
      </w:r>
      <w:r w:rsidR="001D625F" w:rsidRPr="00953CBD">
        <w:t>-</w:t>
      </w:r>
      <w:r w:rsidRPr="00953CBD">
        <w:t>ACA</w:t>
      </w:r>
      <w:r w:rsidR="001D625F" w:rsidRPr="00953CBD">
        <w:t>-</w:t>
      </w:r>
      <w:r w:rsidRPr="00953CBD">
        <w:t>CGG</w:t>
      </w:r>
      <w:r w:rsidR="001D625F" w:rsidRPr="00953CBD">
        <w:t>-</w:t>
      </w:r>
      <w:r w:rsidRPr="00953CBD">
        <w:t>ACA</w:t>
      </w:r>
      <w:r w:rsidR="001D625F" w:rsidRPr="00953CBD">
        <w:t>-</w:t>
      </w:r>
      <w:r w:rsidRPr="00953CBD">
        <w:t>C; and ORFB-TK forward</w:t>
      </w:r>
      <w:r w:rsidR="00513469" w:rsidRPr="00953CBD">
        <w:t>:</w:t>
      </w:r>
      <w:r w:rsidRPr="00953CBD">
        <w:t xml:space="preserve"> TCT</w:t>
      </w:r>
      <w:r w:rsidR="001D625F" w:rsidRPr="00953CBD">
        <w:t>-</w:t>
      </w:r>
      <w:r w:rsidRPr="00953CBD">
        <w:t>GCG</w:t>
      </w:r>
      <w:r w:rsidR="001D625F" w:rsidRPr="00953CBD">
        <w:t>-</w:t>
      </w:r>
      <w:r w:rsidRPr="00953CBD">
        <w:t>ATC</w:t>
      </w:r>
      <w:r w:rsidR="001D625F" w:rsidRPr="00953CBD">
        <w:t>-</w:t>
      </w:r>
      <w:r w:rsidRPr="00953CBD">
        <w:t>TTC</w:t>
      </w:r>
      <w:r w:rsidR="001D625F" w:rsidRPr="00953CBD">
        <w:t>-</w:t>
      </w:r>
      <w:r w:rsidRPr="00953CBD">
        <w:t>GCA</w:t>
      </w:r>
      <w:r w:rsidR="001D625F" w:rsidRPr="00953CBD">
        <w:t>-</w:t>
      </w:r>
      <w:r w:rsidRPr="00953CBD">
        <w:t>GTG</w:t>
      </w:r>
      <w:r w:rsidR="001D625F" w:rsidRPr="00953CBD">
        <w:t>-</w:t>
      </w:r>
      <w:r w:rsidRPr="00953CBD">
        <w:t>GTC</w:t>
      </w:r>
      <w:r w:rsidR="001D625F" w:rsidRPr="00953CBD">
        <w:t>-</w:t>
      </w:r>
      <w:r w:rsidRPr="00953CBD">
        <w:t>AG and ORFB-TK reverse</w:t>
      </w:r>
      <w:r w:rsidR="00513469" w:rsidRPr="00953CBD">
        <w:t>:</w:t>
      </w:r>
      <w:r w:rsidRPr="00953CBD">
        <w:t xml:space="preserve"> TGA</w:t>
      </w:r>
      <w:r w:rsidR="001D625F" w:rsidRPr="00953CBD">
        <w:t>-</w:t>
      </w:r>
      <w:r w:rsidRPr="00953CBD">
        <w:t>CGA</w:t>
      </w:r>
      <w:r w:rsidR="001D625F" w:rsidRPr="00953CBD">
        <w:t>-</w:t>
      </w:r>
      <w:r w:rsidRPr="00953CBD">
        <w:t>GGA</w:t>
      </w:r>
      <w:r w:rsidR="001D625F" w:rsidRPr="00953CBD">
        <w:t>-</w:t>
      </w:r>
      <w:r w:rsidRPr="00953CBD">
        <w:t>GAG</w:t>
      </w:r>
      <w:r w:rsidR="001D625F" w:rsidRPr="00953CBD">
        <w:t>-</w:t>
      </w:r>
      <w:r w:rsidRPr="00953CBD">
        <w:t>CGA</w:t>
      </w:r>
      <w:r w:rsidR="001D625F" w:rsidRPr="00953CBD">
        <w:t>-</w:t>
      </w:r>
      <w:r w:rsidRPr="00953CBD">
        <w:t>ACT</w:t>
      </w:r>
      <w:r w:rsidR="001D625F" w:rsidRPr="00953CBD">
        <w:t>-</w:t>
      </w:r>
      <w:r w:rsidRPr="00953CBD">
        <w:t>TTA</w:t>
      </w:r>
      <w:r w:rsidR="001D625F" w:rsidRPr="00953CBD">
        <w:t>-</w:t>
      </w:r>
      <w:r w:rsidRPr="00953CBD">
        <w:t>ATC</w:t>
      </w:r>
      <w:r w:rsidR="001D625F" w:rsidRPr="00953CBD">
        <w:t>-</w:t>
      </w:r>
      <w:r w:rsidRPr="00953CBD">
        <w:t>C. A</w:t>
      </w:r>
      <w:r w:rsidR="00615A2F" w:rsidRPr="00953CBD">
        <w:t xml:space="preserve"> 50-µl reaction mixture contain</w:t>
      </w:r>
      <w:r w:rsidRPr="00953CBD">
        <w:t>s</w:t>
      </w:r>
      <w:r w:rsidR="00181FE8" w:rsidRPr="00953CBD">
        <w:t xml:space="preserve"> 200 µM each </w:t>
      </w:r>
      <w:proofErr w:type="spellStart"/>
      <w:r w:rsidR="00181FE8" w:rsidRPr="00953CBD">
        <w:t>dATP</w:t>
      </w:r>
      <w:proofErr w:type="spellEnd"/>
      <w:r w:rsidR="00181FE8" w:rsidRPr="00953CBD">
        <w:t xml:space="preserve">, </w:t>
      </w:r>
      <w:proofErr w:type="spellStart"/>
      <w:r w:rsidR="00181FE8" w:rsidRPr="00953CBD">
        <w:t>dCTP</w:t>
      </w:r>
      <w:proofErr w:type="spellEnd"/>
      <w:r w:rsidR="00181FE8" w:rsidRPr="00953CBD">
        <w:t xml:space="preserve">, </w:t>
      </w:r>
      <w:proofErr w:type="spellStart"/>
      <w:r w:rsidR="00181FE8" w:rsidRPr="00953CBD">
        <w:t>dGTP</w:t>
      </w:r>
      <w:proofErr w:type="spellEnd"/>
      <w:r w:rsidR="00181FE8" w:rsidRPr="00953CBD">
        <w:t>, and dTTP, 2 mM MgSO</w:t>
      </w:r>
      <w:r w:rsidR="00181FE8" w:rsidRPr="00F37625">
        <w:rPr>
          <w:vertAlign w:val="subscript"/>
        </w:rPr>
        <w:t>4</w:t>
      </w:r>
      <w:r w:rsidR="00181FE8" w:rsidRPr="00953CBD">
        <w:t xml:space="preserve">, 250 µM each primer, 1 U of Platinum </w:t>
      </w:r>
      <w:proofErr w:type="spellStart"/>
      <w:r w:rsidR="00181FE8" w:rsidRPr="00953CBD">
        <w:t>Taq</w:t>
      </w:r>
      <w:proofErr w:type="spellEnd"/>
      <w:r w:rsidR="00181FE8" w:rsidRPr="00953CBD">
        <w:t xml:space="preserve"> DNA Polymerase high fidelity</w:t>
      </w:r>
      <w:r w:rsidR="00181FE8" w:rsidRPr="009A779B">
        <w:rPr>
          <w:strike/>
        </w:rPr>
        <w:t xml:space="preserve"> (Invitrogen)</w:t>
      </w:r>
      <w:r w:rsidR="00181FE8" w:rsidRPr="00953CBD">
        <w:t>, 5 µl of 10</w:t>
      </w:r>
      <w:r w:rsidR="00513469" w:rsidRPr="00953CBD">
        <w:t>×</w:t>
      </w:r>
      <w:r w:rsidR="00181FE8" w:rsidRPr="00953CBD">
        <w:t xml:space="preserve"> Platinum </w:t>
      </w:r>
      <w:proofErr w:type="spellStart"/>
      <w:r w:rsidR="00181FE8" w:rsidRPr="00953CBD">
        <w:t>Taq</w:t>
      </w:r>
      <w:proofErr w:type="spellEnd"/>
      <w:r w:rsidR="00181FE8" w:rsidRPr="00953CBD">
        <w:t xml:space="preserve"> DNA polymerase buffer, and 2 µl of extracted DNA. The reaction mixture </w:t>
      </w:r>
      <w:r w:rsidR="00615A2F" w:rsidRPr="00953CBD">
        <w:t>i</w:t>
      </w:r>
      <w:r w:rsidR="00181FE8" w:rsidRPr="00953CBD">
        <w:t>s incubated at 94°C for 1 min</w:t>
      </w:r>
      <w:r w:rsidR="00513469" w:rsidRPr="00953CBD">
        <w:t>ute</w:t>
      </w:r>
      <w:r w:rsidR="00181FE8" w:rsidRPr="00953CBD">
        <w:t>, then subjected to 35 cycles of 94°C for 1 min</w:t>
      </w:r>
      <w:r w:rsidR="00513469" w:rsidRPr="00953CBD">
        <w:t>ute</w:t>
      </w:r>
      <w:r w:rsidR="00181FE8" w:rsidRPr="00953CBD">
        <w:t>, 68°C for 7 min</w:t>
      </w:r>
      <w:r w:rsidR="00513469" w:rsidRPr="00953CBD">
        <w:t>utes</w:t>
      </w:r>
      <w:r w:rsidR="00181FE8" w:rsidRPr="00953CBD">
        <w:t>, and finally incubated at 68°C for 10 min</w:t>
      </w:r>
      <w:r w:rsidR="00513469" w:rsidRPr="00953CBD">
        <w:t>utes</w:t>
      </w:r>
      <w:r w:rsidR="00181FE8" w:rsidRPr="00953CBD">
        <w:t>.</w:t>
      </w:r>
    </w:p>
    <w:p w14:paraId="534E769A" w14:textId="5668C3EE" w:rsidR="00A64257" w:rsidRPr="00953CBD" w:rsidRDefault="00181FE8" w:rsidP="00631B3E">
      <w:pPr>
        <w:pStyle w:val="afourthpara"/>
      </w:pPr>
      <w:r w:rsidRPr="00953CBD">
        <w:t xml:space="preserve">10-µl volumes of </w:t>
      </w:r>
      <w:r w:rsidR="000D046B" w:rsidRPr="00953CBD">
        <w:t xml:space="preserve">TK, ICP4, ICP18.5 and ORFB-TK </w:t>
      </w:r>
      <w:r w:rsidRPr="00953CBD">
        <w:t xml:space="preserve">PCR products </w:t>
      </w:r>
      <w:r w:rsidR="00615A2F" w:rsidRPr="00953CBD">
        <w:t>are</w:t>
      </w:r>
      <w:r w:rsidRPr="00953CBD">
        <w:t xml:space="preserve"> digested separately with the restriction endonucleases </w:t>
      </w:r>
      <w:proofErr w:type="spellStart"/>
      <w:r w:rsidR="000D046B" w:rsidRPr="00953CBD">
        <w:t>Msp</w:t>
      </w:r>
      <w:r w:rsidR="000D046B" w:rsidRPr="00953CBD">
        <w:rPr>
          <w:i/>
        </w:rPr>
        <w:t>I</w:t>
      </w:r>
      <w:proofErr w:type="spellEnd"/>
      <w:r w:rsidR="000D046B" w:rsidRPr="00953CBD">
        <w:t xml:space="preserve">, </w:t>
      </w:r>
      <w:proofErr w:type="spellStart"/>
      <w:r w:rsidR="000D046B" w:rsidRPr="00953CBD">
        <w:t>Hae</w:t>
      </w:r>
      <w:r w:rsidR="000D046B" w:rsidRPr="00953CBD">
        <w:rPr>
          <w:i/>
        </w:rPr>
        <w:t>III</w:t>
      </w:r>
      <w:proofErr w:type="spellEnd"/>
      <w:r w:rsidR="000D046B" w:rsidRPr="00953CBD">
        <w:t xml:space="preserve">, </w:t>
      </w:r>
      <w:proofErr w:type="spellStart"/>
      <w:r w:rsidR="000D046B" w:rsidRPr="00953CBD">
        <w:t>Hae</w:t>
      </w:r>
      <w:r w:rsidR="000D046B" w:rsidRPr="00953CBD">
        <w:rPr>
          <w:i/>
        </w:rPr>
        <w:t>III</w:t>
      </w:r>
      <w:proofErr w:type="spellEnd"/>
      <w:r w:rsidR="000D046B" w:rsidRPr="00953CBD">
        <w:t>, and</w:t>
      </w:r>
      <w:r w:rsidRPr="00953CBD">
        <w:t xml:space="preserve"> </w:t>
      </w:r>
      <w:proofErr w:type="spellStart"/>
      <w:r w:rsidRPr="00953CBD">
        <w:t>Fok</w:t>
      </w:r>
      <w:r w:rsidRPr="00953CBD">
        <w:rPr>
          <w:i/>
        </w:rPr>
        <w:t>I</w:t>
      </w:r>
      <w:proofErr w:type="spellEnd"/>
      <w:r w:rsidRPr="00953CBD">
        <w:t xml:space="preserve"> </w:t>
      </w:r>
      <w:r w:rsidR="000D046B" w:rsidRPr="00953CBD">
        <w:t>respectively, at 37°C for 1</w:t>
      </w:r>
      <w:r w:rsidR="00513469" w:rsidRPr="00953CBD">
        <w:t> </w:t>
      </w:r>
      <w:r w:rsidR="000D046B" w:rsidRPr="00953CBD">
        <w:t>h</w:t>
      </w:r>
      <w:r w:rsidR="00513469" w:rsidRPr="00953CBD">
        <w:t>ou</w:t>
      </w:r>
      <w:r w:rsidR="000D046B" w:rsidRPr="00953CBD">
        <w:t>r</w:t>
      </w:r>
      <w:r w:rsidRPr="00953CBD">
        <w:t xml:space="preserve">. After digestion, the resultant DNA fragments </w:t>
      </w:r>
      <w:r w:rsidR="000D046B" w:rsidRPr="00953CBD">
        <w:t>a</w:t>
      </w:r>
      <w:r w:rsidRPr="00953CBD">
        <w:t>re separated in a 15%</w:t>
      </w:r>
      <w:r w:rsidR="000D046B" w:rsidRPr="00953CBD">
        <w:t xml:space="preserve"> </w:t>
      </w:r>
      <w:r w:rsidRPr="00953CBD">
        <w:t>poly</w:t>
      </w:r>
      <w:r w:rsidR="0065732F">
        <w:t>-</w:t>
      </w:r>
      <w:r w:rsidRPr="00953CBD">
        <w:t>acrylamide gel</w:t>
      </w:r>
      <w:r w:rsidR="000D046B" w:rsidRPr="00953CBD">
        <w:t xml:space="preserve"> and r</w:t>
      </w:r>
      <w:r w:rsidRPr="00953CBD">
        <w:t xml:space="preserve">estriction DNA fragments visualised by </w:t>
      </w:r>
      <w:r w:rsidR="000D046B" w:rsidRPr="00953CBD">
        <w:t>an appropriate nucleic acid stain and exposed to UV light for visualisation</w:t>
      </w:r>
      <w:r w:rsidRPr="00953CBD">
        <w:t>.</w:t>
      </w:r>
      <w:r w:rsidR="001D625F" w:rsidRPr="00953CBD">
        <w:t xml:space="preserve"> </w:t>
      </w:r>
      <w:r w:rsidR="00A64257" w:rsidRPr="00953CBD">
        <w:t>Pattern differences are recorded for each enzyme and results can b</w:t>
      </w:r>
      <w:r w:rsidR="001F33E7" w:rsidRPr="00953CBD">
        <w:t xml:space="preserve">e developed into dendrograms. </w:t>
      </w:r>
    </w:p>
    <w:p w14:paraId="0428D800" w14:textId="77777777" w:rsidR="00A64257" w:rsidRPr="00953CBD" w:rsidRDefault="00A64257" w:rsidP="00A64257">
      <w:pPr>
        <w:pStyle w:val="1"/>
        <w:spacing w:line="200" w:lineRule="exact"/>
      </w:pPr>
      <w:r w:rsidRPr="00953CBD">
        <w:t>2.</w:t>
      </w:r>
      <w:r w:rsidRPr="00953CBD">
        <w:tab/>
        <w:t>Serological tests</w:t>
      </w:r>
    </w:p>
    <w:p w14:paraId="2DF33A9D" w14:textId="3545DFDD" w:rsidR="00A64257" w:rsidRPr="00953CBD" w:rsidRDefault="004E537A" w:rsidP="00A64257">
      <w:pPr>
        <w:pStyle w:val="para1"/>
      </w:pPr>
      <w:r w:rsidRPr="00953CBD">
        <w:lastRenderedPageBreak/>
        <w:t>The method of choice for detection of a</w:t>
      </w:r>
      <w:r w:rsidR="00A64257" w:rsidRPr="00953CBD">
        <w:t xml:space="preserve">ntibodies to </w:t>
      </w:r>
      <w:r w:rsidR="001F33E7" w:rsidRPr="00953CBD">
        <w:t>ILTV</w:t>
      </w:r>
      <w:r w:rsidR="00A64257" w:rsidRPr="00953CBD">
        <w:t xml:space="preserve"> in chicken serum </w:t>
      </w:r>
      <w:r w:rsidRPr="00953CBD">
        <w:t>is ELISA. V</w:t>
      </w:r>
      <w:r w:rsidR="00A64257" w:rsidRPr="00953CBD">
        <w:t>irus neutralisation (VN)</w:t>
      </w:r>
      <w:r w:rsidRPr="00953CBD">
        <w:t xml:space="preserve"> can also be used (Adair </w:t>
      </w:r>
      <w:r w:rsidRPr="00953CBD">
        <w:rPr>
          <w:i/>
        </w:rPr>
        <w:t>et al</w:t>
      </w:r>
      <w:r w:rsidRPr="00953CBD">
        <w:t>., 1985).</w:t>
      </w:r>
      <w:r w:rsidR="00A64257" w:rsidRPr="00953CBD">
        <w:t xml:space="preserve"> AGID</w:t>
      </w:r>
      <w:r w:rsidR="002E6DB7" w:rsidRPr="00953CBD">
        <w:t xml:space="preserve"> and</w:t>
      </w:r>
      <w:r w:rsidR="00A64257" w:rsidRPr="00953CBD">
        <w:t xml:space="preserve"> indirect immunofluorescence tests </w:t>
      </w:r>
      <w:r w:rsidRPr="00953CBD">
        <w:t>are little used nowadays</w:t>
      </w:r>
      <w:r w:rsidR="00A64257" w:rsidRPr="00953CBD">
        <w:t>.</w:t>
      </w:r>
    </w:p>
    <w:p w14:paraId="671C5EDE" w14:textId="77777777" w:rsidR="00F20275" w:rsidRPr="00953CBD" w:rsidRDefault="00F20275" w:rsidP="00F20275">
      <w:pPr>
        <w:pStyle w:val="11"/>
      </w:pPr>
      <w:r w:rsidRPr="00953CBD">
        <w:t>2.1.</w:t>
      </w:r>
      <w:r w:rsidRPr="00953CBD">
        <w:tab/>
        <w:t>Enzyme-linked immunosorbent assay</w:t>
      </w:r>
    </w:p>
    <w:p w14:paraId="46704F94" w14:textId="3D7871C2" w:rsidR="00F20275" w:rsidRPr="00953CBD" w:rsidRDefault="00F20275" w:rsidP="00F20275">
      <w:pPr>
        <w:pStyle w:val="11Para"/>
      </w:pPr>
      <w:proofErr w:type="gramStart"/>
      <w:r w:rsidRPr="00953CBD">
        <w:t>A number of</w:t>
      </w:r>
      <w:proofErr w:type="gramEnd"/>
      <w:r w:rsidRPr="00953CBD">
        <w:t xml:space="preserve"> ELISA kits are available commercially, and the assay procedure may vary depending on the kit; the manufacturer’s instructions should always be followed. </w:t>
      </w:r>
      <w:r w:rsidR="00E43505" w:rsidRPr="009A4E3C">
        <w:rPr>
          <w:u w:val="double"/>
        </w:rPr>
        <w:t>Most commercial ELISAs use whole virus as detecting antigen</w:t>
      </w:r>
      <w:r w:rsidR="000D3203">
        <w:rPr>
          <w:u w:val="double"/>
        </w:rPr>
        <w:t>,</w:t>
      </w:r>
      <w:r w:rsidR="00E43505" w:rsidRPr="009A4E3C">
        <w:rPr>
          <w:u w:val="double"/>
        </w:rPr>
        <w:t xml:space="preserve"> but some use recombinant glycoproteins. For an in-house ELISA, </w:t>
      </w:r>
      <w:r w:rsidR="00E43505">
        <w:t>t</w:t>
      </w:r>
      <w:r w:rsidRPr="00953CBD">
        <w:t xml:space="preserve">he </w:t>
      </w:r>
      <w:r w:rsidR="00E43505" w:rsidRPr="009A4E3C">
        <w:rPr>
          <w:u w:val="double"/>
        </w:rPr>
        <w:t>whole virus</w:t>
      </w:r>
      <w:r w:rsidR="00E43505" w:rsidRPr="00462611">
        <w:t xml:space="preserve"> </w:t>
      </w:r>
      <w:r w:rsidRPr="00953CBD">
        <w:t>antigen</w:t>
      </w:r>
      <w:r w:rsidRPr="009A4E3C">
        <w:rPr>
          <w:strike/>
        </w:rPr>
        <w:t xml:space="preserve"> for ELISA is</w:t>
      </w:r>
      <w:r w:rsidRPr="00953CBD">
        <w:t xml:space="preserve"> </w:t>
      </w:r>
      <w:r w:rsidR="00E43505" w:rsidRPr="009A4E3C">
        <w:rPr>
          <w:u w:val="double"/>
        </w:rPr>
        <w:t>can be</w:t>
      </w:r>
      <w:r w:rsidR="00E43505" w:rsidRPr="00953CBD">
        <w:t xml:space="preserve"> </w:t>
      </w:r>
      <w:r w:rsidRPr="00953CBD">
        <w:t xml:space="preserve">obtained by sonication of heavily infected cell cultures at the time of maximum CPE, which is then </w:t>
      </w:r>
      <w:proofErr w:type="gramStart"/>
      <w:r w:rsidRPr="00953CBD">
        <w:t>centrifuged</w:t>
      </w:r>
      <w:proofErr w:type="gramEnd"/>
      <w:r w:rsidRPr="00953CBD">
        <w:t xml:space="preserve"> and the supernatant absorbed on to the wells of </w:t>
      </w:r>
      <w:proofErr w:type="spellStart"/>
      <w:r w:rsidRPr="00953CBD">
        <w:t>microtitre</w:t>
      </w:r>
      <w:proofErr w:type="spellEnd"/>
      <w:r w:rsidRPr="00953CBD">
        <w:t xml:space="preserve"> plates. A negative antigen is provided by uninfected cell culture material treated in the same way. The test consists essentially of the addition of 0.1 ml of 1/10 dilutions of test sera to duplicate wells coated with positive or negative antigen. After incubation at 37°C for 2 hours, the plates are washed four times and </w:t>
      </w:r>
      <w:r w:rsidRPr="009A4E3C">
        <w:rPr>
          <w:strike/>
        </w:rPr>
        <w:t xml:space="preserve">a 1/4000 dilution of </w:t>
      </w:r>
      <w:r w:rsidRPr="00953CBD">
        <w:t xml:space="preserve">a rabbit anti-chicken IgG conjugated with peroxidase </w:t>
      </w:r>
      <w:r w:rsidR="007E167B" w:rsidRPr="009A4E3C">
        <w:rPr>
          <w:u w:val="double"/>
        </w:rPr>
        <w:t>at a recommended dilution (1/1000 to 1/4000 depending on the manufacturer)</w:t>
      </w:r>
      <w:r w:rsidR="007E167B" w:rsidRPr="009A4E3C">
        <w:t xml:space="preserve"> </w:t>
      </w:r>
      <w:r w:rsidRPr="00953CBD">
        <w:t xml:space="preserve">is added. After incubation at 37°C for 1 hour, the plates are washed again four times. </w:t>
      </w:r>
      <w:r w:rsidR="009A4E3C" w:rsidRPr="00953CBD">
        <w:t>Finally,</w:t>
      </w:r>
      <w:r w:rsidRPr="00953CBD">
        <w:t xml:space="preserve"> a </w:t>
      </w:r>
      <w:r w:rsidRPr="009A779B">
        <w:rPr>
          <w:strike/>
        </w:rPr>
        <w:t xml:space="preserve">substrate </w:t>
      </w:r>
      <w:proofErr w:type="spellStart"/>
      <w:r w:rsidR="00D711C8" w:rsidRPr="009A779B">
        <w:rPr>
          <w:u w:val="double"/>
        </w:rPr>
        <w:t>chromagen</w:t>
      </w:r>
      <w:proofErr w:type="spellEnd"/>
      <w:r w:rsidR="00D711C8" w:rsidRPr="00953CBD">
        <w:t xml:space="preserve"> </w:t>
      </w:r>
      <w:r w:rsidRPr="00953CBD">
        <w:t xml:space="preserve">consisting of 5-aminosalicylic acid is added to each well followed by hydrogen peroxide </w:t>
      </w:r>
      <w:r w:rsidR="006B7C82" w:rsidRPr="009A779B">
        <w:rPr>
          <w:u w:val="double"/>
        </w:rPr>
        <w:t>substrate</w:t>
      </w:r>
      <w:r w:rsidR="006B7C82">
        <w:t xml:space="preserve"> </w:t>
      </w:r>
      <w:r w:rsidRPr="00953CBD">
        <w:t xml:space="preserve">to a final concentration of 0.0005%, and the absorbance of the fluid in each well is read at 450 nm on a spectrophotometer. The result for each serum is expressed as the difference between the mean absorbance produced with the positive and negative antigens. The positive/negative cut-off point is taken as the mean absorbance value for numerous negative sera plus 3 standard deviations. The test is very sensitive and </w:t>
      </w:r>
      <w:r w:rsidRPr="009A4E3C">
        <w:rPr>
          <w:strike/>
        </w:rPr>
        <w:t>possibly the best available</w:t>
      </w:r>
      <w:r w:rsidR="009A4E3C">
        <w:rPr>
          <w:strike/>
        </w:rPr>
        <w:t xml:space="preserve"> </w:t>
      </w:r>
      <w:r w:rsidR="007E167B" w:rsidRPr="009A4E3C">
        <w:rPr>
          <w:u w:val="double"/>
        </w:rPr>
        <w:t>may be useful</w:t>
      </w:r>
      <w:r w:rsidRPr="00953CBD">
        <w:t xml:space="preserve"> for surveillance purposes. Antibody responses as measured by ELISA are detectable 7–10 days after infection and peak at about 2 weeks. The response to ILT vaccines may be variable and testing is </w:t>
      </w:r>
      <w:r w:rsidRPr="009A4E3C">
        <w:rPr>
          <w:strike/>
        </w:rPr>
        <w:t>not worthwhile before</w:t>
      </w:r>
      <w:r w:rsidR="009A4E3C" w:rsidRPr="009A4E3C">
        <w:rPr>
          <w:strike/>
        </w:rPr>
        <w:t xml:space="preserve"> </w:t>
      </w:r>
      <w:r w:rsidR="007E167B" w:rsidRPr="009A4E3C">
        <w:rPr>
          <w:u w:val="double"/>
        </w:rPr>
        <w:t>often done at</w:t>
      </w:r>
      <w:r w:rsidRPr="00953CBD">
        <w:t xml:space="preserve"> 14 days post-vaccination</w:t>
      </w:r>
      <w:r w:rsidR="007E167B">
        <w:t xml:space="preserve"> </w:t>
      </w:r>
      <w:r w:rsidR="007E167B" w:rsidRPr="009A4E3C">
        <w:rPr>
          <w:u w:val="double"/>
        </w:rPr>
        <w:t>or after</w:t>
      </w:r>
      <w:r w:rsidRPr="00953CBD">
        <w:t>.</w:t>
      </w:r>
    </w:p>
    <w:p w14:paraId="5DA9ADF1" w14:textId="65DD038C" w:rsidR="00A64257" w:rsidRPr="00953CBD" w:rsidRDefault="009C17B7" w:rsidP="009C17B7">
      <w:pPr>
        <w:pStyle w:val="11"/>
      </w:pPr>
      <w:r w:rsidRPr="00953CBD">
        <w:t>2.</w:t>
      </w:r>
      <w:r w:rsidR="00F20275" w:rsidRPr="00953CBD">
        <w:t>2.</w:t>
      </w:r>
      <w:r w:rsidR="00A64257" w:rsidRPr="00953CBD">
        <w:tab/>
        <w:t>Virus neutralisation</w:t>
      </w:r>
    </w:p>
    <w:p w14:paraId="5182D3D6" w14:textId="77777777" w:rsidR="00A64257" w:rsidRPr="00953CBD" w:rsidRDefault="00A64257" w:rsidP="009C17B7">
      <w:pPr>
        <w:pStyle w:val="11Para"/>
      </w:pPr>
      <w:r w:rsidRPr="00953CBD">
        <w:t xml:space="preserve">VN tests may be conducted on the dropped CAMs of embryonating chicken eggs that have been incubated for 9–11 days, where antibody specifically neutralises pock formation </w:t>
      </w:r>
      <w:r w:rsidR="00C34B09" w:rsidRPr="00953CBD">
        <w:t>caused by</w:t>
      </w:r>
      <w:r w:rsidRPr="00953CBD">
        <w:t xml:space="preserve"> </w:t>
      </w:r>
      <w:r w:rsidR="001F33E7" w:rsidRPr="00953CBD">
        <w:t>ILTV</w:t>
      </w:r>
      <w:r w:rsidRPr="00953CBD">
        <w:t xml:space="preserve">. Alternatively, the tests can be performed in cell cultures, where antibody specifically neutralises the </w:t>
      </w:r>
      <w:r w:rsidR="001F33E7" w:rsidRPr="00953CBD">
        <w:t>ILTV</w:t>
      </w:r>
      <w:r w:rsidRPr="00953CBD">
        <w:t xml:space="preserve"> thus preventing CPE. Doubling dilutions of serum are added to equal volumes of a constant concentration of virus. This concentration may either be 100 median egg infectious doses (EID</w:t>
      </w:r>
      <w:r w:rsidRPr="004878A4">
        <w:rPr>
          <w:vertAlign w:val="subscript"/>
        </w:rPr>
        <w:t>50</w:t>
      </w:r>
      <w:r w:rsidRPr="00953CBD">
        <w:t>) for egg inoculations, or 100 median tissue culture infectious doses (TCID</w:t>
      </w:r>
      <w:r w:rsidRPr="004878A4">
        <w:rPr>
          <w:vertAlign w:val="subscript"/>
        </w:rPr>
        <w:t>50</w:t>
      </w:r>
      <w:r w:rsidRPr="00953CBD">
        <w:t>) for the inoculation of cultures. The mixtures are incubated at 37°C for 1 hour to allow any neutralisation to occur.</w:t>
      </w:r>
    </w:p>
    <w:p w14:paraId="2305980E" w14:textId="77777777" w:rsidR="00A64257" w:rsidRPr="00953CBD" w:rsidRDefault="00A64257" w:rsidP="003C4F87">
      <w:pPr>
        <w:pStyle w:val="11Para"/>
        <w:spacing w:after="480"/>
      </w:pPr>
      <w:r w:rsidRPr="00953CBD">
        <w:t xml:space="preserve">When the test is performed in eggs, the virus/serum mixtures are inoculated on to the dropped CAMs, using at least five eggs per dilution. Eggs are sealed and incubated at 37°C for 6–7 days. The </w:t>
      </w:r>
      <w:proofErr w:type="gramStart"/>
      <w:r w:rsidRPr="00953CBD">
        <w:t>end-point</w:t>
      </w:r>
      <w:proofErr w:type="gramEnd"/>
      <w:r w:rsidRPr="00953CBD">
        <w:t xml:space="preserve"> is recorded as the highest dilution of the serum where no pocks are present on the CAMs. When the tests are done in cell cultures, serum dilutions are prepared in 96-well microculture plates and virus is then added. After the period allowed for neutralisation, freshly prepared chicken embryo liver or kidney cells are added to each well. The plates are incubated at 37°C in an atmosphere of 5% CO</w:t>
      </w:r>
      <w:r w:rsidRPr="004878A4">
        <w:rPr>
          <w:vertAlign w:val="subscript"/>
        </w:rPr>
        <w:t>2</w:t>
      </w:r>
      <w:r w:rsidRPr="00953CBD">
        <w:t xml:space="preserve"> and examined daily for CPE; 50% </w:t>
      </w:r>
      <w:proofErr w:type="gramStart"/>
      <w:r w:rsidRPr="00953CBD">
        <w:t>end-points</w:t>
      </w:r>
      <w:proofErr w:type="gramEnd"/>
      <w:r w:rsidRPr="00953CBD">
        <w:t xml:space="preserve"> are read after approximately 4 days when the virus control titre indicates that 30–300 TCID</w:t>
      </w:r>
      <w:r w:rsidRPr="004878A4">
        <w:rPr>
          <w:vertAlign w:val="subscript"/>
        </w:rPr>
        <w:t>50</w:t>
      </w:r>
      <w:r w:rsidRPr="00953CBD">
        <w:t xml:space="preserve"> of virus have been used in the test. For the cell culture method of testing, virus neutralisation at 1/8 (initial dilution) or greater is considered positive.</w:t>
      </w:r>
    </w:p>
    <w:p w14:paraId="7C99291D" w14:textId="54A9F5E1" w:rsidR="00A64257" w:rsidRPr="00953CBD" w:rsidRDefault="00A64257" w:rsidP="00A64257">
      <w:pPr>
        <w:pStyle w:val="A0"/>
      </w:pPr>
      <w:r w:rsidRPr="00953CBD">
        <w:t>c.  REQUIREMENTS FOR VACCINES</w:t>
      </w:r>
    </w:p>
    <w:p w14:paraId="1ACB3426" w14:textId="77777777" w:rsidR="0001500C" w:rsidRPr="00953CBD" w:rsidRDefault="0001500C" w:rsidP="009C17B7">
      <w:pPr>
        <w:pStyle w:val="1"/>
      </w:pPr>
      <w:r w:rsidRPr="00953CBD">
        <w:t>1.</w:t>
      </w:r>
      <w:r w:rsidRPr="00953CBD">
        <w:tab/>
        <w:t>Background</w:t>
      </w:r>
    </w:p>
    <w:p w14:paraId="009C5DF7" w14:textId="5FC0C7F6" w:rsidR="00A64257" w:rsidRPr="009A4E3C" w:rsidRDefault="00A64257" w:rsidP="00ED1A5B">
      <w:pPr>
        <w:pStyle w:val="paraA0"/>
        <w:rPr>
          <w:lang w:val="en-AU"/>
        </w:rPr>
      </w:pPr>
      <w:r w:rsidRPr="00953CBD">
        <w:t>ILT is usually controlled with live vaccines</w:t>
      </w:r>
      <w:r w:rsidR="0073374D" w:rsidRPr="00953CBD">
        <w:t xml:space="preserve">. </w:t>
      </w:r>
      <w:r w:rsidR="00A268F6" w:rsidRPr="00953CBD">
        <w:t>Vaccines</w:t>
      </w:r>
      <w:r w:rsidR="00C34B09" w:rsidRPr="00953CBD">
        <w:t xml:space="preserve"> may</w:t>
      </w:r>
      <w:r w:rsidR="0073374D" w:rsidRPr="00953CBD">
        <w:t xml:space="preserve"> be used in response to disease </w:t>
      </w:r>
      <w:proofErr w:type="gramStart"/>
      <w:r w:rsidR="0073374D" w:rsidRPr="00953CBD">
        <w:t>outbreaks, or</w:t>
      </w:r>
      <w:proofErr w:type="gramEnd"/>
      <w:r w:rsidR="0073374D" w:rsidRPr="00953CBD">
        <w:t xml:space="preserve"> may be used routinely in endemic areas</w:t>
      </w:r>
      <w:r w:rsidR="00AA6EFD" w:rsidRPr="00953CBD">
        <w:t xml:space="preserve">. </w:t>
      </w:r>
      <w:r w:rsidR="0073374D" w:rsidRPr="00953CBD">
        <w:t xml:space="preserve">Repeated doses may be required to afford good protection. </w:t>
      </w:r>
      <w:r w:rsidR="00AA6EFD" w:rsidRPr="00953CBD">
        <w:t>Live attenuated ILT vaccines produced in cell cultures or embryonated hen</w:t>
      </w:r>
      <w:r w:rsidR="009C17B7" w:rsidRPr="00953CBD">
        <w:t>s’</w:t>
      </w:r>
      <w:r w:rsidR="00AA6EFD" w:rsidRPr="00953CBD">
        <w:t xml:space="preserve"> eggs are </w:t>
      </w:r>
      <w:proofErr w:type="gramStart"/>
      <w:r w:rsidR="00AA6EFD" w:rsidRPr="009A4E3C">
        <w:rPr>
          <w:strike/>
        </w:rPr>
        <w:t xml:space="preserve">most </w:t>
      </w:r>
      <w:r w:rsidR="00AA6EFD" w:rsidRPr="00953CBD">
        <w:t>commonly used</w:t>
      </w:r>
      <w:proofErr w:type="gramEnd"/>
      <w:r w:rsidR="00162AB5" w:rsidRPr="00953CBD">
        <w:t>.</w:t>
      </w:r>
      <w:r w:rsidR="00AA6EFD" w:rsidRPr="00953CBD">
        <w:t xml:space="preserve"> </w:t>
      </w:r>
      <w:r w:rsidR="00AA6EFD" w:rsidRPr="009A4E3C">
        <w:rPr>
          <w:strike/>
        </w:rPr>
        <w:t>In recent years</w:t>
      </w:r>
      <w:r w:rsidR="00C34B09" w:rsidRPr="009A4E3C">
        <w:rPr>
          <w:strike/>
        </w:rPr>
        <w:t>,</w:t>
      </w:r>
      <w:r w:rsidR="002C7E49" w:rsidRPr="00462611">
        <w:rPr>
          <w:strike/>
        </w:rPr>
        <w:t xml:space="preserve"> </w:t>
      </w:r>
      <w:r w:rsidR="00ED1A5B">
        <w:t>L</w:t>
      </w:r>
      <w:r w:rsidR="002C7E49" w:rsidRPr="00953CBD">
        <w:t>ive</w:t>
      </w:r>
      <w:r w:rsidR="00AA6EFD" w:rsidRPr="00953CBD">
        <w:t xml:space="preserve"> </w:t>
      </w:r>
      <w:r w:rsidR="002C7E49" w:rsidRPr="00953CBD">
        <w:t>recombinant (vectored)</w:t>
      </w:r>
      <w:r w:rsidR="00EF4BA9" w:rsidRPr="00953CBD">
        <w:t xml:space="preserve"> </w:t>
      </w:r>
      <w:r w:rsidR="00AA6EFD" w:rsidRPr="00953CBD">
        <w:t>vaccines</w:t>
      </w:r>
      <w:r w:rsidR="00ED1A5B">
        <w:t xml:space="preserve"> </w:t>
      </w:r>
      <w:r w:rsidR="00ED1A5B" w:rsidRPr="009A4E3C">
        <w:rPr>
          <w:u w:val="double"/>
        </w:rPr>
        <w:t>are also used</w:t>
      </w:r>
      <w:r w:rsidR="00ED1A5B" w:rsidRPr="00AB115D">
        <w:rPr>
          <w:strike/>
        </w:rPr>
        <w:t xml:space="preserve"> </w:t>
      </w:r>
      <w:r w:rsidR="00ED1A5B" w:rsidRPr="00AB115D">
        <w:rPr>
          <w:strike/>
          <w:highlight w:val="yellow"/>
        </w:rPr>
        <w:t>in some countries</w:t>
      </w:r>
      <w:r w:rsidR="00ED1A5B" w:rsidRPr="009A4E3C">
        <w:rPr>
          <w:u w:val="double"/>
        </w:rPr>
        <w:t xml:space="preserve">. These vaccines </w:t>
      </w:r>
      <w:r w:rsidR="009A4E3C" w:rsidRPr="009A4E3C">
        <w:rPr>
          <w:u w:val="double"/>
        </w:rPr>
        <w:t>use</w:t>
      </w:r>
      <w:r w:rsidR="009A4E3C" w:rsidRPr="009A4E3C" w:rsidDel="00ED1A5B">
        <w:rPr>
          <w:strike/>
        </w:rPr>
        <w:t xml:space="preserve"> </w:t>
      </w:r>
      <w:r w:rsidR="00AA6EFD" w:rsidRPr="009A4E3C">
        <w:rPr>
          <w:strike/>
        </w:rPr>
        <w:t>have been produced using</w:t>
      </w:r>
      <w:r w:rsidR="009A4E3C">
        <w:rPr>
          <w:strike/>
        </w:rPr>
        <w:t xml:space="preserve"> </w:t>
      </w:r>
      <w:r w:rsidR="00AA6EFD" w:rsidRPr="00953CBD">
        <w:t xml:space="preserve">herpesvirus of turkeys or </w:t>
      </w:r>
      <w:proofErr w:type="spellStart"/>
      <w:r w:rsidR="00AA6EFD" w:rsidRPr="00953CBD">
        <w:t>fowlpox</w:t>
      </w:r>
      <w:proofErr w:type="spellEnd"/>
      <w:r w:rsidR="002C7E49" w:rsidRPr="00953CBD">
        <w:t xml:space="preserve"> virus</w:t>
      </w:r>
      <w:r w:rsidR="00AA6EFD" w:rsidRPr="00953CBD">
        <w:t xml:space="preserve"> </w:t>
      </w:r>
      <w:r w:rsidR="009B1141" w:rsidRPr="00AB115D">
        <w:rPr>
          <w:highlight w:val="yellow"/>
          <w:u w:val="double"/>
        </w:rPr>
        <w:t>as vectors</w:t>
      </w:r>
      <w:r w:rsidR="009B1141">
        <w:t xml:space="preserve"> </w:t>
      </w:r>
      <w:r w:rsidR="002C7E49" w:rsidRPr="00953CBD">
        <w:t>to express</w:t>
      </w:r>
      <w:r w:rsidR="00AA6EFD" w:rsidRPr="00953CBD">
        <w:t xml:space="preserve"> ILTV </w:t>
      </w:r>
      <w:r w:rsidR="00AA6EFD" w:rsidRPr="009A4E3C">
        <w:rPr>
          <w:strike/>
        </w:rPr>
        <w:t>gl</w:t>
      </w:r>
      <w:r w:rsidR="0001500C" w:rsidRPr="009A4E3C">
        <w:rPr>
          <w:strike/>
        </w:rPr>
        <w:t>yco</w:t>
      </w:r>
      <w:r w:rsidR="0001500C" w:rsidRPr="00953CBD">
        <w:t>proteins</w:t>
      </w:r>
      <w:r w:rsidR="009C17B7" w:rsidRPr="00953CBD">
        <w:t xml:space="preserve">. </w:t>
      </w:r>
      <w:r w:rsidRPr="00953CBD">
        <w:t xml:space="preserve">There has </w:t>
      </w:r>
      <w:r w:rsidR="00A337D2" w:rsidRPr="00953CBD">
        <w:t xml:space="preserve">also </w:t>
      </w:r>
      <w:r w:rsidRPr="00953CBD">
        <w:t xml:space="preserve">been some </w:t>
      </w:r>
      <w:r w:rsidRPr="009A4E3C">
        <w:rPr>
          <w:strike/>
        </w:rPr>
        <w:t xml:space="preserve">recent </w:t>
      </w:r>
      <w:r w:rsidRPr="00953CBD">
        <w:t xml:space="preserve">work with genetically engineered </w:t>
      </w:r>
      <w:r w:rsidR="00AA6EFD" w:rsidRPr="00953CBD">
        <w:t xml:space="preserve">deletion-mutant </w:t>
      </w:r>
      <w:r w:rsidRPr="00953CBD">
        <w:t>vaccines and the results of the</w:t>
      </w:r>
      <w:r w:rsidR="00EF4BA9" w:rsidRPr="00953CBD">
        <w:t>se</w:t>
      </w:r>
      <w:r w:rsidRPr="00953CBD">
        <w:t xml:space="preserve"> initial studies look promising (</w:t>
      </w:r>
      <w:proofErr w:type="spellStart"/>
      <w:r w:rsidR="00162AB5" w:rsidRPr="00953CBD">
        <w:t>Coppo</w:t>
      </w:r>
      <w:proofErr w:type="spellEnd"/>
      <w:r w:rsidR="00162AB5" w:rsidRPr="00953CBD">
        <w:t xml:space="preserve"> </w:t>
      </w:r>
      <w:r w:rsidR="00162AB5" w:rsidRPr="00953CBD">
        <w:rPr>
          <w:i/>
        </w:rPr>
        <w:t>et al.,</w:t>
      </w:r>
      <w:r w:rsidR="00162AB5" w:rsidRPr="00953CBD">
        <w:t xml:space="preserve"> 2013</w:t>
      </w:r>
      <w:r w:rsidRPr="00953CBD">
        <w:t xml:space="preserve">). </w:t>
      </w:r>
      <w:r w:rsidR="00632EDF" w:rsidRPr="00953CBD">
        <w:t>For</w:t>
      </w:r>
      <w:r w:rsidR="0001500C" w:rsidRPr="00953CBD">
        <w:t xml:space="preserve"> attenuated ILT vaccines</w:t>
      </w:r>
      <w:r w:rsidR="009C17B7" w:rsidRPr="00953CBD">
        <w:t>,</w:t>
      </w:r>
      <w:r w:rsidR="0001500C" w:rsidRPr="00953CBD">
        <w:t xml:space="preserve"> t</w:t>
      </w:r>
      <w:r w:rsidRPr="00953CBD">
        <w:t xml:space="preserve">he live virus seed is a suitably attenuated or naturally avirulent strain of </w:t>
      </w:r>
      <w:r w:rsidR="001F33E7" w:rsidRPr="00953CBD">
        <w:t>ILTV</w:t>
      </w:r>
      <w:r w:rsidRPr="00953CBD">
        <w:t xml:space="preserve">. </w:t>
      </w:r>
      <w:r w:rsidR="00EF4BA9" w:rsidRPr="00953CBD">
        <w:t xml:space="preserve">Live </w:t>
      </w:r>
      <w:r w:rsidR="00EC46DE" w:rsidRPr="00953CBD">
        <w:t xml:space="preserve">attenuated </w:t>
      </w:r>
      <w:r w:rsidR="00EF4BA9" w:rsidRPr="00953CBD">
        <w:t xml:space="preserve">ILT vaccines </w:t>
      </w:r>
      <w:r w:rsidRPr="00953CBD">
        <w:t xml:space="preserve">may be administered by </w:t>
      </w:r>
      <w:r w:rsidR="00105F6D" w:rsidRPr="00953CBD">
        <w:t>eyedrop</w:t>
      </w:r>
      <w:r w:rsidRPr="00953CBD">
        <w:t xml:space="preserve">, spray or in the drinking water. </w:t>
      </w:r>
      <w:r w:rsidR="00EF4BA9" w:rsidRPr="00953CBD">
        <w:t xml:space="preserve">Recombinant vaccines may be delivered by wing-web puncture, subcutaneous injection or </w:t>
      </w:r>
      <w:r w:rsidR="00EF4BA9" w:rsidRPr="00953CBD">
        <w:rPr>
          <w:i/>
        </w:rPr>
        <w:t>in</w:t>
      </w:r>
      <w:r w:rsidR="00C34B09" w:rsidRPr="00953CBD">
        <w:rPr>
          <w:i/>
        </w:rPr>
        <w:t>-</w:t>
      </w:r>
      <w:proofErr w:type="spellStart"/>
      <w:r w:rsidR="00EF4BA9" w:rsidRPr="00953CBD">
        <w:rPr>
          <w:i/>
        </w:rPr>
        <w:t>ovo</w:t>
      </w:r>
      <w:proofErr w:type="spellEnd"/>
      <w:r w:rsidR="00EF4BA9" w:rsidRPr="00953CBD">
        <w:t xml:space="preserve"> </w:t>
      </w:r>
      <w:r w:rsidR="00632EDF" w:rsidRPr="00953CBD">
        <w:t>inoculation</w:t>
      </w:r>
      <w:r w:rsidR="00EF4BA9" w:rsidRPr="00953CBD">
        <w:t xml:space="preserve">. </w:t>
      </w:r>
      <w:r w:rsidR="00632EDF" w:rsidRPr="00953CBD">
        <w:t xml:space="preserve">There are advantages and disadvantages associated with </w:t>
      </w:r>
      <w:r w:rsidR="002C7E49" w:rsidRPr="00953CBD">
        <w:t xml:space="preserve">each of the </w:t>
      </w:r>
      <w:r w:rsidR="00632EDF" w:rsidRPr="00953CBD">
        <w:t xml:space="preserve">different types of vaccine and </w:t>
      </w:r>
      <w:r w:rsidR="002C7E49" w:rsidRPr="00953CBD">
        <w:t xml:space="preserve">the </w:t>
      </w:r>
      <w:r w:rsidR="00632EDF" w:rsidRPr="00953CBD">
        <w:t xml:space="preserve">different </w:t>
      </w:r>
      <w:r w:rsidR="002C7E49" w:rsidRPr="00953CBD">
        <w:t xml:space="preserve">methods of </w:t>
      </w:r>
      <w:r w:rsidR="00632EDF" w:rsidRPr="00953CBD">
        <w:t>delivery</w:t>
      </w:r>
      <w:r w:rsidR="0073374D" w:rsidRPr="00953CBD">
        <w:t xml:space="preserve"> (</w:t>
      </w:r>
      <w:proofErr w:type="spellStart"/>
      <w:r w:rsidR="0073374D" w:rsidRPr="00953CBD">
        <w:t>Coppo</w:t>
      </w:r>
      <w:proofErr w:type="spellEnd"/>
      <w:r w:rsidR="0073374D" w:rsidRPr="00953CBD">
        <w:t xml:space="preserve"> </w:t>
      </w:r>
      <w:r w:rsidR="0073374D" w:rsidRPr="00953CBD">
        <w:rPr>
          <w:i/>
        </w:rPr>
        <w:t>et al</w:t>
      </w:r>
      <w:r w:rsidR="0073374D" w:rsidRPr="00953CBD">
        <w:t xml:space="preserve">., </w:t>
      </w:r>
      <w:r w:rsidR="00E87059" w:rsidRPr="00953CBD">
        <w:t>2013</w:t>
      </w:r>
      <w:r w:rsidR="009A4E3C">
        <w:t>;</w:t>
      </w:r>
      <w:r w:rsidR="00ED1A5B">
        <w:t xml:space="preserve"> </w:t>
      </w:r>
      <w:r w:rsidR="00ED1A5B" w:rsidRPr="009A4E3C">
        <w:rPr>
          <w:u w:val="double"/>
          <w:lang w:val="en-AU"/>
        </w:rPr>
        <w:t>Garc</w:t>
      </w:r>
      <w:r w:rsidR="004D4283">
        <w:rPr>
          <w:u w:val="double"/>
          <w:lang w:val="en-AU"/>
        </w:rPr>
        <w:t>i</w:t>
      </w:r>
      <w:r w:rsidR="00ED1A5B" w:rsidRPr="009A4E3C">
        <w:rPr>
          <w:u w:val="double"/>
          <w:lang w:val="en-AU"/>
        </w:rPr>
        <w:t>a</w:t>
      </w:r>
      <w:r w:rsidR="00462611">
        <w:rPr>
          <w:u w:val="double"/>
          <w:lang w:val="en-AU"/>
        </w:rPr>
        <w:t>,</w:t>
      </w:r>
      <w:r w:rsidR="00ED1A5B" w:rsidRPr="009A4E3C">
        <w:rPr>
          <w:u w:val="double"/>
          <w:lang w:val="en-AU"/>
        </w:rPr>
        <w:t xml:space="preserve"> 2017</w:t>
      </w:r>
      <w:r w:rsidR="0073374D" w:rsidRPr="00953CBD">
        <w:t>)</w:t>
      </w:r>
      <w:r w:rsidR="002C7E49" w:rsidRPr="00953CBD">
        <w:t>. For example, vectored vaccines may only be partially protective</w:t>
      </w:r>
      <w:r w:rsidR="00632EDF" w:rsidRPr="00953CBD">
        <w:t xml:space="preserve"> </w:t>
      </w:r>
      <w:r w:rsidR="00EC46DE" w:rsidRPr="00953CBD">
        <w:t>and live attenuated ILT</w:t>
      </w:r>
      <w:r w:rsidR="002C7E49" w:rsidRPr="00953CBD">
        <w:t xml:space="preserve"> vaccines may have residual virulence that can cause clinical disease, especially if </w:t>
      </w:r>
      <w:r w:rsidRPr="00953CBD">
        <w:t>administered by spray and a small droplet size is produced and inhaled</w:t>
      </w:r>
      <w:r w:rsidR="0073374D" w:rsidRPr="00953CBD">
        <w:t xml:space="preserve">. </w:t>
      </w:r>
      <w:r w:rsidR="00EC46DE" w:rsidRPr="00953CBD">
        <w:t>Live attenuated ILT</w:t>
      </w:r>
      <w:r w:rsidR="0073374D" w:rsidRPr="00953CBD">
        <w:t xml:space="preserve"> vaccines may also revert to higher levels of virulence following bird-to-bird passage and persist in the field</w:t>
      </w:r>
      <w:r w:rsidR="00513469" w:rsidRPr="00953CBD">
        <w:t xml:space="preserve"> (</w:t>
      </w:r>
      <w:proofErr w:type="spellStart"/>
      <w:r w:rsidR="00513469" w:rsidRPr="00953CBD">
        <w:t>Coppo</w:t>
      </w:r>
      <w:proofErr w:type="spellEnd"/>
      <w:r w:rsidR="00513469" w:rsidRPr="00953CBD">
        <w:t xml:space="preserve"> </w:t>
      </w:r>
      <w:r w:rsidR="00513469" w:rsidRPr="00953CBD">
        <w:rPr>
          <w:i/>
        </w:rPr>
        <w:t>et al.,</w:t>
      </w:r>
      <w:r w:rsidR="00513469" w:rsidRPr="00953CBD">
        <w:t xml:space="preserve"> 2013)</w:t>
      </w:r>
      <w:r w:rsidR="0073374D" w:rsidRPr="00953CBD">
        <w:t>. For this reason</w:t>
      </w:r>
      <w:r w:rsidR="009C17B7" w:rsidRPr="00953CBD">
        <w:t>,</w:t>
      </w:r>
      <w:r w:rsidR="0073374D" w:rsidRPr="00953CBD">
        <w:t xml:space="preserve"> </w:t>
      </w:r>
      <w:r w:rsidRPr="00953CBD">
        <w:t xml:space="preserve">it may be difficult to discontinue vaccination once it has been started. Subclinical mixed infections of vaccine and field </w:t>
      </w:r>
      <w:r w:rsidRPr="00953CBD">
        <w:lastRenderedPageBreak/>
        <w:t>virus, in vaccinated birds, can cause severe disease in unvaccinated in-contacts</w:t>
      </w:r>
      <w:r w:rsidR="00EF4BA9" w:rsidRPr="00953CBD">
        <w:t xml:space="preserve">. Natural recombination between attenuated </w:t>
      </w:r>
      <w:r w:rsidR="0064476A" w:rsidRPr="00953CBD">
        <w:t>vaccine strains</w:t>
      </w:r>
      <w:r w:rsidR="0073374D" w:rsidRPr="00953CBD">
        <w:t xml:space="preserve"> of ILT</w:t>
      </w:r>
      <w:r w:rsidR="00EC46DE" w:rsidRPr="00953CBD">
        <w:t>V</w:t>
      </w:r>
      <w:r w:rsidR="0064476A" w:rsidRPr="00953CBD">
        <w:t xml:space="preserve"> </w:t>
      </w:r>
      <w:r w:rsidR="00EF4BA9" w:rsidRPr="00953CBD">
        <w:t xml:space="preserve">to produce virulent viruses has been reported </w:t>
      </w:r>
      <w:r w:rsidR="0073374D" w:rsidRPr="00953CBD">
        <w:t xml:space="preserve">and is also a risk </w:t>
      </w:r>
      <w:r w:rsidR="00EC46DE" w:rsidRPr="00953CBD">
        <w:t>for other live</w:t>
      </w:r>
      <w:r w:rsidR="003F5226" w:rsidRPr="00953CBD">
        <w:t xml:space="preserve"> vaccines</w:t>
      </w:r>
      <w:r w:rsidR="00EF4BA9" w:rsidRPr="00953CBD">
        <w:t>.</w:t>
      </w:r>
      <w:r w:rsidR="00EC46DE" w:rsidRPr="00953CBD">
        <w:t xml:space="preserve"> The use of multiple different ILTV vaccines in the same populations should therefore be avoided</w:t>
      </w:r>
      <w:r w:rsidR="003F5226" w:rsidRPr="00953CBD">
        <w:t xml:space="preserve"> (</w:t>
      </w:r>
      <w:proofErr w:type="spellStart"/>
      <w:r w:rsidR="003F5226" w:rsidRPr="00953CBD">
        <w:t>Coppo</w:t>
      </w:r>
      <w:proofErr w:type="spellEnd"/>
      <w:r w:rsidR="003F5226" w:rsidRPr="00953CBD">
        <w:t xml:space="preserve"> </w:t>
      </w:r>
      <w:r w:rsidR="003F5226" w:rsidRPr="00953CBD">
        <w:rPr>
          <w:i/>
        </w:rPr>
        <w:t>et al</w:t>
      </w:r>
      <w:r w:rsidR="003F5226" w:rsidRPr="00953CBD">
        <w:t>., 2013)</w:t>
      </w:r>
      <w:r w:rsidR="00EC46DE" w:rsidRPr="00953CBD">
        <w:t xml:space="preserve">. </w:t>
      </w:r>
    </w:p>
    <w:p w14:paraId="09CD7D23" w14:textId="70FCA2FC" w:rsidR="00A64257" w:rsidRPr="00953CBD" w:rsidRDefault="00A64257" w:rsidP="00331F82">
      <w:pPr>
        <w:pStyle w:val="para1"/>
      </w:pPr>
      <w:r w:rsidRPr="00953CBD">
        <w:t xml:space="preserve">Guidelines </w:t>
      </w:r>
      <w:proofErr w:type="gramStart"/>
      <w:r w:rsidRPr="00953CBD">
        <w:t>for the production of</w:t>
      </w:r>
      <w:proofErr w:type="gramEnd"/>
      <w:r w:rsidRPr="00953CBD">
        <w:t xml:space="preserve"> veterinary vaccines are given in Chapter 1.1.</w:t>
      </w:r>
      <w:r w:rsidR="00637883">
        <w:t>8</w:t>
      </w:r>
      <w:r w:rsidRPr="00953CBD">
        <w:t xml:space="preserve"> </w:t>
      </w:r>
      <w:r w:rsidRPr="00953CBD">
        <w:rPr>
          <w:i/>
        </w:rPr>
        <w:t>Principles of veterinary vaccine production</w:t>
      </w:r>
      <w:r w:rsidRPr="00953CBD">
        <w:t>. The guidelines given here and in Chapter 1.1.</w:t>
      </w:r>
      <w:r w:rsidR="00637883">
        <w:t>8</w:t>
      </w:r>
      <w:r w:rsidRPr="00953CBD">
        <w:t xml:space="preserve"> are intended to be general in nature and may be supplemented by national and regional requirements (e.g.</w:t>
      </w:r>
      <w:r w:rsidR="003051E0" w:rsidRPr="00953CBD">
        <w:t xml:space="preserve"> </w:t>
      </w:r>
      <w:r w:rsidR="009445FD" w:rsidRPr="00953CBD">
        <w:t xml:space="preserve">Code of Federal Regulations </w:t>
      </w:r>
      <w:r w:rsidR="00247F23" w:rsidRPr="00953CBD">
        <w:t>of the United States of America</w:t>
      </w:r>
      <w:r w:rsidR="00105F6D" w:rsidRPr="00953CBD">
        <w:t xml:space="preserve"> [USA]</w:t>
      </w:r>
      <w:r w:rsidR="00D904E7" w:rsidRPr="00953CBD">
        <w:t>,</w:t>
      </w:r>
      <w:r w:rsidR="00247F23" w:rsidRPr="00953CBD">
        <w:t xml:space="preserve"> </w:t>
      </w:r>
      <w:r w:rsidR="002E3B67" w:rsidRPr="00953CBD">
        <w:t>2000</w:t>
      </w:r>
      <w:r w:rsidR="006E332A" w:rsidRPr="00953CBD">
        <w:t>;</w:t>
      </w:r>
      <w:r w:rsidR="00247F23" w:rsidRPr="00953CBD">
        <w:t xml:space="preserve"> European Pharmacopoeia</w:t>
      </w:r>
      <w:r w:rsidR="0062316C" w:rsidRPr="00953CBD">
        <w:t>, 2010</w:t>
      </w:r>
      <w:r w:rsidRPr="00953CBD">
        <w:t>).</w:t>
      </w:r>
    </w:p>
    <w:p w14:paraId="47196D79" w14:textId="77AF8BA7" w:rsidR="00A64257" w:rsidRPr="00953CBD" w:rsidRDefault="00A8088C" w:rsidP="00A64257">
      <w:pPr>
        <w:pStyle w:val="1"/>
        <w:ind w:left="425" w:hanging="425"/>
        <w:rPr>
          <w:sz w:val="24"/>
        </w:rPr>
      </w:pPr>
      <w:r w:rsidRPr="00953CBD">
        <w:rPr>
          <w:sz w:val="24"/>
        </w:rPr>
        <w:t>2.</w:t>
      </w:r>
      <w:r w:rsidRPr="00953CBD">
        <w:rPr>
          <w:sz w:val="24"/>
        </w:rPr>
        <w:tab/>
      </w:r>
      <w:r w:rsidR="00EC46DE" w:rsidRPr="00953CBD">
        <w:rPr>
          <w:sz w:val="24"/>
        </w:rPr>
        <w:t>Outline of production and minimum requirements for vaccines</w:t>
      </w:r>
    </w:p>
    <w:p w14:paraId="35898879" w14:textId="77777777" w:rsidR="009E30E7" w:rsidRPr="00953CBD" w:rsidRDefault="00D904E7" w:rsidP="00D904E7">
      <w:pPr>
        <w:pStyle w:val="11"/>
      </w:pPr>
      <w:r w:rsidRPr="00953CBD">
        <w:t>2.1.</w:t>
      </w:r>
      <w:r w:rsidR="00A64257" w:rsidRPr="00953CBD">
        <w:tab/>
        <w:t>Characteristics of the seed</w:t>
      </w:r>
    </w:p>
    <w:p w14:paraId="78454D17" w14:textId="77777777" w:rsidR="00A268F6" w:rsidRPr="00953CBD" w:rsidRDefault="00D904E7" w:rsidP="00D904E7">
      <w:pPr>
        <w:pStyle w:val="111"/>
      </w:pPr>
      <w:r w:rsidRPr="00953CBD">
        <w:t>2.1.1.</w:t>
      </w:r>
      <w:r w:rsidRPr="00953CBD">
        <w:tab/>
      </w:r>
      <w:r w:rsidR="009E30E7" w:rsidRPr="00953CBD">
        <w:t>Biological characteristics of the master seed</w:t>
      </w:r>
    </w:p>
    <w:p w14:paraId="15AB61F8" w14:textId="5C6A038F" w:rsidR="00B4003E" w:rsidRPr="00953CBD" w:rsidRDefault="00E011E0" w:rsidP="00D904E7">
      <w:pPr>
        <w:pStyle w:val="111Para"/>
      </w:pPr>
      <w:r w:rsidRPr="00953CBD">
        <w:t xml:space="preserve">The virus seed for attenuated live ILT vaccines is a suitably attenuated or naturally avirulent strain of ILTV. Attenuation is achieved by serial passage of virus in embryonated eggs or tissue cultures. Recombinant vectored vaccines are created using recombinant DNA methodologies. </w:t>
      </w:r>
      <w:r w:rsidR="00A64257" w:rsidRPr="00953CBD">
        <w:t xml:space="preserve">The master seed virus (MSV) can be propagated in SPF chicken embryos or tissue cultures derived from such embryos. </w:t>
      </w:r>
      <w:r w:rsidR="00A56963" w:rsidRPr="00953CBD">
        <w:t>Initial tests are performed to demonstrate the safety and</w:t>
      </w:r>
      <w:r w:rsidR="004C1770" w:rsidRPr="00953CBD">
        <w:t xml:space="preserve"> efficacy</w:t>
      </w:r>
      <w:r w:rsidR="00A56963" w:rsidRPr="00953CBD">
        <w:t xml:space="preserve"> of the chosen </w:t>
      </w:r>
      <w:r w:rsidR="00B4003E" w:rsidRPr="00953CBD">
        <w:t xml:space="preserve">master seed </w:t>
      </w:r>
      <w:r w:rsidR="00A56963" w:rsidRPr="00953CBD">
        <w:t>and the master seed</w:t>
      </w:r>
      <w:r w:rsidR="00A64257" w:rsidRPr="00953CBD">
        <w:t xml:space="preserve"> </w:t>
      </w:r>
      <w:r w:rsidR="00B4003E" w:rsidRPr="00953CBD">
        <w:t>must be tested for purity, virus identity and the presence of extraneous pathogens</w:t>
      </w:r>
      <w:r w:rsidR="00D904E7" w:rsidRPr="00953CBD">
        <w:t>.</w:t>
      </w:r>
      <w:r w:rsidR="00B4003E" w:rsidRPr="00953CBD">
        <w:t xml:space="preserve"> </w:t>
      </w:r>
      <w:r w:rsidR="00A64257" w:rsidRPr="00953CBD">
        <w:t xml:space="preserve">The MSV is stored in aliquots at –70°C. </w:t>
      </w:r>
      <w:r w:rsidR="009C66BF" w:rsidRPr="00953CBD">
        <w:t xml:space="preserve">The viruses used in manufacture should be no more than </w:t>
      </w:r>
      <w:r w:rsidR="00C62980" w:rsidRPr="00953CBD">
        <w:t>five</w:t>
      </w:r>
      <w:r w:rsidR="009C66BF" w:rsidRPr="00953CBD">
        <w:t xml:space="preserve"> passages from the MSV</w:t>
      </w:r>
      <w:r w:rsidR="00DE0799" w:rsidRPr="00953CBD">
        <w:t>.</w:t>
      </w:r>
    </w:p>
    <w:p w14:paraId="6ADA2F3F" w14:textId="77777777" w:rsidR="00B4003E" w:rsidRPr="00953CBD" w:rsidRDefault="00D904E7" w:rsidP="00D904E7">
      <w:pPr>
        <w:pStyle w:val="111"/>
        <w:rPr>
          <w:bCs/>
        </w:rPr>
      </w:pPr>
      <w:r w:rsidRPr="00953CBD">
        <w:rPr>
          <w:bCs/>
        </w:rPr>
        <w:t>2.1.2.</w:t>
      </w:r>
      <w:r w:rsidRPr="00953CBD">
        <w:rPr>
          <w:bCs/>
        </w:rPr>
        <w:tab/>
      </w:r>
      <w:r w:rsidR="00B4003E" w:rsidRPr="00953CBD">
        <w:rPr>
          <w:bCs/>
        </w:rPr>
        <w:t>Quality criteria (sterility, purity, freedom from extraneous agents)</w:t>
      </w:r>
    </w:p>
    <w:p w14:paraId="4F538104" w14:textId="19E9C9E2" w:rsidR="008E19A2" w:rsidRPr="00953CBD" w:rsidRDefault="00196F7C" w:rsidP="00D904E7">
      <w:pPr>
        <w:pStyle w:val="111Para"/>
      </w:pPr>
      <w:r w:rsidRPr="00953CBD">
        <w:t>D</w:t>
      </w:r>
      <w:r w:rsidR="002C41E0" w:rsidRPr="00953CBD">
        <w:t xml:space="preserve">etails on the origin of the </w:t>
      </w:r>
      <w:r w:rsidR="008E19A2" w:rsidRPr="00953CBD">
        <w:t>virus seed</w:t>
      </w:r>
      <w:r w:rsidR="002C41E0" w:rsidRPr="00953CBD">
        <w:t xml:space="preserve">, including </w:t>
      </w:r>
      <w:r w:rsidRPr="00953CBD">
        <w:t xml:space="preserve">passage history and </w:t>
      </w:r>
      <w:r w:rsidR="002C41E0" w:rsidRPr="00953CBD">
        <w:t xml:space="preserve">any genetic manipulations </w:t>
      </w:r>
      <w:r w:rsidR="002E454D" w:rsidRPr="00953CBD">
        <w:t xml:space="preserve">should be </w:t>
      </w:r>
      <w:r w:rsidR="002C41E0" w:rsidRPr="00953CBD">
        <w:t xml:space="preserve">recorded. </w:t>
      </w:r>
      <w:r w:rsidR="009C66BF" w:rsidRPr="00953CBD">
        <w:t>The MSV is tested in chicken embryos or chickens for sterility and freedom from extraneous agents</w:t>
      </w:r>
      <w:r w:rsidR="002C41E0" w:rsidRPr="00953CBD">
        <w:t xml:space="preserve"> (see </w:t>
      </w:r>
      <w:r w:rsidR="00E8562D" w:rsidRPr="00953CBD">
        <w:t>chapter 1.1.</w:t>
      </w:r>
      <w:r w:rsidR="00637883">
        <w:t>9</w:t>
      </w:r>
      <w:r w:rsidR="002C41E0" w:rsidRPr="00953CBD">
        <w:t xml:space="preserve">). </w:t>
      </w:r>
      <w:r w:rsidR="004C1770" w:rsidRPr="00953CBD">
        <w:t>Virus content</w:t>
      </w:r>
      <w:r w:rsidR="002C41E0" w:rsidRPr="00953CBD">
        <w:t xml:space="preserve"> is determined by virus titration in chicken embryos or cell culture</w:t>
      </w:r>
      <w:r w:rsidR="008E19A2" w:rsidRPr="00953CBD">
        <w:t>.</w:t>
      </w:r>
      <w:r w:rsidR="009C66BF" w:rsidRPr="00953CBD">
        <w:t xml:space="preserve"> </w:t>
      </w:r>
    </w:p>
    <w:p w14:paraId="51895D7B" w14:textId="77777777" w:rsidR="008E19A2" w:rsidRPr="00953CBD" w:rsidRDefault="00D904E7" w:rsidP="00D904E7">
      <w:pPr>
        <w:pStyle w:val="111"/>
        <w:rPr>
          <w:bCs/>
        </w:rPr>
      </w:pPr>
      <w:r w:rsidRPr="00953CBD">
        <w:rPr>
          <w:bCs/>
        </w:rPr>
        <w:t>2.1.3.</w:t>
      </w:r>
      <w:r w:rsidRPr="00953CBD">
        <w:rPr>
          <w:bCs/>
        </w:rPr>
        <w:tab/>
      </w:r>
      <w:r w:rsidR="008E19A2" w:rsidRPr="00953CBD">
        <w:rPr>
          <w:bCs/>
        </w:rPr>
        <w:t>Validation as a vaccine strain</w:t>
      </w:r>
    </w:p>
    <w:p w14:paraId="1DD40829" w14:textId="6A175E69" w:rsidR="00A64257" w:rsidRPr="00953CBD" w:rsidRDefault="00F013E6" w:rsidP="00D904E7">
      <w:pPr>
        <w:pStyle w:val="111Para"/>
      </w:pPr>
      <w:r w:rsidRPr="00953CBD">
        <w:t xml:space="preserve">ILT </w:t>
      </w:r>
      <w:r w:rsidR="008E19A2" w:rsidRPr="00953CBD">
        <w:t xml:space="preserve">vaccines </w:t>
      </w:r>
      <w:r w:rsidR="00705BE3" w:rsidRPr="00953CBD">
        <w:t>cross-protect</w:t>
      </w:r>
      <w:r w:rsidR="008E19A2" w:rsidRPr="00953CBD">
        <w:t xml:space="preserve"> against different strains of ILTV</w:t>
      </w:r>
      <w:r w:rsidRPr="00953CBD">
        <w:t>. I</w:t>
      </w:r>
      <w:r w:rsidR="008E19A2" w:rsidRPr="00953CBD">
        <w:t xml:space="preserve">nfection of </w:t>
      </w:r>
      <w:r w:rsidR="00705BE3" w:rsidRPr="00953CBD">
        <w:t xml:space="preserve">non-target species with </w:t>
      </w:r>
      <w:r w:rsidRPr="00953CBD">
        <w:t xml:space="preserve">vaccine strains of ILTV is not </w:t>
      </w:r>
      <w:r w:rsidR="001C575C" w:rsidRPr="00953CBD">
        <w:t xml:space="preserve">a </w:t>
      </w:r>
      <w:r w:rsidR="002E454D" w:rsidRPr="00953CBD">
        <w:t xml:space="preserve">major </w:t>
      </w:r>
      <w:r w:rsidR="001C575C" w:rsidRPr="00953CBD">
        <w:t xml:space="preserve">concern </w:t>
      </w:r>
      <w:r w:rsidR="00C62980" w:rsidRPr="00953CBD">
        <w:t>because of</w:t>
      </w:r>
      <w:r w:rsidRPr="00953CBD">
        <w:t xml:space="preserve"> </w:t>
      </w:r>
      <w:r w:rsidR="0062316C" w:rsidRPr="00953CBD">
        <w:t>the</w:t>
      </w:r>
      <w:r w:rsidRPr="00953CBD">
        <w:t xml:space="preserve"> narrow host range</w:t>
      </w:r>
      <w:r w:rsidR="0062316C" w:rsidRPr="00953CBD">
        <w:t xml:space="preserve"> of ILTV</w:t>
      </w:r>
      <w:r w:rsidRPr="00953CBD">
        <w:t>.</w:t>
      </w:r>
    </w:p>
    <w:p w14:paraId="6A49C384" w14:textId="1D8DDDB4" w:rsidR="00A64257" w:rsidRPr="00953CBD" w:rsidRDefault="00D904E7" w:rsidP="00D904E7">
      <w:pPr>
        <w:pStyle w:val="11"/>
        <w:rPr>
          <w:sz w:val="24"/>
        </w:rPr>
      </w:pPr>
      <w:r w:rsidRPr="00953CBD">
        <w:t>2.2.</w:t>
      </w:r>
      <w:r w:rsidR="00A64257" w:rsidRPr="00953CBD">
        <w:tab/>
        <w:t xml:space="preserve">Method of </w:t>
      </w:r>
      <w:r w:rsidR="00F013E6" w:rsidRPr="00953CBD">
        <w:t>manufacture</w:t>
      </w:r>
    </w:p>
    <w:p w14:paraId="2ADE88C1" w14:textId="77777777" w:rsidR="001C575C" w:rsidRPr="00953CBD" w:rsidRDefault="00D904E7" w:rsidP="00D904E7">
      <w:pPr>
        <w:pStyle w:val="111"/>
        <w:rPr>
          <w:bCs/>
        </w:rPr>
      </w:pPr>
      <w:r w:rsidRPr="00953CBD">
        <w:rPr>
          <w:bCs/>
        </w:rPr>
        <w:t>2.2.1.</w:t>
      </w:r>
      <w:r w:rsidR="001C575C" w:rsidRPr="00953CBD">
        <w:rPr>
          <w:bCs/>
        </w:rPr>
        <w:t xml:space="preserve"> </w:t>
      </w:r>
      <w:r w:rsidRPr="00953CBD">
        <w:rPr>
          <w:bCs/>
        </w:rPr>
        <w:tab/>
      </w:r>
      <w:r w:rsidR="001C575C" w:rsidRPr="00953CBD">
        <w:rPr>
          <w:bCs/>
        </w:rPr>
        <w:t>Procedure</w:t>
      </w:r>
    </w:p>
    <w:p w14:paraId="363119DF" w14:textId="1BB0FC3D" w:rsidR="00A64257" w:rsidRPr="00953CBD" w:rsidRDefault="00A64257" w:rsidP="00D904E7">
      <w:pPr>
        <w:pStyle w:val="111Para"/>
      </w:pPr>
      <w:r w:rsidRPr="00953CBD">
        <w:t xml:space="preserve">In large-scale vaccine production, the virus is propagated in SPF chicken embryos or tissue culture derived from such embryos, up to the fifth passage from the MSV. The acceptable passage level is supported experimentally by the passage level used to prepare the experimental product used in </w:t>
      </w:r>
      <w:r w:rsidR="00BB337F" w:rsidRPr="00BB337F">
        <w:rPr>
          <w:strike/>
        </w:rPr>
        <w:t xml:space="preserve">the </w:t>
      </w:r>
      <w:r w:rsidRPr="00953CBD">
        <w:t>efficacy</w:t>
      </w:r>
      <w:r w:rsidR="00BB337F">
        <w:t xml:space="preserve"> </w:t>
      </w:r>
      <w:r w:rsidR="00BB337F" w:rsidRPr="00BB337F">
        <w:rPr>
          <w:strike/>
        </w:rPr>
        <w:t>study</w:t>
      </w:r>
      <w:r w:rsidRPr="00BB337F">
        <w:rPr>
          <w:strike/>
        </w:rPr>
        <w:t xml:space="preserve"> </w:t>
      </w:r>
      <w:r w:rsidR="00BB3BB3" w:rsidRPr="00BB337F">
        <w:rPr>
          <w:u w:val="double"/>
        </w:rPr>
        <w:t>studies</w:t>
      </w:r>
      <w:r w:rsidRPr="00953CBD">
        <w:t>.</w:t>
      </w:r>
      <w:r w:rsidR="002E454D" w:rsidRPr="00953CBD">
        <w:t xml:space="preserve"> The vaccine is made by inoculation of the production seed virus into 9</w:t>
      </w:r>
      <w:r w:rsidR="00C62980" w:rsidRPr="00953CBD">
        <w:t xml:space="preserve">- to </w:t>
      </w:r>
      <w:r w:rsidR="002E454D" w:rsidRPr="00953CBD">
        <w:t xml:space="preserve">11-day-old chicken embryos or tissue culture prepared from chicken embryos derived from SPF flocks. Eggs are inoculated through a hole in the shell, on to the dropped CAM or into the </w:t>
      </w:r>
      <w:proofErr w:type="spellStart"/>
      <w:r w:rsidR="002E454D" w:rsidRPr="00953CBD">
        <w:t>allantoic</w:t>
      </w:r>
      <w:proofErr w:type="spellEnd"/>
      <w:r w:rsidR="002E454D" w:rsidRPr="00953CBD">
        <w:t xml:space="preserve"> </w:t>
      </w:r>
      <w:r w:rsidR="006E1067" w:rsidRPr="00953CBD">
        <w:t>sac</w:t>
      </w:r>
      <w:r w:rsidR="002E454D" w:rsidRPr="00953CBD">
        <w:t xml:space="preserve">. They are sealed and incubated at 37°C for 4–6 days. All eggs are candled before harvest and only those with living embryos are used. To harvest the virus, the eggs are chilled, then cleansed and opened aseptically. The CAMs or </w:t>
      </w:r>
      <w:proofErr w:type="spellStart"/>
      <w:r w:rsidR="002E454D" w:rsidRPr="00953CBD">
        <w:t>allantoic</w:t>
      </w:r>
      <w:proofErr w:type="spellEnd"/>
      <w:r w:rsidR="002E454D" w:rsidRPr="00953CBD">
        <w:t xml:space="preserve"> fluids are pooled in sterile, cooled containers. The CAMs should show the thick grey plaques typical of ILTV growth. Tissue culture-derived product would be prepared from virus-bearing cell culture fluids, which would also be subsequently pooled and tested</w:t>
      </w:r>
      <w:r w:rsidR="006E1067" w:rsidRPr="00953CBD">
        <w:t>.</w:t>
      </w:r>
    </w:p>
    <w:p w14:paraId="14BA5DFA" w14:textId="77777777" w:rsidR="001C575C" w:rsidRPr="00953CBD" w:rsidRDefault="00D904E7" w:rsidP="00D904E7">
      <w:pPr>
        <w:pStyle w:val="111"/>
        <w:rPr>
          <w:bCs/>
        </w:rPr>
      </w:pPr>
      <w:r w:rsidRPr="00953CBD">
        <w:rPr>
          <w:bCs/>
        </w:rPr>
        <w:t>2.2.2.</w:t>
      </w:r>
      <w:r w:rsidRPr="00953CBD">
        <w:rPr>
          <w:bCs/>
        </w:rPr>
        <w:tab/>
      </w:r>
      <w:r w:rsidR="001C575C" w:rsidRPr="00953CBD">
        <w:rPr>
          <w:bCs/>
        </w:rPr>
        <w:t>Requirements for ingredients</w:t>
      </w:r>
    </w:p>
    <w:p w14:paraId="4CB3EAC1" w14:textId="50A9795B" w:rsidR="001C575C" w:rsidRPr="00953CBD" w:rsidRDefault="00924413" w:rsidP="00D904E7">
      <w:pPr>
        <w:pStyle w:val="111Para"/>
      </w:pPr>
      <w:r w:rsidRPr="00953CBD">
        <w:t xml:space="preserve">Bovine serum used in vaccine production </w:t>
      </w:r>
      <w:r w:rsidR="002E454D" w:rsidRPr="00953CBD">
        <w:t>should</w:t>
      </w:r>
      <w:r w:rsidRPr="00953CBD">
        <w:t xml:space="preserve"> be sourced from a country with negligible risk for </w:t>
      </w:r>
      <w:r w:rsidR="003A0C29" w:rsidRPr="00953CBD">
        <w:t>transmissible spongiform encephalopathies [TSEs]</w:t>
      </w:r>
      <w:r w:rsidR="00A03D85" w:rsidRPr="00953CBD">
        <w:t>.</w:t>
      </w:r>
      <w:r w:rsidR="008A7559" w:rsidRPr="00953CBD">
        <w:t xml:space="preserve"> The origin of </w:t>
      </w:r>
      <w:r w:rsidR="006E1067" w:rsidRPr="00953CBD">
        <w:t>animal</w:t>
      </w:r>
      <w:r w:rsidR="00196F7C" w:rsidRPr="00953CBD">
        <w:t xml:space="preserve"> pancreatic</w:t>
      </w:r>
      <w:r w:rsidR="006E1067" w:rsidRPr="00953CBD">
        <w:t xml:space="preserve"> </w:t>
      </w:r>
      <w:r w:rsidR="002E454D" w:rsidRPr="00953CBD">
        <w:t xml:space="preserve">trypsin used for cell culture </w:t>
      </w:r>
      <w:r w:rsidR="008A7559" w:rsidRPr="00953CBD">
        <w:t>should be</w:t>
      </w:r>
      <w:r w:rsidR="002E454D" w:rsidRPr="00953CBD">
        <w:t xml:space="preserve"> considered. </w:t>
      </w:r>
      <w:r w:rsidR="003A0C29" w:rsidRPr="00953CBD">
        <w:t>See chapter 1.1.</w:t>
      </w:r>
      <w:r w:rsidR="00637883">
        <w:t>8</w:t>
      </w:r>
      <w:r w:rsidR="003A0C29" w:rsidRPr="00953CBD">
        <w:t xml:space="preserve"> with </w:t>
      </w:r>
      <w:r w:rsidR="00105F6D" w:rsidRPr="00953CBD">
        <w:t xml:space="preserve">a </w:t>
      </w:r>
      <w:r w:rsidR="003A0C29" w:rsidRPr="00953CBD">
        <w:t>special focus on products of biological origin originating from a country with negligible risk for TSEs.</w:t>
      </w:r>
    </w:p>
    <w:p w14:paraId="72BE3707" w14:textId="77777777" w:rsidR="00A64257" w:rsidRPr="00953CBD" w:rsidRDefault="00D904E7" w:rsidP="00D904E7">
      <w:pPr>
        <w:pStyle w:val="111"/>
      </w:pPr>
      <w:r w:rsidRPr="00953CBD">
        <w:t>2.2.3.</w:t>
      </w:r>
      <w:r w:rsidRPr="00953CBD">
        <w:tab/>
      </w:r>
      <w:r w:rsidR="00A64257" w:rsidRPr="00953CBD">
        <w:t>In-process control</w:t>
      </w:r>
      <w:r w:rsidR="006E1067" w:rsidRPr="00953CBD">
        <w:t>s</w:t>
      </w:r>
    </w:p>
    <w:p w14:paraId="0651F910" w14:textId="667F0A05" w:rsidR="00A64257" w:rsidRPr="00953CBD" w:rsidRDefault="00A64257" w:rsidP="00D904E7">
      <w:pPr>
        <w:pStyle w:val="111Para"/>
      </w:pPr>
      <w:r w:rsidRPr="00953CBD">
        <w:t>The infected tissue or tissue culture homogenate may be tested for purity, potency, virus content</w:t>
      </w:r>
      <w:r w:rsidR="00BC27B0" w:rsidRPr="00953CBD">
        <w:t xml:space="preserve"> and </w:t>
      </w:r>
      <w:r w:rsidR="002A1455" w:rsidRPr="00953CBD">
        <w:t>safety</w:t>
      </w:r>
      <w:r w:rsidR="00D904E7" w:rsidRPr="00953CBD">
        <w:t>.</w:t>
      </w:r>
    </w:p>
    <w:p w14:paraId="11CC957C" w14:textId="32B05488" w:rsidR="00A64257" w:rsidRPr="00953CBD" w:rsidRDefault="00D904E7" w:rsidP="00D904E7">
      <w:pPr>
        <w:pStyle w:val="111"/>
      </w:pPr>
      <w:r w:rsidRPr="00953CBD">
        <w:lastRenderedPageBreak/>
        <w:t>2.2.4.</w:t>
      </w:r>
      <w:r w:rsidRPr="00953CBD">
        <w:tab/>
      </w:r>
      <w:r w:rsidR="00E8562D" w:rsidRPr="00953CBD">
        <w:t>Final product b</w:t>
      </w:r>
      <w:r w:rsidR="00A64257" w:rsidRPr="00953CBD">
        <w:t xml:space="preserve">atch </w:t>
      </w:r>
      <w:r w:rsidR="00E8562D" w:rsidRPr="00953CBD">
        <w:t>tests</w:t>
      </w:r>
    </w:p>
    <w:p w14:paraId="708F7223" w14:textId="77777777" w:rsidR="00A64257" w:rsidRPr="00953CBD" w:rsidRDefault="00D904E7" w:rsidP="00D904E7">
      <w:pPr>
        <w:pStyle w:val="i"/>
      </w:pPr>
      <w:proofErr w:type="spellStart"/>
      <w:r w:rsidRPr="00953CBD">
        <w:t>i</w:t>
      </w:r>
      <w:proofErr w:type="spellEnd"/>
      <w:r w:rsidRPr="00953CBD">
        <w:t>)</w:t>
      </w:r>
      <w:r w:rsidRPr="00953CBD">
        <w:tab/>
      </w:r>
      <w:r w:rsidR="00A64257" w:rsidRPr="00953CBD">
        <w:t>Sterility</w:t>
      </w:r>
    </w:p>
    <w:p w14:paraId="4A1A9C7B" w14:textId="5BD07965" w:rsidR="00A64257" w:rsidRPr="00953CBD" w:rsidRDefault="00A64257" w:rsidP="00D904E7">
      <w:pPr>
        <w:pStyle w:val="afourthpara"/>
      </w:pPr>
      <w:r w:rsidRPr="00953CBD">
        <w:t xml:space="preserve">Tests for sterility and freedom from contamination </w:t>
      </w:r>
      <w:r w:rsidR="00E029E4" w:rsidRPr="00953CBD">
        <w:t xml:space="preserve">of biological materials </w:t>
      </w:r>
      <w:r w:rsidR="00E029E4">
        <w:t xml:space="preserve">intended for veterinary use </w:t>
      </w:r>
      <w:r w:rsidRPr="00953CBD">
        <w:t xml:space="preserve">may be found in </w:t>
      </w:r>
      <w:r w:rsidR="009445FD" w:rsidRPr="00953CBD">
        <w:t>c</w:t>
      </w:r>
      <w:r w:rsidRPr="00953CBD">
        <w:t>hapter 1.1.</w:t>
      </w:r>
      <w:r w:rsidR="00637883">
        <w:t>9</w:t>
      </w:r>
      <w:r w:rsidRPr="00953CBD">
        <w:t>.</w:t>
      </w:r>
    </w:p>
    <w:p w14:paraId="79F1E695" w14:textId="77777777" w:rsidR="004C709D" w:rsidRPr="00953CBD" w:rsidRDefault="00D904E7" w:rsidP="00D904E7">
      <w:pPr>
        <w:pStyle w:val="i"/>
      </w:pPr>
      <w:r w:rsidRPr="00953CBD">
        <w:t>ii)</w:t>
      </w:r>
      <w:r w:rsidRPr="00953CBD">
        <w:tab/>
      </w:r>
      <w:r w:rsidR="004C709D" w:rsidRPr="00953CBD">
        <w:t>Identity</w:t>
      </w:r>
    </w:p>
    <w:p w14:paraId="5027E268" w14:textId="2A74BCCC" w:rsidR="00FF2935" w:rsidRPr="00953CBD" w:rsidRDefault="00FF2935" w:rsidP="00D904E7">
      <w:pPr>
        <w:pStyle w:val="afourthpara"/>
      </w:pPr>
      <w:r w:rsidRPr="00953CBD">
        <w:t>T</w:t>
      </w:r>
      <w:r w:rsidR="00196F7C" w:rsidRPr="00953CBD">
        <w:t>he</w:t>
      </w:r>
      <w:r w:rsidRPr="00953CBD">
        <w:t xml:space="preserve"> presence of ILTV may be confirmed by mixing the vaccine with ILTV antiserum and demonstrating that it</w:t>
      </w:r>
      <w:r w:rsidR="00105F6D" w:rsidRPr="00953CBD">
        <w:t xml:space="preserve"> is</w:t>
      </w:r>
      <w:r w:rsidRPr="00953CBD">
        <w:t xml:space="preserve"> no longer able to infect embryonated hens’ eggs from an SPF flock, or susceptible cell lines into which it is inoculated.</w:t>
      </w:r>
    </w:p>
    <w:p w14:paraId="2525886C" w14:textId="77777777" w:rsidR="00A64257" w:rsidRPr="00953CBD" w:rsidRDefault="00D904E7" w:rsidP="00D904E7">
      <w:pPr>
        <w:pStyle w:val="i"/>
      </w:pPr>
      <w:r w:rsidRPr="00953CBD">
        <w:t>iii)</w:t>
      </w:r>
      <w:r w:rsidRPr="00953CBD">
        <w:tab/>
      </w:r>
      <w:r w:rsidR="00A64257" w:rsidRPr="00953CBD">
        <w:t>Safety</w:t>
      </w:r>
    </w:p>
    <w:p w14:paraId="2BEF6C81" w14:textId="4CB28EEE" w:rsidR="00A64257" w:rsidRPr="00953CBD" w:rsidRDefault="00196F7C" w:rsidP="00D904E7">
      <w:pPr>
        <w:pStyle w:val="afourthpara"/>
      </w:pPr>
      <w:r w:rsidRPr="00953CBD">
        <w:t>Each</w:t>
      </w:r>
      <w:r w:rsidR="00A64257" w:rsidRPr="00953CBD">
        <w:t xml:space="preserve"> batch of vaccine is </w:t>
      </w:r>
      <w:r w:rsidR="002A1455" w:rsidRPr="00953CBD">
        <w:t xml:space="preserve">delivered by </w:t>
      </w:r>
      <w:r w:rsidR="00D904E7" w:rsidRPr="00953CBD">
        <w:t>eye</w:t>
      </w:r>
      <w:r w:rsidR="002A1455" w:rsidRPr="00953CBD">
        <w:t>drop</w:t>
      </w:r>
      <w:r w:rsidR="00065A60" w:rsidRPr="00953CBD">
        <w:t xml:space="preserve"> (10 doses per bird) or by intratracheal injection</w:t>
      </w:r>
      <w:r w:rsidR="002A1455" w:rsidRPr="00953CBD">
        <w:t xml:space="preserve"> to</w:t>
      </w:r>
      <w:r w:rsidR="00A64257" w:rsidRPr="00953CBD">
        <w:t xml:space="preserve"> SPF chickens, or other target species. The birds are observed for </w:t>
      </w:r>
      <w:r w:rsidR="00D904E7" w:rsidRPr="00953CBD">
        <w:t>14–</w:t>
      </w:r>
      <w:r w:rsidR="00A64257" w:rsidRPr="00953CBD">
        <w:t>21 days for adverse effects attributable to the vaccine</w:t>
      </w:r>
      <w:r w:rsidRPr="00953CBD">
        <w:t>.</w:t>
      </w:r>
    </w:p>
    <w:p w14:paraId="1B225F77" w14:textId="77777777" w:rsidR="00A64257" w:rsidRPr="00953CBD" w:rsidRDefault="00D904E7" w:rsidP="00D904E7">
      <w:pPr>
        <w:pStyle w:val="i"/>
      </w:pPr>
      <w:r w:rsidRPr="00953CBD">
        <w:t>iv)</w:t>
      </w:r>
      <w:r w:rsidRPr="00953CBD">
        <w:tab/>
      </w:r>
      <w:r w:rsidR="004C709D" w:rsidRPr="00953CBD">
        <w:t>Batch p</w:t>
      </w:r>
      <w:r w:rsidR="00A64257" w:rsidRPr="00953CBD">
        <w:t>otency</w:t>
      </w:r>
    </w:p>
    <w:p w14:paraId="10B52077" w14:textId="7E18EFA3" w:rsidR="006B2058" w:rsidRPr="00953CBD" w:rsidRDefault="006E332A" w:rsidP="00D904E7">
      <w:pPr>
        <w:pStyle w:val="afourthpara"/>
      </w:pPr>
      <w:r w:rsidRPr="00953CBD">
        <w:t xml:space="preserve">Once the </w:t>
      </w:r>
      <w:r w:rsidRPr="00953CBD">
        <w:rPr>
          <w:i/>
        </w:rPr>
        <w:t>in</w:t>
      </w:r>
      <w:r w:rsidR="00105F6D" w:rsidRPr="00953CBD">
        <w:rPr>
          <w:i/>
        </w:rPr>
        <w:t>-</w:t>
      </w:r>
      <w:r w:rsidRPr="00953CBD">
        <w:rPr>
          <w:i/>
        </w:rPr>
        <w:t>vivo</w:t>
      </w:r>
      <w:r w:rsidRPr="00953CBD">
        <w:t xml:space="preserve"> efficacy of the vaccine has been established, the batch potency may be determined</w:t>
      </w:r>
      <w:r w:rsidR="00DE0799" w:rsidRPr="00953CBD">
        <w:t xml:space="preserve"> by measuring the</w:t>
      </w:r>
      <w:r w:rsidRPr="00953CBD">
        <w:t xml:space="preserve"> virus content. </w:t>
      </w:r>
      <w:r w:rsidR="00DE0799" w:rsidRPr="00953CBD">
        <w:t>This is d</w:t>
      </w:r>
      <w:r w:rsidR="00105F6D" w:rsidRPr="00953CBD">
        <w:t>one</w:t>
      </w:r>
      <w:r w:rsidR="00BC27B0" w:rsidRPr="00953CBD">
        <w:t xml:space="preserve"> by </w:t>
      </w:r>
      <w:r w:rsidR="00DE0799" w:rsidRPr="00953CBD">
        <w:t xml:space="preserve">virus titration using </w:t>
      </w:r>
      <w:r w:rsidR="004178E3" w:rsidRPr="00953CBD">
        <w:t>serial dilutions of vaccine</w:t>
      </w:r>
      <w:r w:rsidR="00BC27B0" w:rsidRPr="00953CBD">
        <w:t xml:space="preserve"> </w:t>
      </w:r>
      <w:r w:rsidR="00DE0799" w:rsidRPr="00953CBD">
        <w:t xml:space="preserve">inoculated </w:t>
      </w:r>
      <w:r w:rsidR="00BC27B0" w:rsidRPr="00953CBD">
        <w:t xml:space="preserve">onto </w:t>
      </w:r>
      <w:r w:rsidR="004178E3" w:rsidRPr="00953CBD">
        <w:t xml:space="preserve">the dropped CAM of </w:t>
      </w:r>
      <w:r w:rsidR="00BC27B0" w:rsidRPr="00953CBD">
        <w:t xml:space="preserve">embryonated hens’ eggs, or </w:t>
      </w:r>
      <w:r w:rsidR="004178E3" w:rsidRPr="00953CBD">
        <w:t xml:space="preserve">inoculation of suitable cell cultures. </w:t>
      </w:r>
      <w:r w:rsidR="006B2058" w:rsidRPr="00953CBD">
        <w:t>The virus content (tested at any time within the expir</w:t>
      </w:r>
      <w:r w:rsidR="004319C3" w:rsidRPr="00953CBD">
        <w:t>ation</w:t>
      </w:r>
      <w:r w:rsidR="006B2058" w:rsidRPr="00953CBD">
        <w:t xml:space="preserve"> period) should be at or above the minimum titre stated on the label. The </w:t>
      </w:r>
      <w:r w:rsidR="004319C3" w:rsidRPr="00953CBD">
        <w:t xml:space="preserve">release and expiration titres are based on the minimum protective dose of the vaccine. </w:t>
      </w:r>
      <w:r w:rsidRPr="00953CBD">
        <w:t>Although e</w:t>
      </w:r>
      <w:r w:rsidR="004C1770" w:rsidRPr="00953CBD">
        <w:t xml:space="preserve">fficacy testing of each </w:t>
      </w:r>
      <w:r w:rsidR="00DC5480" w:rsidRPr="00953CBD">
        <w:t xml:space="preserve">vaccine </w:t>
      </w:r>
      <w:r w:rsidR="004C1770" w:rsidRPr="00953CBD">
        <w:t xml:space="preserve">batch </w:t>
      </w:r>
      <w:r w:rsidR="00DC5480" w:rsidRPr="00953CBD">
        <w:t>may</w:t>
      </w:r>
      <w:r w:rsidRPr="00953CBD">
        <w:t xml:space="preserve"> </w:t>
      </w:r>
      <w:r w:rsidR="004C1770" w:rsidRPr="00953CBD">
        <w:t xml:space="preserve">not </w:t>
      </w:r>
      <w:r w:rsidR="002E6DB7" w:rsidRPr="00953CBD">
        <w:t xml:space="preserve">be </w:t>
      </w:r>
      <w:r w:rsidR="004C1770" w:rsidRPr="00953CBD">
        <w:t>required</w:t>
      </w:r>
      <w:r w:rsidRPr="00953CBD">
        <w:t xml:space="preserve">, </w:t>
      </w:r>
      <w:r w:rsidR="004C1770" w:rsidRPr="00953CBD">
        <w:t>efficacy testing of a representative batch (using a vaccinating dose containing not more than the minimum virus titre stated on the label)</w:t>
      </w:r>
      <w:r w:rsidRPr="00953CBD">
        <w:t xml:space="preserve"> may be needed</w:t>
      </w:r>
      <w:r w:rsidR="004C1770" w:rsidRPr="00953CBD">
        <w:t>.</w:t>
      </w:r>
    </w:p>
    <w:p w14:paraId="0FAB2C9B" w14:textId="77777777" w:rsidR="006E332A" w:rsidRPr="00953CBD" w:rsidRDefault="00D904E7" w:rsidP="00D904E7">
      <w:pPr>
        <w:pStyle w:val="11"/>
        <w:rPr>
          <w:bCs/>
        </w:rPr>
      </w:pPr>
      <w:r w:rsidRPr="00953CBD">
        <w:rPr>
          <w:bCs/>
        </w:rPr>
        <w:t>2.3.</w:t>
      </w:r>
      <w:r w:rsidR="006E332A" w:rsidRPr="00953CBD">
        <w:rPr>
          <w:bCs/>
        </w:rPr>
        <w:tab/>
        <w:t>Requirements for authorisation/registration/licensing</w:t>
      </w:r>
    </w:p>
    <w:p w14:paraId="34DAF2B4" w14:textId="77777777" w:rsidR="006E332A" w:rsidRPr="00953CBD" w:rsidRDefault="00D904E7" w:rsidP="00D904E7">
      <w:pPr>
        <w:pStyle w:val="111"/>
        <w:rPr>
          <w:bCs/>
        </w:rPr>
      </w:pPr>
      <w:r w:rsidRPr="00953CBD">
        <w:rPr>
          <w:bCs/>
        </w:rPr>
        <w:t>2.3.1.</w:t>
      </w:r>
      <w:r w:rsidRPr="00953CBD">
        <w:rPr>
          <w:bCs/>
        </w:rPr>
        <w:tab/>
      </w:r>
      <w:r w:rsidR="006E332A" w:rsidRPr="00953CBD">
        <w:rPr>
          <w:bCs/>
        </w:rPr>
        <w:t xml:space="preserve"> Manufacturing process</w:t>
      </w:r>
    </w:p>
    <w:p w14:paraId="4E9DA64D" w14:textId="2DEA06F0" w:rsidR="004D6DEF" w:rsidRPr="00953CBD" w:rsidRDefault="004D6DEF" w:rsidP="00D904E7">
      <w:pPr>
        <w:pStyle w:val="111Para"/>
      </w:pPr>
      <w:r w:rsidRPr="00953CBD">
        <w:t>For registration of vaccine, all relevant details concerning manufacture of the vaccine and quality control testing (see Section</w:t>
      </w:r>
      <w:r w:rsidR="00105F6D" w:rsidRPr="00953CBD">
        <w:t>s</w:t>
      </w:r>
      <w:r w:rsidRPr="00953CBD">
        <w:t xml:space="preserve"> C.2.</w:t>
      </w:r>
      <w:r w:rsidR="00105F6D" w:rsidRPr="00953CBD">
        <w:t>1</w:t>
      </w:r>
      <w:r w:rsidRPr="00953CBD">
        <w:t xml:space="preserve"> and </w:t>
      </w:r>
      <w:r w:rsidR="00105F6D" w:rsidRPr="00953CBD">
        <w:t>C.2.2</w:t>
      </w:r>
      <w:r w:rsidRPr="00953CBD">
        <w:t>) should be submitted to the authorities. This information shall be provide</w:t>
      </w:r>
      <w:r w:rsidR="002E6DB7" w:rsidRPr="00953CBD">
        <w:t>d</w:t>
      </w:r>
      <w:r w:rsidRPr="00953CBD">
        <w:t xml:space="preserve"> from three consecutive vaccine batches with a volume not less than 1/3 of the typical industrial batch volume.</w:t>
      </w:r>
    </w:p>
    <w:p w14:paraId="1101B9AF" w14:textId="77777777" w:rsidR="004D6DEF" w:rsidRPr="00953CBD" w:rsidRDefault="00D904E7" w:rsidP="00D904E7">
      <w:pPr>
        <w:pStyle w:val="111"/>
        <w:rPr>
          <w:bCs/>
        </w:rPr>
      </w:pPr>
      <w:r w:rsidRPr="00953CBD">
        <w:rPr>
          <w:bCs/>
        </w:rPr>
        <w:t>2.3.2.</w:t>
      </w:r>
      <w:r w:rsidRPr="00953CBD">
        <w:rPr>
          <w:bCs/>
        </w:rPr>
        <w:tab/>
      </w:r>
      <w:r w:rsidR="004D6DEF" w:rsidRPr="00953CBD">
        <w:rPr>
          <w:bCs/>
        </w:rPr>
        <w:t>Safety requirements</w:t>
      </w:r>
    </w:p>
    <w:p w14:paraId="0A3D1CA9" w14:textId="2D026065" w:rsidR="00795A4D" w:rsidRPr="00953CBD" w:rsidRDefault="004D6DEF" w:rsidP="00D904E7">
      <w:pPr>
        <w:pStyle w:val="111Para"/>
      </w:pPr>
      <w:r w:rsidRPr="00953CBD">
        <w:t>In the USA, 25 susceptible chickens, 3</w:t>
      </w:r>
      <w:r w:rsidR="00105F6D" w:rsidRPr="00953CBD">
        <w:t>-</w:t>
      </w:r>
      <w:r w:rsidRPr="00953CBD">
        <w:t xml:space="preserve"> to 4</w:t>
      </w:r>
      <w:r w:rsidR="00105F6D" w:rsidRPr="00953CBD">
        <w:t>-</w:t>
      </w:r>
      <w:r w:rsidRPr="00953CBD">
        <w:t>weeks o</w:t>
      </w:r>
      <w:r w:rsidR="00105F6D" w:rsidRPr="00953CBD">
        <w:t>ld</w:t>
      </w:r>
      <w:r w:rsidRPr="00953CBD">
        <w:t>, are injected intratracheally and observed for 14 days. Deaths are counted as failures. Four or fewer failures are allowed for satisfactory</w:t>
      </w:r>
      <w:r w:rsidR="00795A4D" w:rsidRPr="00953CBD">
        <w:t xml:space="preserve"> serials. In the European Union </w:t>
      </w:r>
      <w:r w:rsidR="00105F6D" w:rsidRPr="00953CBD">
        <w:t>(EU)</w:t>
      </w:r>
      <w:r w:rsidR="00571829" w:rsidRPr="00953CBD">
        <w:t>,</w:t>
      </w:r>
      <w:r w:rsidR="00105F6D" w:rsidRPr="00953CBD">
        <w:t xml:space="preserve"> </w:t>
      </w:r>
      <w:r w:rsidR="00795A4D" w:rsidRPr="00953CBD">
        <w:t>initial safety test</w:t>
      </w:r>
      <w:r w:rsidR="0084499D" w:rsidRPr="00953CBD">
        <w:t xml:space="preserve">s use the vaccine virus at the least attenuated passage level between the MSV and a batch of the vaccine. Twenty SPF chickens are inoculated with </w:t>
      </w:r>
      <w:r w:rsidR="00556C53" w:rsidRPr="00953CBD">
        <w:t>10</w:t>
      </w:r>
      <w:r w:rsidR="0084499D" w:rsidRPr="00953CBD">
        <w:t xml:space="preserve"> times the vaccine</w:t>
      </w:r>
      <w:r w:rsidR="007C4B7B" w:rsidRPr="00953CBD">
        <w:t xml:space="preserve"> dose</w:t>
      </w:r>
      <w:r w:rsidR="0084499D" w:rsidRPr="00953CBD">
        <w:t xml:space="preserve"> and observed for 21 days. </w:t>
      </w:r>
      <w:r w:rsidR="00FE38A1" w:rsidRPr="00953CBD">
        <w:t xml:space="preserve">Each route and method of administration that is recommended for vaccination should be tested in chickens at the youngest age recommended for vaccination. </w:t>
      </w:r>
      <w:r w:rsidR="0084499D" w:rsidRPr="00953CBD">
        <w:t xml:space="preserve">No notable clinical signs </w:t>
      </w:r>
      <w:r w:rsidR="007C4B7B" w:rsidRPr="00953CBD">
        <w:t xml:space="preserve">or deaths attributable to </w:t>
      </w:r>
      <w:r w:rsidR="0084499D" w:rsidRPr="00953CBD">
        <w:t xml:space="preserve">ILT </w:t>
      </w:r>
      <w:r w:rsidR="007C4B7B" w:rsidRPr="00953CBD">
        <w:t xml:space="preserve">are </w:t>
      </w:r>
      <w:r w:rsidR="0084499D" w:rsidRPr="00953CBD">
        <w:t>allowed</w:t>
      </w:r>
      <w:r w:rsidR="007A486A" w:rsidRPr="00953CBD">
        <w:t>.</w:t>
      </w:r>
      <w:r w:rsidR="00FE38A1" w:rsidRPr="00953CBD">
        <w:t xml:space="preserve"> </w:t>
      </w:r>
      <w:r w:rsidR="00556C53" w:rsidRPr="00953CBD">
        <w:t xml:space="preserve">Batch tests for safety in the EU require </w:t>
      </w:r>
      <w:r w:rsidR="00105F6D" w:rsidRPr="00953CBD">
        <w:t>eye</w:t>
      </w:r>
      <w:r w:rsidR="00313F00">
        <w:t>-</w:t>
      </w:r>
      <w:r w:rsidR="00105F6D" w:rsidRPr="00953CBD">
        <w:t>drop</w:t>
      </w:r>
      <w:r w:rsidR="00556C53" w:rsidRPr="00953CBD">
        <w:t xml:space="preserve"> inoculation of </w:t>
      </w:r>
      <w:r w:rsidR="00E45E2E" w:rsidRPr="00953CBD">
        <w:t>10</w:t>
      </w:r>
      <w:r w:rsidR="00571829" w:rsidRPr="00953CBD">
        <w:t> </w:t>
      </w:r>
      <w:r w:rsidR="00556C53" w:rsidRPr="00953CBD">
        <w:t>SPF chickens</w:t>
      </w:r>
      <w:r w:rsidR="007C4B7B" w:rsidRPr="00953CBD">
        <w:t>,</w:t>
      </w:r>
      <w:r w:rsidR="00E45E2E" w:rsidRPr="00953CBD">
        <w:t xml:space="preserve"> at the yo</w:t>
      </w:r>
      <w:r w:rsidR="007C4B7B" w:rsidRPr="00953CBD">
        <w:t>ungest age</w:t>
      </w:r>
      <w:r w:rsidR="00556C53" w:rsidRPr="00953CBD">
        <w:t xml:space="preserve"> </w:t>
      </w:r>
      <w:r w:rsidR="007C4B7B" w:rsidRPr="00953CBD">
        <w:t xml:space="preserve">recommended for vaccination, </w:t>
      </w:r>
      <w:r w:rsidR="00556C53" w:rsidRPr="00953CBD">
        <w:t xml:space="preserve">with </w:t>
      </w:r>
      <w:r w:rsidR="00E45E2E" w:rsidRPr="00953CBD">
        <w:t>10</w:t>
      </w:r>
      <w:r w:rsidR="00556C53" w:rsidRPr="00953CBD">
        <w:t xml:space="preserve"> times </w:t>
      </w:r>
      <w:r w:rsidR="007C4B7B" w:rsidRPr="00953CBD">
        <w:t>the vaccine dose. Chickens are observed for 21 days. No notable clinical signs or deaths attributable to ILT are allowed.</w:t>
      </w:r>
    </w:p>
    <w:p w14:paraId="658127B4" w14:textId="77777777" w:rsidR="006E332A" w:rsidRPr="00953CBD" w:rsidRDefault="00D904E7" w:rsidP="00D904E7">
      <w:pPr>
        <w:pStyle w:val="i"/>
      </w:pPr>
      <w:proofErr w:type="spellStart"/>
      <w:r w:rsidRPr="00953CBD">
        <w:t>i</w:t>
      </w:r>
      <w:proofErr w:type="spellEnd"/>
      <w:r w:rsidRPr="00953CBD">
        <w:t>)</w:t>
      </w:r>
      <w:r w:rsidRPr="00953CBD">
        <w:tab/>
      </w:r>
      <w:r w:rsidR="00233514" w:rsidRPr="00953CBD">
        <w:t>Reversion to virulence</w:t>
      </w:r>
    </w:p>
    <w:p w14:paraId="26DD19F4" w14:textId="4F38C30E" w:rsidR="00233514" w:rsidRPr="00953CBD" w:rsidRDefault="00233514" w:rsidP="004F6BCC">
      <w:pPr>
        <w:pStyle w:val="afourthpara"/>
      </w:pPr>
      <w:r w:rsidRPr="00953CBD">
        <w:t xml:space="preserve">The </w:t>
      </w:r>
      <w:r w:rsidR="00105F6D" w:rsidRPr="00953CBD">
        <w:t>EU</w:t>
      </w:r>
      <w:r w:rsidRPr="00953CBD">
        <w:t xml:space="preserve"> requires </w:t>
      </w:r>
      <w:r w:rsidR="00571829" w:rsidRPr="00953CBD">
        <w:t>five</w:t>
      </w:r>
      <w:r w:rsidR="001D4B46" w:rsidRPr="00953CBD">
        <w:t xml:space="preserve"> </w:t>
      </w:r>
      <w:r w:rsidR="001D4B46" w:rsidRPr="00953CBD">
        <w:rPr>
          <w:i/>
        </w:rPr>
        <w:t>in</w:t>
      </w:r>
      <w:r w:rsidR="00571829" w:rsidRPr="00953CBD">
        <w:rPr>
          <w:i/>
        </w:rPr>
        <w:t>-</w:t>
      </w:r>
      <w:r w:rsidR="001D4B46" w:rsidRPr="00953CBD">
        <w:rPr>
          <w:i/>
        </w:rPr>
        <w:t>vivo</w:t>
      </w:r>
      <w:r w:rsidR="001D4B46" w:rsidRPr="00953CBD">
        <w:t xml:space="preserve"> sequential passages of vaccine virus</w:t>
      </w:r>
      <w:r w:rsidR="00936CB7" w:rsidRPr="00953CBD">
        <w:t>. Ea</w:t>
      </w:r>
      <w:r w:rsidR="001D4B46" w:rsidRPr="00953CBD">
        <w:t xml:space="preserve">ch </w:t>
      </w:r>
      <w:r w:rsidR="00936CB7" w:rsidRPr="00953CBD">
        <w:t xml:space="preserve">passage is </w:t>
      </w:r>
      <w:r w:rsidR="001D4B46" w:rsidRPr="00953CBD">
        <w:t xml:space="preserve">performed in groups of </w:t>
      </w:r>
      <w:r w:rsidR="00571829" w:rsidRPr="00953CBD">
        <w:t>five</w:t>
      </w:r>
      <w:r w:rsidR="001D4B46" w:rsidRPr="00953CBD">
        <w:t xml:space="preserve"> SPF chickens. Sequential passage m</w:t>
      </w:r>
      <w:r w:rsidR="00936CB7" w:rsidRPr="00953CBD">
        <w:t>a</w:t>
      </w:r>
      <w:r w:rsidR="001D4B46" w:rsidRPr="00953CBD">
        <w:t xml:space="preserve">y be achieved by natural spreading, or by collecting </w:t>
      </w:r>
      <w:r w:rsidR="00936CB7" w:rsidRPr="00953CBD">
        <w:t xml:space="preserve">and pooling </w:t>
      </w:r>
      <w:r w:rsidR="001D4B46" w:rsidRPr="00953CBD">
        <w:t xml:space="preserve">infectious material from the respiratory tract of one group of birds </w:t>
      </w:r>
      <w:r w:rsidR="00936CB7" w:rsidRPr="00953CBD">
        <w:t xml:space="preserve">and using this material to infect the </w:t>
      </w:r>
      <w:r w:rsidR="00F108B4" w:rsidRPr="00953CBD">
        <w:t>subsequent</w:t>
      </w:r>
      <w:r w:rsidR="00936CB7" w:rsidRPr="00953CBD">
        <w:t xml:space="preserve"> group of</w:t>
      </w:r>
      <w:r w:rsidR="00DC5480" w:rsidRPr="00953CBD">
        <w:t xml:space="preserve"> birds via </w:t>
      </w:r>
      <w:r w:rsidR="00105F6D" w:rsidRPr="00953CBD">
        <w:t>eye</w:t>
      </w:r>
      <w:r w:rsidR="00313F00">
        <w:t>-</w:t>
      </w:r>
      <w:r w:rsidR="00105F6D" w:rsidRPr="00953CBD">
        <w:t>drop</w:t>
      </w:r>
      <w:r w:rsidR="00DC5480" w:rsidRPr="00953CBD">
        <w:t xml:space="preserve"> inoculation.</w:t>
      </w:r>
      <w:r w:rsidR="00936CB7" w:rsidRPr="00953CBD">
        <w:t xml:space="preserve"> Passaged virus recovered after </w:t>
      </w:r>
      <w:r w:rsidR="00571829" w:rsidRPr="00953CBD">
        <w:t>five</w:t>
      </w:r>
      <w:r w:rsidR="00936CB7" w:rsidRPr="00953CBD">
        <w:t xml:space="preserve"> seq</w:t>
      </w:r>
      <w:r w:rsidR="00F108B4" w:rsidRPr="00953CBD">
        <w:t>uential pass</w:t>
      </w:r>
      <w:r w:rsidR="00571829" w:rsidRPr="00953CBD">
        <w:t>ages (or earlier if passage can</w:t>
      </w:r>
      <w:r w:rsidR="00F108B4" w:rsidRPr="00953CBD">
        <w:t>not be maintained</w:t>
      </w:r>
      <w:r w:rsidR="00DC5480" w:rsidRPr="00953CBD">
        <w:t>)</w:t>
      </w:r>
      <w:r w:rsidR="00936CB7" w:rsidRPr="00953CBD">
        <w:t xml:space="preserve"> is compared </w:t>
      </w:r>
      <w:r w:rsidR="00571829" w:rsidRPr="00953CBD">
        <w:t>with</w:t>
      </w:r>
      <w:r w:rsidR="00936CB7" w:rsidRPr="00953CBD">
        <w:t xml:space="preserve"> the </w:t>
      </w:r>
      <w:proofErr w:type="spellStart"/>
      <w:r w:rsidR="00936CB7" w:rsidRPr="00953CBD">
        <w:t>unpassaged</w:t>
      </w:r>
      <w:proofErr w:type="spellEnd"/>
      <w:r w:rsidR="00936CB7" w:rsidRPr="00953CBD">
        <w:t xml:space="preserve"> virus using </w:t>
      </w:r>
      <w:r w:rsidR="00571829" w:rsidRPr="00953CBD">
        <w:t>an</w:t>
      </w:r>
      <w:r w:rsidR="00936CB7" w:rsidRPr="00953CBD">
        <w:t xml:space="preserve"> index of respiratory virulence test.</w:t>
      </w:r>
      <w:r w:rsidR="007E5AEE" w:rsidRPr="00953CBD">
        <w:t xml:space="preserve"> </w:t>
      </w:r>
      <w:r w:rsidR="00A836B7" w:rsidRPr="00953CBD">
        <w:t xml:space="preserve">The maximally passaged virus must show no increase in virulence. </w:t>
      </w:r>
      <w:r w:rsidR="007E5AEE" w:rsidRPr="00953CBD">
        <w:t>Th</w:t>
      </w:r>
      <w:r w:rsidR="00A836B7" w:rsidRPr="00953CBD">
        <w:t>e index of respiratory virulence tests</w:t>
      </w:r>
      <w:r w:rsidR="007E5AEE" w:rsidRPr="00953CBD">
        <w:t xml:space="preserve"> involves </w:t>
      </w:r>
      <w:r w:rsidR="00A836B7" w:rsidRPr="00953CBD">
        <w:t>intratracheal inoculation of 0.2</w:t>
      </w:r>
      <w:r w:rsidR="006D2EE4" w:rsidRPr="00953CBD">
        <w:t> </w:t>
      </w:r>
      <w:r w:rsidR="00A836B7" w:rsidRPr="00953CBD">
        <w:t>m</w:t>
      </w:r>
      <w:r w:rsidR="006D2EE4" w:rsidRPr="00953CBD">
        <w:t>l</w:t>
      </w:r>
      <w:r w:rsidR="00A836B7" w:rsidRPr="00953CBD">
        <w:t xml:space="preserve"> of vaccine at three different doses, starting with stock that has titre of </w:t>
      </w:r>
      <w:r w:rsidR="007E5AEE" w:rsidRPr="00953CBD">
        <w:t>10</w:t>
      </w:r>
      <w:r w:rsidR="007E5AEE" w:rsidRPr="00F37625">
        <w:rPr>
          <w:szCs w:val="14"/>
          <w:vertAlign w:val="superscript"/>
        </w:rPr>
        <w:t>5</w:t>
      </w:r>
      <w:r w:rsidR="007E5AEE" w:rsidRPr="00953CBD">
        <w:t xml:space="preserve"> EID</w:t>
      </w:r>
      <w:r w:rsidR="007E5AEE" w:rsidRPr="004878A4">
        <w:rPr>
          <w:vertAlign w:val="subscript"/>
        </w:rPr>
        <w:t>50</w:t>
      </w:r>
      <w:r w:rsidR="007E5AEE" w:rsidRPr="00953CBD">
        <w:t xml:space="preserve"> or 10</w:t>
      </w:r>
      <w:r w:rsidR="007E5AEE" w:rsidRPr="004878A4">
        <w:rPr>
          <w:vertAlign w:val="superscript"/>
        </w:rPr>
        <w:t>5</w:t>
      </w:r>
      <w:r w:rsidR="007E5AEE" w:rsidRPr="00953CBD">
        <w:t xml:space="preserve"> CCID</w:t>
      </w:r>
      <w:r w:rsidR="007E5AEE" w:rsidRPr="004878A4">
        <w:rPr>
          <w:vertAlign w:val="subscript"/>
        </w:rPr>
        <w:t>50</w:t>
      </w:r>
      <w:r w:rsidR="007E5AEE" w:rsidRPr="00953CBD">
        <w:t xml:space="preserve"> per 0.2 ml </w:t>
      </w:r>
      <w:r w:rsidR="004F6BCC" w:rsidRPr="00953CBD">
        <w:t>(</w:t>
      </w:r>
      <w:r w:rsidR="007E5AEE" w:rsidRPr="00953CBD">
        <w:t>or maximal obtainable titre</w:t>
      </w:r>
      <w:r w:rsidR="004F6BCC" w:rsidRPr="00953CBD">
        <w:t>)</w:t>
      </w:r>
      <w:r w:rsidR="00A836B7" w:rsidRPr="00953CBD">
        <w:t xml:space="preserve"> and then two serial tenfold dilutions of that stock. At least 20 SPF chickens are inoculated per dose. Chi</w:t>
      </w:r>
      <w:r w:rsidR="004F6BCC" w:rsidRPr="00953CBD">
        <w:t>ckens are observed for 10</w:t>
      </w:r>
      <w:r w:rsidR="006D2EE4" w:rsidRPr="00953CBD">
        <w:t> </w:t>
      </w:r>
      <w:r w:rsidR="004F6BCC" w:rsidRPr="00953CBD">
        <w:t xml:space="preserve">days and </w:t>
      </w:r>
      <w:r w:rsidR="00A836B7" w:rsidRPr="00953CBD">
        <w:t xml:space="preserve">deaths are recorded. </w:t>
      </w:r>
      <w:r w:rsidR="004F6BCC" w:rsidRPr="00953CBD">
        <w:t>The index of respiratory virulence is the total number of deaths observed in the three groups divided by the total number of chickens</w:t>
      </w:r>
    </w:p>
    <w:p w14:paraId="0B397F42" w14:textId="77777777" w:rsidR="00936CB7" w:rsidRPr="00953CBD" w:rsidRDefault="00D904E7" w:rsidP="00D904E7">
      <w:pPr>
        <w:pStyle w:val="i"/>
      </w:pPr>
      <w:r w:rsidRPr="00953CBD">
        <w:lastRenderedPageBreak/>
        <w:t>ii)</w:t>
      </w:r>
      <w:r w:rsidRPr="00953CBD">
        <w:tab/>
      </w:r>
      <w:r w:rsidR="00936CB7" w:rsidRPr="00953CBD">
        <w:t xml:space="preserve">Precautions (hazards) </w:t>
      </w:r>
    </w:p>
    <w:p w14:paraId="37D3C3BF" w14:textId="77777777" w:rsidR="00936CB7" w:rsidRPr="00953CBD" w:rsidRDefault="00936CB7" w:rsidP="00D904E7">
      <w:pPr>
        <w:pStyle w:val="afourthpara"/>
      </w:pPr>
      <w:r w:rsidRPr="00953CBD">
        <w:t>Care should be taken over diluting and administering the vaccine, and over the proper disposal of unused vaccine.</w:t>
      </w:r>
    </w:p>
    <w:p w14:paraId="520935C6" w14:textId="77777777" w:rsidR="00DC5480" w:rsidRPr="00953CBD" w:rsidRDefault="00D904E7" w:rsidP="00D904E7">
      <w:pPr>
        <w:pStyle w:val="111"/>
        <w:rPr>
          <w:bCs/>
        </w:rPr>
      </w:pPr>
      <w:r w:rsidRPr="00953CBD">
        <w:rPr>
          <w:bCs/>
        </w:rPr>
        <w:t>2.3.3.</w:t>
      </w:r>
      <w:r w:rsidRPr="00953CBD">
        <w:rPr>
          <w:bCs/>
        </w:rPr>
        <w:tab/>
      </w:r>
      <w:r w:rsidR="00DC5480" w:rsidRPr="00953CBD">
        <w:rPr>
          <w:bCs/>
        </w:rPr>
        <w:t>Efficacy requirements</w:t>
      </w:r>
    </w:p>
    <w:p w14:paraId="4660E065" w14:textId="7CD837C7" w:rsidR="00EF35E6" w:rsidRPr="00953CBD" w:rsidRDefault="00DC5480" w:rsidP="00D904E7">
      <w:pPr>
        <w:pStyle w:val="111Para"/>
      </w:pPr>
      <w:r w:rsidRPr="00953CBD">
        <w:t xml:space="preserve">A test must be carried out to establish the efficacy of the vaccine in </w:t>
      </w:r>
      <w:r w:rsidR="00EF35E6" w:rsidRPr="00953CBD">
        <w:t xml:space="preserve">groups </w:t>
      </w:r>
      <w:r w:rsidR="00571829" w:rsidRPr="00953CBD">
        <w:t xml:space="preserve">of </w:t>
      </w:r>
      <w:r w:rsidRPr="00953CBD">
        <w:t xml:space="preserve">birds of the minimum age for which the product is destined </w:t>
      </w:r>
      <w:proofErr w:type="gramStart"/>
      <w:r w:rsidRPr="00953CBD">
        <w:t>and also</w:t>
      </w:r>
      <w:proofErr w:type="gramEnd"/>
      <w:r w:rsidRPr="00953CBD">
        <w:t xml:space="preserve"> for each avian species. </w:t>
      </w:r>
      <w:r w:rsidR="00EF35E6" w:rsidRPr="00953CBD">
        <w:t xml:space="preserve">Each route and method of administration recommended for vaccination must be tested. </w:t>
      </w:r>
      <w:r w:rsidR="00194C8C" w:rsidRPr="00953CBD">
        <w:t>Twenty</w:t>
      </w:r>
      <w:r w:rsidR="00EF35E6" w:rsidRPr="00953CBD">
        <w:t xml:space="preserve"> (USA) or 30</w:t>
      </w:r>
      <w:r w:rsidR="004159B1">
        <w:t> </w:t>
      </w:r>
      <w:r w:rsidR="00EF35E6" w:rsidRPr="00953CBD">
        <w:t>(</w:t>
      </w:r>
      <w:r w:rsidR="00105F6D" w:rsidRPr="00953CBD">
        <w:t>EU</w:t>
      </w:r>
      <w:r w:rsidR="00EF35E6" w:rsidRPr="00953CBD">
        <w:t xml:space="preserve">) chickens are vaccinated </w:t>
      </w:r>
      <w:r w:rsidR="00194C8C" w:rsidRPr="00953CBD">
        <w:t>with the most attenuated passage level of vaccine virus. Ten additional chickens are held as controls. After 10</w:t>
      </w:r>
      <w:r w:rsidR="00571829" w:rsidRPr="00953CBD">
        <w:t>–</w:t>
      </w:r>
      <w:r w:rsidR="00194C8C" w:rsidRPr="00953CBD">
        <w:t>14 days (USA) or 21 days (</w:t>
      </w:r>
      <w:r w:rsidR="00105F6D" w:rsidRPr="00953CBD">
        <w:t>EU</w:t>
      </w:r>
      <w:r w:rsidR="00194C8C" w:rsidRPr="00953CBD">
        <w:t>) vaccinated chickens and controls are challenged with virulent ILTV intratracheally or in the orbital sinus. At least 80% (USA) or 90% (</w:t>
      </w:r>
      <w:r w:rsidR="00105F6D" w:rsidRPr="00953CBD">
        <w:t>EU</w:t>
      </w:r>
      <w:r w:rsidR="00194C8C" w:rsidRPr="00953CBD">
        <w:t xml:space="preserve">) of unvaccinated controls must die or show severe clinical signs of </w:t>
      </w:r>
      <w:proofErr w:type="gramStart"/>
      <w:r w:rsidR="00194C8C" w:rsidRPr="00953CBD">
        <w:t>ILT</w:t>
      </w:r>
      <w:r w:rsidR="00F108B4" w:rsidRPr="00953CBD">
        <w:t>, or</w:t>
      </w:r>
      <w:proofErr w:type="gramEnd"/>
      <w:r w:rsidR="00F108B4" w:rsidRPr="00953CBD">
        <w:t xml:space="preserve"> show</w:t>
      </w:r>
      <w:r w:rsidR="00194C8C" w:rsidRPr="00953CBD">
        <w:t xml:space="preserve"> notable macroscopic lesions.</w:t>
      </w:r>
      <w:r w:rsidR="00F108B4" w:rsidRPr="00953CBD">
        <w:t xml:space="preserve"> To be satisfactory, only 5% or 10% of the vaccinated birds should die or show severe clinical signs of </w:t>
      </w:r>
      <w:proofErr w:type="gramStart"/>
      <w:r w:rsidR="00F108B4" w:rsidRPr="00953CBD">
        <w:t>ILT, or</w:t>
      </w:r>
      <w:proofErr w:type="gramEnd"/>
      <w:r w:rsidR="00F108B4" w:rsidRPr="00953CBD">
        <w:t xml:space="preserve"> show notable macroscopic lesions.</w:t>
      </w:r>
    </w:p>
    <w:p w14:paraId="0D8D5903" w14:textId="77777777" w:rsidR="00F108B4" w:rsidRPr="00953CBD" w:rsidRDefault="00D904E7" w:rsidP="00D904E7">
      <w:pPr>
        <w:pStyle w:val="111"/>
        <w:rPr>
          <w:bCs/>
        </w:rPr>
      </w:pPr>
      <w:r w:rsidRPr="00953CBD">
        <w:rPr>
          <w:bCs/>
        </w:rPr>
        <w:t>2.3.4.</w:t>
      </w:r>
      <w:r w:rsidRPr="00953CBD">
        <w:rPr>
          <w:bCs/>
        </w:rPr>
        <w:tab/>
      </w:r>
      <w:r w:rsidR="00F108B4" w:rsidRPr="00953CBD">
        <w:rPr>
          <w:bCs/>
        </w:rPr>
        <w:t>Vaccines permitting a DIVA strategy (detection of infection in vaccinated animals)</w:t>
      </w:r>
    </w:p>
    <w:p w14:paraId="029C8529" w14:textId="4F00BB72" w:rsidR="006E332A" w:rsidRPr="00953CBD" w:rsidRDefault="00AD348F" w:rsidP="00D904E7">
      <w:pPr>
        <w:pStyle w:val="111Para"/>
      </w:pPr>
      <w:r w:rsidRPr="00953CBD">
        <w:t xml:space="preserve">The advent of recombinant (vectored) ILT </w:t>
      </w:r>
      <w:r w:rsidR="0065732F" w:rsidRPr="00953CBD">
        <w:t>vaccines</w:t>
      </w:r>
      <w:r w:rsidRPr="00953CBD">
        <w:t xml:space="preserve"> has brought </w:t>
      </w:r>
      <w:r w:rsidR="0062316C" w:rsidRPr="00953CBD">
        <w:t>the</w:t>
      </w:r>
      <w:r w:rsidRPr="00953CBD">
        <w:t xml:space="preserve"> potential to differentiate serologically between infected and vaccinated birds and the potential to use DIVA control strategies. Many of the </w:t>
      </w:r>
      <w:proofErr w:type="gramStart"/>
      <w:r w:rsidRPr="00953CBD">
        <w:t>gene-deleted</w:t>
      </w:r>
      <w:proofErr w:type="gramEnd"/>
      <w:r w:rsidRPr="00953CBD">
        <w:t xml:space="preserve"> ILT vaccines that are currently under development offer the same potential</w:t>
      </w:r>
      <w:r w:rsidR="0062316C" w:rsidRPr="00953CBD">
        <w:t xml:space="preserve">. </w:t>
      </w:r>
      <w:proofErr w:type="gramStart"/>
      <w:r w:rsidR="0062316C" w:rsidRPr="00953CBD">
        <w:t>A</w:t>
      </w:r>
      <w:r w:rsidRPr="00953CBD">
        <w:t xml:space="preserve"> number of</w:t>
      </w:r>
      <w:proofErr w:type="gramEnd"/>
      <w:r w:rsidRPr="00953CBD">
        <w:t xml:space="preserve"> studies </w:t>
      </w:r>
      <w:r w:rsidR="0062316C" w:rsidRPr="00953CBD">
        <w:t>have reported</w:t>
      </w:r>
      <w:r w:rsidRPr="00953CBD">
        <w:t xml:space="preserve"> the use of serological screening tools to detect antibodies against specific ILTV glycoproteins (</w:t>
      </w:r>
      <w:proofErr w:type="spellStart"/>
      <w:r w:rsidRPr="00953CBD">
        <w:t>Coppo</w:t>
      </w:r>
      <w:proofErr w:type="spellEnd"/>
      <w:r w:rsidRPr="00953CBD">
        <w:t xml:space="preserve"> </w:t>
      </w:r>
      <w:r w:rsidRPr="00953CBD">
        <w:rPr>
          <w:i/>
        </w:rPr>
        <w:t>et al.,</w:t>
      </w:r>
      <w:r w:rsidRPr="00953CBD">
        <w:t xml:space="preserve"> 2013). </w:t>
      </w:r>
    </w:p>
    <w:p w14:paraId="134F90BB" w14:textId="63035185" w:rsidR="00D21CCA" w:rsidRPr="00953CBD" w:rsidRDefault="00D21CCA" w:rsidP="00D21CCA">
      <w:pPr>
        <w:pStyle w:val="111"/>
        <w:rPr>
          <w:bCs/>
        </w:rPr>
      </w:pPr>
      <w:r w:rsidRPr="00953CBD">
        <w:rPr>
          <w:bCs/>
        </w:rPr>
        <w:t>2.3.5.</w:t>
      </w:r>
      <w:r w:rsidRPr="00953CBD">
        <w:rPr>
          <w:bCs/>
        </w:rPr>
        <w:tab/>
        <w:t xml:space="preserve"> Duration of immunity</w:t>
      </w:r>
    </w:p>
    <w:p w14:paraId="6E701E63" w14:textId="77777777" w:rsidR="00A64257" w:rsidRPr="00953CBD" w:rsidRDefault="00A64257" w:rsidP="00D21CCA">
      <w:pPr>
        <w:pStyle w:val="111Para"/>
      </w:pPr>
      <w:r w:rsidRPr="00953CBD">
        <w:t>The results of vaccination will depend on many factors, including dose schedule and route of administration. Some degree of protection should be given, over a period of several months.</w:t>
      </w:r>
    </w:p>
    <w:p w14:paraId="5E4AAE9B" w14:textId="77777777" w:rsidR="00A64257" w:rsidRPr="00953CBD" w:rsidRDefault="00D21CCA" w:rsidP="00D21CCA">
      <w:pPr>
        <w:pStyle w:val="111"/>
      </w:pPr>
      <w:r w:rsidRPr="00953CBD">
        <w:t>2.3.6.</w:t>
      </w:r>
      <w:r w:rsidRPr="00953CBD">
        <w:tab/>
      </w:r>
      <w:r w:rsidR="00A64257" w:rsidRPr="00953CBD">
        <w:t>Stability</w:t>
      </w:r>
    </w:p>
    <w:p w14:paraId="721946D9" w14:textId="77777777" w:rsidR="00A64257" w:rsidRPr="00953CBD" w:rsidRDefault="00A64257" w:rsidP="0065732F">
      <w:pPr>
        <w:pStyle w:val="111Para"/>
        <w:spacing w:after="480"/>
      </w:pPr>
      <w:r w:rsidRPr="00953CBD">
        <w:t>Stability is tested by taking samples of correctly stored vaccine at intervals and measuring virus content. Tests should be carried out on at least six batches of the vaccine or until a statistically valid number of serials have been evaluated and be continued</w:t>
      </w:r>
      <w:r w:rsidRPr="00953CBD" w:rsidDel="00BC39F7">
        <w:t xml:space="preserve"> </w:t>
      </w:r>
      <w:r w:rsidRPr="00953CBD">
        <w:t>for 3 months after the claimed shelf-life.</w:t>
      </w:r>
    </w:p>
    <w:p w14:paraId="6ADA2659" w14:textId="77777777" w:rsidR="00A64257" w:rsidRPr="00953CBD" w:rsidRDefault="00A64257" w:rsidP="00A64257">
      <w:pPr>
        <w:pStyle w:val="A0"/>
        <w:rPr>
          <w:sz w:val="22"/>
        </w:rPr>
      </w:pPr>
      <w:r w:rsidRPr="00953CBD">
        <w:rPr>
          <w:sz w:val="22"/>
        </w:rPr>
        <w:t>REFERENCES</w:t>
      </w:r>
    </w:p>
    <w:p w14:paraId="4DFE1AB8" w14:textId="77777777" w:rsidR="00A64257" w:rsidRPr="00953CBD" w:rsidRDefault="00A64257" w:rsidP="002E3B67">
      <w:pPr>
        <w:pStyle w:val="Ref"/>
        <w:ind w:left="0" w:firstLine="0"/>
      </w:pPr>
      <w:r w:rsidRPr="00953CBD">
        <w:rPr>
          <w:smallCaps/>
        </w:rPr>
        <w:t>Adair B.M., Todd D., McKillop E.R. &amp; Burns K.</w:t>
      </w:r>
      <w:r w:rsidRPr="00953CBD">
        <w:t xml:space="preserve"> (1985). Comparison of serological tests for the detection of antibodies to infectious laryngotracheitis virus. </w:t>
      </w:r>
      <w:r w:rsidRPr="00953CBD">
        <w:rPr>
          <w:i/>
        </w:rPr>
        <w:t xml:space="preserve">Avian </w:t>
      </w:r>
      <w:proofErr w:type="spellStart"/>
      <w:r w:rsidRPr="00953CBD">
        <w:rPr>
          <w:i/>
        </w:rPr>
        <w:t>Pathol</w:t>
      </w:r>
      <w:proofErr w:type="spellEnd"/>
      <w:r w:rsidRPr="00953CBD">
        <w:rPr>
          <w:i/>
        </w:rPr>
        <w:t>.</w:t>
      </w:r>
      <w:r w:rsidRPr="00953CBD">
        <w:t xml:space="preserve">, </w:t>
      </w:r>
      <w:r w:rsidRPr="00953CBD">
        <w:rPr>
          <w:b/>
        </w:rPr>
        <w:t>14</w:t>
      </w:r>
      <w:r w:rsidRPr="00953CBD">
        <w:t>, 461–469.</w:t>
      </w:r>
    </w:p>
    <w:p w14:paraId="2853DE63" w14:textId="77777777" w:rsidR="00A64257" w:rsidRPr="00953CBD" w:rsidRDefault="00A64257" w:rsidP="002E3B67">
      <w:pPr>
        <w:pStyle w:val="Ref"/>
        <w:spacing w:after="200"/>
        <w:ind w:left="0" w:firstLine="0"/>
      </w:pPr>
      <w:r w:rsidRPr="00953CBD">
        <w:rPr>
          <w:smallCaps/>
        </w:rPr>
        <w:t>Alexander H.S. &amp; Nagy E</w:t>
      </w:r>
      <w:r w:rsidRPr="00953CBD">
        <w:t xml:space="preserve">. (1997). Polymerase chain reaction to detect infectious laryngotracheitis virus in conjunctival swabs from experimentally infected chickens. </w:t>
      </w:r>
      <w:r w:rsidRPr="00953CBD">
        <w:rPr>
          <w:i/>
        </w:rPr>
        <w:t>Avian Dis</w:t>
      </w:r>
      <w:r w:rsidRPr="00953CBD">
        <w:t xml:space="preserve">., </w:t>
      </w:r>
      <w:r w:rsidRPr="00953CBD">
        <w:rPr>
          <w:b/>
        </w:rPr>
        <w:t>41</w:t>
      </w:r>
      <w:r w:rsidRPr="00953CBD">
        <w:t>, 646–653.</w:t>
      </w:r>
    </w:p>
    <w:p w14:paraId="348731C4" w14:textId="5DE772BF" w:rsidR="00A64257" w:rsidRPr="00BB337F" w:rsidRDefault="00A64257" w:rsidP="002E3B67">
      <w:pPr>
        <w:pStyle w:val="Ref"/>
        <w:spacing w:after="200"/>
        <w:ind w:left="0" w:firstLine="0"/>
        <w:rPr>
          <w:strike/>
        </w:rPr>
      </w:pPr>
      <w:r w:rsidRPr="00BB337F">
        <w:rPr>
          <w:smallCaps/>
          <w:strike/>
        </w:rPr>
        <w:t xml:space="preserve">Armstrong </w:t>
      </w:r>
      <w:r w:rsidRPr="00BB337F">
        <w:rPr>
          <w:strike/>
        </w:rPr>
        <w:t xml:space="preserve">W.H. (1959). A slide smear technique for the diagnosis of laryngotracheitis. </w:t>
      </w:r>
      <w:r w:rsidRPr="00BB337F">
        <w:rPr>
          <w:i/>
          <w:strike/>
        </w:rPr>
        <w:t>Avian Dis.</w:t>
      </w:r>
      <w:r w:rsidRPr="00BB337F">
        <w:rPr>
          <w:strike/>
        </w:rPr>
        <w:t xml:space="preserve">, </w:t>
      </w:r>
      <w:r w:rsidRPr="00BB337F">
        <w:rPr>
          <w:b/>
          <w:strike/>
        </w:rPr>
        <w:t>3</w:t>
      </w:r>
      <w:r w:rsidRPr="00BB337F">
        <w:rPr>
          <w:strike/>
        </w:rPr>
        <w:t>, 80–84.</w:t>
      </w:r>
    </w:p>
    <w:p w14:paraId="418CEFB7" w14:textId="77777777" w:rsidR="00A64257" w:rsidRPr="00953CBD" w:rsidRDefault="00A64257" w:rsidP="002E3B67">
      <w:pPr>
        <w:pStyle w:val="Ref"/>
        <w:spacing w:after="200"/>
        <w:ind w:left="0" w:firstLine="0"/>
      </w:pPr>
      <w:proofErr w:type="spellStart"/>
      <w:r w:rsidRPr="00953CBD">
        <w:rPr>
          <w:smallCaps/>
        </w:rPr>
        <w:t>Braune</w:t>
      </w:r>
      <w:proofErr w:type="spellEnd"/>
      <w:r w:rsidRPr="00953CBD">
        <w:rPr>
          <w:smallCaps/>
        </w:rPr>
        <w:t xml:space="preserve"> M.O. &amp; Gentry R.F.</w:t>
      </w:r>
      <w:r w:rsidRPr="00953CBD">
        <w:t xml:space="preserve"> (1985). Standardization of the fluorescent antibody technique for the detection of avian respiratory viruses. </w:t>
      </w:r>
      <w:r w:rsidRPr="00953CBD">
        <w:rPr>
          <w:i/>
        </w:rPr>
        <w:t>Avian Dis.</w:t>
      </w:r>
      <w:r w:rsidRPr="00953CBD">
        <w:t xml:space="preserve">, </w:t>
      </w:r>
      <w:r w:rsidRPr="00953CBD">
        <w:rPr>
          <w:b/>
        </w:rPr>
        <w:t>9</w:t>
      </w:r>
      <w:r w:rsidRPr="00953CBD">
        <w:t>, 535–545.</w:t>
      </w:r>
    </w:p>
    <w:p w14:paraId="56D50C35" w14:textId="77777777" w:rsidR="00DE59F6" w:rsidRPr="00953CBD" w:rsidRDefault="006D2EE4" w:rsidP="009C2CFF">
      <w:pPr>
        <w:pStyle w:val="Ref"/>
        <w:spacing w:after="200"/>
        <w:ind w:left="0" w:firstLine="0"/>
        <w:rPr>
          <w:smallCaps/>
        </w:rPr>
      </w:pPr>
      <w:proofErr w:type="spellStart"/>
      <w:r w:rsidRPr="00953CBD">
        <w:rPr>
          <w:smallCaps/>
        </w:rPr>
        <w:t>Callison</w:t>
      </w:r>
      <w:proofErr w:type="spellEnd"/>
      <w:r w:rsidRPr="00953CBD">
        <w:rPr>
          <w:smallCaps/>
        </w:rPr>
        <w:t xml:space="preserve"> S.A., Riblet S.M., </w:t>
      </w:r>
      <w:proofErr w:type="spellStart"/>
      <w:r w:rsidRPr="00953CBD">
        <w:rPr>
          <w:smallCaps/>
        </w:rPr>
        <w:t>Oldoni</w:t>
      </w:r>
      <w:proofErr w:type="spellEnd"/>
      <w:r w:rsidRPr="00953CBD">
        <w:rPr>
          <w:smallCaps/>
        </w:rPr>
        <w:t xml:space="preserve"> I., Sun S., Zavala G., Williams S., </w:t>
      </w:r>
      <w:proofErr w:type="spellStart"/>
      <w:r w:rsidRPr="00953CBD">
        <w:rPr>
          <w:smallCaps/>
        </w:rPr>
        <w:t>Resurreccion</w:t>
      </w:r>
      <w:proofErr w:type="spellEnd"/>
      <w:r w:rsidRPr="00953CBD">
        <w:rPr>
          <w:smallCaps/>
        </w:rPr>
        <w:t xml:space="preserve"> R.S., Spackman E. &amp; Garcia M. </w:t>
      </w:r>
      <w:r w:rsidR="009C2CFF" w:rsidRPr="00953CBD">
        <w:rPr>
          <w:smallCaps/>
        </w:rPr>
        <w:t xml:space="preserve">(2007). </w:t>
      </w:r>
      <w:r w:rsidR="009C2CFF" w:rsidRPr="00953CBD">
        <w:t xml:space="preserve">Development and validation of a real-time </w:t>
      </w:r>
      <w:proofErr w:type="spellStart"/>
      <w:r w:rsidR="009C2CFF" w:rsidRPr="00953CBD">
        <w:t>Taqman</w:t>
      </w:r>
      <w:proofErr w:type="spellEnd"/>
      <w:r w:rsidR="009C2CFF" w:rsidRPr="00953CBD">
        <w:t>® PCR assay for the detection and quantitation of infectious laryngotracheitis virus in poultry</w:t>
      </w:r>
      <w:r w:rsidR="009C2CFF" w:rsidRPr="00953CBD">
        <w:rPr>
          <w:smallCaps/>
        </w:rPr>
        <w:t xml:space="preserve">. </w:t>
      </w:r>
      <w:r w:rsidR="009C2CFF" w:rsidRPr="00953CBD">
        <w:rPr>
          <w:i/>
        </w:rPr>
        <w:t xml:space="preserve">J. </w:t>
      </w:r>
      <w:proofErr w:type="spellStart"/>
      <w:r w:rsidR="009C2CFF" w:rsidRPr="00953CBD">
        <w:rPr>
          <w:i/>
        </w:rPr>
        <w:t>Virol</w:t>
      </w:r>
      <w:proofErr w:type="spellEnd"/>
      <w:r w:rsidR="009C2CFF" w:rsidRPr="00953CBD">
        <w:rPr>
          <w:i/>
        </w:rPr>
        <w:t>. Methods</w:t>
      </w:r>
      <w:r w:rsidRPr="00953CBD">
        <w:t xml:space="preserve">, </w:t>
      </w:r>
      <w:r w:rsidR="009C2CFF" w:rsidRPr="00953CBD">
        <w:rPr>
          <w:b/>
        </w:rPr>
        <w:t>139</w:t>
      </w:r>
      <w:r w:rsidR="009C2CFF" w:rsidRPr="00953CBD">
        <w:t>, 31</w:t>
      </w:r>
      <w:r w:rsidRPr="00953CBD">
        <w:t>–</w:t>
      </w:r>
      <w:r w:rsidR="009C2CFF" w:rsidRPr="00953CBD">
        <w:t>38</w:t>
      </w:r>
      <w:r w:rsidR="009C2CFF" w:rsidRPr="00953CBD">
        <w:rPr>
          <w:smallCaps/>
        </w:rPr>
        <w:t>.</w:t>
      </w:r>
    </w:p>
    <w:p w14:paraId="3DA5A359" w14:textId="4E26F71A" w:rsidR="00F7650F" w:rsidRPr="00953CBD" w:rsidRDefault="00F7650F" w:rsidP="009C2CFF">
      <w:pPr>
        <w:pStyle w:val="Ref"/>
        <w:spacing w:after="200"/>
        <w:ind w:left="0" w:firstLine="0"/>
        <w:rPr>
          <w:smallCaps/>
          <w:lang w:bidi="en-US"/>
        </w:rPr>
      </w:pPr>
      <w:r w:rsidRPr="00851E60">
        <w:rPr>
          <w:smallCaps/>
          <w:lang w:val="en-IE" w:bidi="en-US"/>
        </w:rPr>
        <w:t xml:space="preserve">Chacon J.L. </w:t>
      </w:r>
      <w:r w:rsidR="001D2B60" w:rsidRPr="00851E60">
        <w:rPr>
          <w:smallCaps/>
          <w:lang w:val="en-IE" w:bidi="en-US"/>
        </w:rPr>
        <w:t>&amp;</w:t>
      </w:r>
      <w:r w:rsidRPr="00851E60">
        <w:rPr>
          <w:smallCaps/>
          <w:lang w:val="en-IE" w:bidi="en-US"/>
        </w:rPr>
        <w:t xml:space="preserve"> Ferreira </w:t>
      </w:r>
      <w:r w:rsidR="00851E60" w:rsidRPr="00851E60">
        <w:rPr>
          <w:smallCaps/>
          <w:lang w:val="en-IE" w:bidi="en-US"/>
        </w:rPr>
        <w:t xml:space="preserve">A.J. </w:t>
      </w:r>
      <w:r w:rsidR="001D2B60" w:rsidRPr="00851E60">
        <w:rPr>
          <w:smallCaps/>
          <w:lang w:val="en-IE" w:bidi="en-US"/>
        </w:rPr>
        <w:t>(</w:t>
      </w:r>
      <w:r w:rsidRPr="00851E60">
        <w:rPr>
          <w:smallCaps/>
          <w:lang w:val="en-IE" w:bidi="en-US"/>
        </w:rPr>
        <w:t>2009</w:t>
      </w:r>
      <w:r w:rsidR="001D2B60" w:rsidRPr="00851E60">
        <w:rPr>
          <w:smallCaps/>
          <w:lang w:val="en-IE" w:bidi="en-US"/>
        </w:rPr>
        <w:t>)</w:t>
      </w:r>
      <w:r w:rsidRPr="00851E60">
        <w:rPr>
          <w:smallCaps/>
          <w:lang w:val="en-IE" w:bidi="en-US"/>
        </w:rPr>
        <w:t xml:space="preserve">. </w:t>
      </w:r>
      <w:r w:rsidRPr="00953CBD">
        <w:rPr>
          <w:lang w:bidi="en-US"/>
        </w:rPr>
        <w:t>Differentiation of field isolates and vaccine strains of infectious laryngotracheitis virus by DNA sequencing</w:t>
      </w:r>
      <w:r w:rsidRPr="00953CBD">
        <w:rPr>
          <w:i/>
          <w:lang w:bidi="en-US"/>
        </w:rPr>
        <w:t>.</w:t>
      </w:r>
      <w:r w:rsidRPr="00953CBD">
        <w:rPr>
          <w:lang w:bidi="en-US"/>
        </w:rPr>
        <w:t xml:space="preserve"> </w:t>
      </w:r>
      <w:r w:rsidRPr="00953CBD">
        <w:rPr>
          <w:i/>
          <w:lang w:bidi="en-US"/>
        </w:rPr>
        <w:t>Vaccine</w:t>
      </w:r>
      <w:r w:rsidR="001D2B60" w:rsidRPr="00953CBD">
        <w:rPr>
          <w:lang w:bidi="en-US"/>
        </w:rPr>
        <w:t>,</w:t>
      </w:r>
      <w:r w:rsidRPr="00953CBD">
        <w:rPr>
          <w:lang w:bidi="en-US"/>
        </w:rPr>
        <w:t xml:space="preserve"> </w:t>
      </w:r>
      <w:r w:rsidRPr="00953CBD">
        <w:rPr>
          <w:b/>
          <w:lang w:bidi="en-US"/>
        </w:rPr>
        <w:t>27</w:t>
      </w:r>
      <w:r w:rsidR="001D2B60" w:rsidRPr="00953CBD">
        <w:rPr>
          <w:lang w:bidi="en-US"/>
        </w:rPr>
        <w:t xml:space="preserve">, </w:t>
      </w:r>
      <w:r w:rsidRPr="00953CBD">
        <w:rPr>
          <w:lang w:bidi="en-US"/>
        </w:rPr>
        <w:t>6731-6738</w:t>
      </w:r>
      <w:r w:rsidRPr="00953CBD">
        <w:rPr>
          <w:smallCaps/>
          <w:lang w:bidi="en-US"/>
        </w:rPr>
        <w:t>.</w:t>
      </w:r>
    </w:p>
    <w:p w14:paraId="46422718" w14:textId="77777777" w:rsidR="00A64257" w:rsidRPr="00953CBD" w:rsidRDefault="00A64257" w:rsidP="002E3B67">
      <w:pPr>
        <w:pStyle w:val="Ref"/>
        <w:spacing w:after="200"/>
        <w:ind w:left="0" w:firstLine="0"/>
      </w:pPr>
      <w:r w:rsidRPr="00953CBD">
        <w:rPr>
          <w:smallCaps/>
        </w:rPr>
        <w:t xml:space="preserve">Chang P.C., </w:t>
      </w:r>
      <w:r w:rsidR="006404BB" w:rsidRPr="00953CBD">
        <w:rPr>
          <w:smallCaps/>
        </w:rPr>
        <w:t xml:space="preserve">Lee Y.L., </w:t>
      </w:r>
      <w:proofErr w:type="spellStart"/>
      <w:r w:rsidR="006404BB" w:rsidRPr="00953CBD">
        <w:rPr>
          <w:smallCaps/>
        </w:rPr>
        <w:t>Shien</w:t>
      </w:r>
      <w:proofErr w:type="spellEnd"/>
      <w:r w:rsidR="006404BB" w:rsidRPr="00953CBD">
        <w:rPr>
          <w:smallCaps/>
        </w:rPr>
        <w:t xml:space="preserve"> J.H. &amp; Shieh H.</w:t>
      </w:r>
      <w:r w:rsidRPr="00953CBD">
        <w:rPr>
          <w:smallCaps/>
        </w:rPr>
        <w:t>K.</w:t>
      </w:r>
      <w:r w:rsidRPr="00953CBD">
        <w:t xml:space="preserve"> (1997). Rapid differentiation of vaccine strains and field isolates of infectious laryngotracheitis virus by restriction fragment length polymorphism of PCR products. </w:t>
      </w:r>
      <w:r w:rsidRPr="00953CBD">
        <w:rPr>
          <w:i/>
        </w:rPr>
        <w:t>J. </w:t>
      </w:r>
      <w:proofErr w:type="spellStart"/>
      <w:r w:rsidRPr="00953CBD">
        <w:rPr>
          <w:i/>
        </w:rPr>
        <w:t>Virol</w:t>
      </w:r>
      <w:proofErr w:type="spellEnd"/>
      <w:r w:rsidRPr="00953CBD">
        <w:rPr>
          <w:i/>
        </w:rPr>
        <w:t>. Methods</w:t>
      </w:r>
      <w:r w:rsidRPr="00953CBD">
        <w:t xml:space="preserve">, </w:t>
      </w:r>
      <w:r w:rsidRPr="00953CBD">
        <w:rPr>
          <w:b/>
        </w:rPr>
        <w:t>66</w:t>
      </w:r>
      <w:r w:rsidRPr="00953CBD">
        <w:t>, 179–186.</w:t>
      </w:r>
    </w:p>
    <w:p w14:paraId="72E29563" w14:textId="27A069C0" w:rsidR="002E3B67" w:rsidRPr="00BB337F" w:rsidRDefault="00A64257" w:rsidP="002E3B67">
      <w:pPr>
        <w:pStyle w:val="Ref"/>
        <w:spacing w:after="200"/>
        <w:ind w:left="0" w:firstLine="0"/>
        <w:rPr>
          <w:strike/>
        </w:rPr>
      </w:pPr>
      <w:r w:rsidRPr="00BB337F">
        <w:rPr>
          <w:smallCaps/>
          <w:strike/>
        </w:rPr>
        <w:t xml:space="preserve">Chang P.W., Yates V.J., </w:t>
      </w:r>
      <w:proofErr w:type="spellStart"/>
      <w:r w:rsidRPr="00BB337F">
        <w:rPr>
          <w:smallCaps/>
          <w:strike/>
        </w:rPr>
        <w:t>Dardiri</w:t>
      </w:r>
      <w:proofErr w:type="spellEnd"/>
      <w:r w:rsidRPr="00BB337F">
        <w:rPr>
          <w:smallCaps/>
          <w:strike/>
        </w:rPr>
        <w:t xml:space="preserve"> A.H. &amp; Fry D.E. </w:t>
      </w:r>
      <w:r w:rsidRPr="00BB337F">
        <w:rPr>
          <w:strike/>
        </w:rPr>
        <w:t xml:space="preserve">(1960). Some observations of the propagation of infectious laryngotracheitis virus in tissue culture. </w:t>
      </w:r>
      <w:r w:rsidRPr="00BB337F">
        <w:rPr>
          <w:i/>
          <w:strike/>
        </w:rPr>
        <w:t>Avian Dis.</w:t>
      </w:r>
      <w:r w:rsidRPr="00BB337F">
        <w:rPr>
          <w:strike/>
        </w:rPr>
        <w:t xml:space="preserve">, </w:t>
      </w:r>
      <w:r w:rsidRPr="00BB337F">
        <w:rPr>
          <w:b/>
          <w:strike/>
        </w:rPr>
        <w:t>4</w:t>
      </w:r>
      <w:r w:rsidRPr="00BB337F">
        <w:rPr>
          <w:strike/>
        </w:rPr>
        <w:t>, 484–490.</w:t>
      </w:r>
    </w:p>
    <w:p w14:paraId="7989F6B7" w14:textId="77777777" w:rsidR="009445FD" w:rsidRPr="00953CBD" w:rsidRDefault="009445FD" w:rsidP="009445FD">
      <w:pPr>
        <w:pStyle w:val="Ref"/>
        <w:spacing w:after="200"/>
        <w:ind w:left="0" w:firstLine="0"/>
      </w:pPr>
      <w:r w:rsidRPr="00953CBD">
        <w:rPr>
          <w:smallCaps/>
        </w:rPr>
        <w:t>Code of Federal Regulations (of the United States of America) (CFR)</w:t>
      </w:r>
      <w:r w:rsidRPr="00953CBD">
        <w:t xml:space="preserve"> (2000). Part 9, Section 113.328, Fowl Laryngotracheitis Vaccine. US Government Printing Office. Washington DC, USA.</w:t>
      </w:r>
    </w:p>
    <w:p w14:paraId="3CCABF25" w14:textId="200E3D90" w:rsidR="003D1927" w:rsidRPr="00953CBD" w:rsidRDefault="003D1927" w:rsidP="009445FD">
      <w:pPr>
        <w:pStyle w:val="Ref"/>
        <w:spacing w:after="200"/>
        <w:ind w:left="0" w:firstLine="0"/>
      </w:pPr>
      <w:proofErr w:type="spellStart"/>
      <w:r w:rsidRPr="00953CBD">
        <w:rPr>
          <w:smallCaps/>
        </w:rPr>
        <w:lastRenderedPageBreak/>
        <w:t>Coppo</w:t>
      </w:r>
      <w:proofErr w:type="spellEnd"/>
      <w:r w:rsidRPr="00953CBD">
        <w:rPr>
          <w:smallCaps/>
        </w:rPr>
        <w:t xml:space="preserve"> M.J.C., </w:t>
      </w:r>
      <w:proofErr w:type="spellStart"/>
      <w:r w:rsidRPr="00953CBD">
        <w:rPr>
          <w:smallCaps/>
        </w:rPr>
        <w:t>Noormohammadi</w:t>
      </w:r>
      <w:proofErr w:type="spellEnd"/>
      <w:r w:rsidRPr="00953CBD">
        <w:rPr>
          <w:smallCaps/>
        </w:rPr>
        <w:t xml:space="preserve"> A.H., Browning G.F. &amp; Devlin J.M. </w:t>
      </w:r>
      <w:r w:rsidRPr="00953CBD">
        <w:t>(2013)</w:t>
      </w:r>
      <w:r w:rsidR="0022432B" w:rsidRPr="00953CBD">
        <w:t>.</w:t>
      </w:r>
      <w:r w:rsidRPr="00953CBD">
        <w:t xml:space="preserve"> Challenges and recent advances in infectious laryngotracheitis virus vaccines. </w:t>
      </w:r>
      <w:r w:rsidR="00014C46" w:rsidRPr="00953CBD">
        <w:rPr>
          <w:i/>
        </w:rPr>
        <w:t xml:space="preserve">Avian </w:t>
      </w:r>
      <w:proofErr w:type="spellStart"/>
      <w:r w:rsidR="00014C46" w:rsidRPr="00953CBD">
        <w:rPr>
          <w:i/>
        </w:rPr>
        <w:t>Pathol</w:t>
      </w:r>
      <w:proofErr w:type="spellEnd"/>
      <w:r w:rsidRPr="00953CBD">
        <w:rPr>
          <w:i/>
        </w:rPr>
        <w:t>.</w:t>
      </w:r>
      <w:r w:rsidRPr="00953CBD">
        <w:t xml:space="preserve">, </w:t>
      </w:r>
      <w:r w:rsidRPr="00953CBD">
        <w:rPr>
          <w:b/>
        </w:rPr>
        <w:t>4</w:t>
      </w:r>
      <w:r w:rsidR="00014C46" w:rsidRPr="00953CBD">
        <w:rPr>
          <w:b/>
        </w:rPr>
        <w:t>2</w:t>
      </w:r>
      <w:r w:rsidRPr="00953CBD">
        <w:t xml:space="preserve">, </w:t>
      </w:r>
      <w:r w:rsidR="00014C46" w:rsidRPr="00953CBD">
        <w:t>195–205</w:t>
      </w:r>
      <w:r w:rsidRPr="00953CBD">
        <w:t>.</w:t>
      </w:r>
    </w:p>
    <w:p w14:paraId="3FEAD802" w14:textId="77777777" w:rsidR="00851E60" w:rsidRPr="00953CBD" w:rsidRDefault="00851E60" w:rsidP="00851E60">
      <w:pPr>
        <w:pStyle w:val="Ref"/>
        <w:spacing w:after="200"/>
        <w:ind w:left="0" w:firstLine="0"/>
      </w:pPr>
      <w:proofErr w:type="spellStart"/>
      <w:r w:rsidRPr="00953CBD">
        <w:rPr>
          <w:smallCaps/>
        </w:rPr>
        <w:t>Creelan</w:t>
      </w:r>
      <w:proofErr w:type="spellEnd"/>
      <w:r w:rsidRPr="00953CBD">
        <w:rPr>
          <w:smallCaps/>
        </w:rPr>
        <w:t xml:space="preserve"> J.L., Calvert V.M., Graham D.A. &amp; McCulloch J. </w:t>
      </w:r>
      <w:r w:rsidRPr="00953CBD">
        <w:t xml:space="preserve">(2006). Rapid detection and characterisation from field cases of infectious laryngotracheitis by real-time polymerase chain reaction and restriction fragment length. </w:t>
      </w:r>
      <w:r w:rsidRPr="00953CBD">
        <w:rPr>
          <w:i/>
        </w:rPr>
        <w:t xml:space="preserve">Avian </w:t>
      </w:r>
      <w:proofErr w:type="spellStart"/>
      <w:r w:rsidRPr="00953CBD">
        <w:rPr>
          <w:i/>
        </w:rPr>
        <w:t>Pathol</w:t>
      </w:r>
      <w:proofErr w:type="spellEnd"/>
      <w:r w:rsidRPr="00953CBD">
        <w:t xml:space="preserve">., </w:t>
      </w:r>
      <w:r w:rsidRPr="00953CBD">
        <w:rPr>
          <w:b/>
        </w:rPr>
        <w:t>35</w:t>
      </w:r>
      <w:r w:rsidRPr="00953CBD">
        <w:t>, 173–179.</w:t>
      </w:r>
    </w:p>
    <w:p w14:paraId="4913C13D" w14:textId="7B582446" w:rsidR="003A0C29" w:rsidRDefault="00D21CCA" w:rsidP="00D21CCA">
      <w:pPr>
        <w:widowControl w:val="0"/>
        <w:tabs>
          <w:tab w:val="clear" w:pos="-720"/>
        </w:tabs>
        <w:autoSpaceDE w:val="0"/>
        <w:autoSpaceDN w:val="0"/>
        <w:adjustRightInd w:val="0"/>
        <w:spacing w:after="240" w:line="240" w:lineRule="auto"/>
        <w:rPr>
          <w:rFonts w:ascii="Arial" w:hAnsi="Arial" w:cs="Arial"/>
          <w:sz w:val="18"/>
          <w:szCs w:val="18"/>
          <w:lang w:val="en-US" w:eastAsia="en-GB"/>
        </w:rPr>
      </w:pPr>
      <w:r w:rsidRPr="00953CBD">
        <w:rPr>
          <w:rFonts w:ascii="Arial" w:hAnsi="Arial" w:cs="Arial"/>
          <w:smallCaps/>
          <w:sz w:val="18"/>
          <w:szCs w:val="18"/>
          <w:lang w:val="en-US" w:eastAsia="en-GB"/>
        </w:rPr>
        <w:t>European Pharmacopoeia</w:t>
      </w:r>
      <w:r w:rsidRPr="00953CBD">
        <w:rPr>
          <w:rFonts w:ascii="Arial" w:hAnsi="Arial" w:cs="Arial"/>
          <w:sz w:val="18"/>
          <w:szCs w:val="18"/>
          <w:lang w:val="en-US" w:eastAsia="en-GB"/>
        </w:rPr>
        <w:t xml:space="preserve"> </w:t>
      </w:r>
      <w:r w:rsidR="003A0C29" w:rsidRPr="00953CBD">
        <w:rPr>
          <w:rFonts w:ascii="Arial" w:hAnsi="Arial" w:cs="Arial"/>
          <w:sz w:val="18"/>
          <w:szCs w:val="18"/>
          <w:lang w:val="en-US" w:eastAsia="en-GB"/>
        </w:rPr>
        <w:t>6.0 (2010). Avian infectious laryngotrachei</w:t>
      </w:r>
      <w:r w:rsidRPr="00953CBD">
        <w:rPr>
          <w:rFonts w:ascii="Arial" w:hAnsi="Arial" w:cs="Arial"/>
          <w:sz w:val="18"/>
          <w:szCs w:val="18"/>
          <w:lang w:val="en-US" w:eastAsia="en-GB"/>
        </w:rPr>
        <w:t>ti</w:t>
      </w:r>
      <w:r w:rsidR="003A0C29" w:rsidRPr="00953CBD">
        <w:rPr>
          <w:rFonts w:ascii="Arial" w:hAnsi="Arial" w:cs="Arial"/>
          <w:sz w:val="18"/>
          <w:szCs w:val="18"/>
          <w:lang w:val="en-US" w:eastAsia="en-GB"/>
        </w:rPr>
        <w:t>s vaccine (live) European Directorate for</w:t>
      </w:r>
      <w:r w:rsidRPr="00953CBD">
        <w:rPr>
          <w:rFonts w:ascii="Arial" w:hAnsi="Arial" w:cs="Arial"/>
          <w:sz w:val="18"/>
          <w:szCs w:val="18"/>
          <w:lang w:val="en-US" w:eastAsia="en-GB"/>
        </w:rPr>
        <w:t xml:space="preserve"> </w:t>
      </w:r>
      <w:r w:rsidR="003A0C29" w:rsidRPr="00953CBD">
        <w:rPr>
          <w:rFonts w:ascii="Arial" w:hAnsi="Arial" w:cs="Arial"/>
          <w:sz w:val="18"/>
          <w:szCs w:val="18"/>
          <w:lang w:val="en-US" w:eastAsia="en-GB"/>
        </w:rPr>
        <w:t>the Quality of Medicines and HealthCare (EDQM), Council of Europe, Strasbourg, France, 872</w:t>
      </w:r>
      <w:r w:rsidR="0022432B" w:rsidRPr="00953CBD">
        <w:rPr>
          <w:rFonts w:ascii="Arial" w:hAnsi="Arial" w:cs="Arial"/>
          <w:sz w:val="18"/>
          <w:szCs w:val="18"/>
          <w:lang w:val="en-US" w:eastAsia="en-GB"/>
        </w:rPr>
        <w:t>–</w:t>
      </w:r>
      <w:r w:rsidR="003A0C29" w:rsidRPr="00953CBD">
        <w:rPr>
          <w:rFonts w:ascii="Arial" w:hAnsi="Arial" w:cs="Arial"/>
          <w:sz w:val="18"/>
          <w:szCs w:val="18"/>
          <w:lang w:val="en-US" w:eastAsia="en-GB"/>
        </w:rPr>
        <w:t>873.</w:t>
      </w:r>
    </w:p>
    <w:p w14:paraId="7F749DEB" w14:textId="5EB8964A" w:rsidR="00ED1A5B" w:rsidRPr="00BB337F" w:rsidRDefault="00D90DD2" w:rsidP="00462611">
      <w:pPr>
        <w:tabs>
          <w:tab w:val="clear" w:pos="-720"/>
        </w:tabs>
        <w:autoSpaceDE w:val="0"/>
        <w:autoSpaceDN w:val="0"/>
        <w:adjustRightInd w:val="0"/>
        <w:spacing w:after="240" w:line="240" w:lineRule="auto"/>
        <w:rPr>
          <w:rFonts w:ascii="Arial" w:hAnsi="Arial" w:cs="Arial"/>
          <w:sz w:val="18"/>
          <w:szCs w:val="18"/>
          <w:u w:val="double"/>
          <w:lang w:val="en-AU"/>
        </w:rPr>
      </w:pPr>
      <w:r w:rsidRPr="00D90DD2">
        <w:rPr>
          <w:rFonts w:ascii="Arial" w:hAnsi="Arial" w:cs="Arial"/>
          <w:smallCaps/>
          <w:sz w:val="18"/>
          <w:szCs w:val="18"/>
          <w:u w:val="double"/>
          <w:lang w:val="en-AU"/>
        </w:rPr>
        <w:t xml:space="preserve">Garcia </w:t>
      </w:r>
      <w:r w:rsidR="00ED1A5B" w:rsidRPr="00D90DD2">
        <w:rPr>
          <w:rFonts w:ascii="Arial" w:hAnsi="Arial" w:cs="Arial"/>
          <w:smallCaps/>
          <w:sz w:val="18"/>
          <w:szCs w:val="18"/>
          <w:u w:val="double"/>
          <w:lang w:val="en-AU"/>
        </w:rPr>
        <w:t>M</w:t>
      </w:r>
      <w:r w:rsidR="00ED1A5B" w:rsidRPr="00BB337F">
        <w:rPr>
          <w:rFonts w:ascii="Arial" w:hAnsi="Arial" w:cs="Arial"/>
          <w:sz w:val="18"/>
          <w:szCs w:val="18"/>
          <w:u w:val="double"/>
          <w:lang w:val="en-AU"/>
        </w:rPr>
        <w:t xml:space="preserve">. (2017). Current and future vaccines and vaccination strategies against infectious laryngotracheitis (ILT) respiratory disease of poultry. </w:t>
      </w:r>
      <w:r w:rsidR="00ED1A5B" w:rsidRPr="00BB337F">
        <w:rPr>
          <w:rFonts w:ascii="Arial" w:hAnsi="Arial" w:cs="Arial"/>
          <w:i/>
          <w:iCs/>
          <w:sz w:val="18"/>
          <w:szCs w:val="18"/>
          <w:u w:val="double"/>
          <w:lang w:val="en-AU"/>
        </w:rPr>
        <w:t>Vet. Microbiol.</w:t>
      </w:r>
      <w:r>
        <w:rPr>
          <w:rFonts w:ascii="Arial" w:hAnsi="Arial" w:cs="Arial"/>
          <w:i/>
          <w:iCs/>
          <w:sz w:val="18"/>
          <w:szCs w:val="18"/>
          <w:u w:val="double"/>
          <w:lang w:val="en-AU"/>
        </w:rPr>
        <w:t>,</w:t>
      </w:r>
      <w:r w:rsidR="00ED1A5B" w:rsidRPr="00BB337F">
        <w:rPr>
          <w:rFonts w:ascii="Arial" w:hAnsi="Arial" w:cs="Arial"/>
          <w:sz w:val="18"/>
          <w:szCs w:val="18"/>
          <w:u w:val="double"/>
          <w:lang w:val="en-AU"/>
        </w:rPr>
        <w:t xml:space="preserve"> </w:t>
      </w:r>
      <w:r w:rsidR="00ED1A5B" w:rsidRPr="00BB337F">
        <w:rPr>
          <w:rFonts w:ascii="Arial" w:hAnsi="Arial" w:cs="Arial"/>
          <w:b/>
          <w:bCs/>
          <w:sz w:val="18"/>
          <w:szCs w:val="18"/>
          <w:u w:val="double"/>
          <w:lang w:val="en-AU"/>
        </w:rPr>
        <w:t>206</w:t>
      </w:r>
      <w:r w:rsidR="00ED1A5B" w:rsidRPr="00BB337F">
        <w:rPr>
          <w:rFonts w:ascii="Arial" w:hAnsi="Arial" w:cs="Arial"/>
          <w:sz w:val="18"/>
          <w:szCs w:val="18"/>
          <w:u w:val="double"/>
          <w:lang w:val="en-AU"/>
        </w:rPr>
        <w:t xml:space="preserve">, 157–162. </w:t>
      </w:r>
    </w:p>
    <w:p w14:paraId="55F5DECD" w14:textId="6A788523" w:rsidR="00F7650F" w:rsidRPr="00BB337F" w:rsidRDefault="00A64257" w:rsidP="001D2B60">
      <w:pPr>
        <w:pStyle w:val="Ref"/>
        <w:spacing w:after="200"/>
        <w:ind w:left="0" w:firstLine="0"/>
        <w:rPr>
          <w:strike/>
          <w:lang w:val="en-US"/>
        </w:rPr>
      </w:pPr>
      <w:r w:rsidRPr="00BB337F">
        <w:rPr>
          <w:smallCaps/>
          <w:strike/>
        </w:rPr>
        <w:t xml:space="preserve">Guy J.S. &amp; </w:t>
      </w:r>
      <w:proofErr w:type="spellStart"/>
      <w:r w:rsidRPr="00BB337F">
        <w:rPr>
          <w:smallCaps/>
          <w:strike/>
        </w:rPr>
        <w:t>Bagust</w:t>
      </w:r>
      <w:proofErr w:type="spellEnd"/>
      <w:r w:rsidRPr="00BB337F">
        <w:rPr>
          <w:smallCaps/>
          <w:strike/>
        </w:rPr>
        <w:t xml:space="preserve"> T.J.</w:t>
      </w:r>
      <w:r w:rsidRPr="00BB337F">
        <w:rPr>
          <w:strike/>
        </w:rPr>
        <w:t xml:space="preserve"> (2003) Laryngotracheitis. </w:t>
      </w:r>
      <w:r w:rsidRPr="00BB337F">
        <w:rPr>
          <w:i/>
          <w:iCs/>
          <w:strike/>
        </w:rPr>
        <w:t>In:</w:t>
      </w:r>
      <w:r w:rsidRPr="00BB337F">
        <w:rPr>
          <w:strike/>
        </w:rPr>
        <w:t xml:space="preserve"> Diseases of Poultry, Eleventh Edition, </w:t>
      </w:r>
      <w:r w:rsidR="006404BB" w:rsidRPr="00BB337F">
        <w:rPr>
          <w:strike/>
        </w:rPr>
        <w:t>Saif Y.M., Barnes H.</w:t>
      </w:r>
      <w:r w:rsidRPr="00BB337F">
        <w:rPr>
          <w:strike/>
        </w:rPr>
        <w:t>J</w:t>
      </w:r>
      <w:r w:rsidR="006404BB" w:rsidRPr="00BB337F">
        <w:rPr>
          <w:strike/>
        </w:rPr>
        <w:t>.</w:t>
      </w:r>
      <w:r w:rsidRPr="00BB337F">
        <w:rPr>
          <w:strike/>
        </w:rPr>
        <w:t>, Glisson J</w:t>
      </w:r>
      <w:r w:rsidR="006404BB" w:rsidRPr="00BB337F">
        <w:rPr>
          <w:strike/>
        </w:rPr>
        <w:t>.</w:t>
      </w:r>
      <w:r w:rsidRPr="00BB337F">
        <w:rPr>
          <w:strike/>
        </w:rPr>
        <w:t xml:space="preserve">R., </w:t>
      </w:r>
      <w:proofErr w:type="spellStart"/>
      <w:r w:rsidRPr="00BB337F">
        <w:rPr>
          <w:strike/>
        </w:rPr>
        <w:t>Fadly</w:t>
      </w:r>
      <w:proofErr w:type="spellEnd"/>
      <w:r w:rsidRPr="00BB337F">
        <w:rPr>
          <w:strike/>
        </w:rPr>
        <w:t xml:space="preserve"> A</w:t>
      </w:r>
      <w:r w:rsidR="006404BB" w:rsidRPr="00BB337F">
        <w:rPr>
          <w:strike/>
        </w:rPr>
        <w:t>.</w:t>
      </w:r>
      <w:r w:rsidRPr="00BB337F">
        <w:rPr>
          <w:strike/>
        </w:rPr>
        <w:t>M., McDougald L</w:t>
      </w:r>
      <w:r w:rsidR="006404BB" w:rsidRPr="00BB337F">
        <w:rPr>
          <w:strike/>
        </w:rPr>
        <w:t>.</w:t>
      </w:r>
      <w:r w:rsidRPr="00BB337F">
        <w:rPr>
          <w:strike/>
        </w:rPr>
        <w:t>R. &amp; Swayne D</w:t>
      </w:r>
      <w:r w:rsidR="006404BB" w:rsidRPr="00BB337F">
        <w:rPr>
          <w:strike/>
        </w:rPr>
        <w:t>.,</w:t>
      </w:r>
      <w:r w:rsidRPr="00BB337F">
        <w:rPr>
          <w:strike/>
        </w:rPr>
        <w:t xml:space="preserve"> eds. Iowa State University Press, USA, 124–134</w:t>
      </w:r>
      <w:r w:rsidRPr="00BB337F">
        <w:rPr>
          <w:strike/>
          <w:sz w:val="20"/>
        </w:rPr>
        <w:t>.</w:t>
      </w:r>
    </w:p>
    <w:p w14:paraId="3D00B4CB" w14:textId="77777777" w:rsidR="00A64257" w:rsidRPr="00953CBD" w:rsidRDefault="00A64257" w:rsidP="002E3B67">
      <w:pPr>
        <w:pStyle w:val="Ref"/>
        <w:spacing w:after="200"/>
        <w:ind w:left="0" w:firstLine="0"/>
      </w:pPr>
      <w:r w:rsidRPr="00BB337F">
        <w:rPr>
          <w:smallCaps/>
          <w:lang w:val="da-DK"/>
        </w:rPr>
        <w:t>Han M.G. &amp; Sim S.J.</w:t>
      </w:r>
      <w:r w:rsidRPr="00BB337F">
        <w:rPr>
          <w:lang w:val="da-DK"/>
        </w:rPr>
        <w:t xml:space="preserve"> (2001). </w:t>
      </w:r>
      <w:r w:rsidRPr="00953CBD">
        <w:t xml:space="preserve">Analysis of Korean strains of infectious laryngotracheitis virus by nucleotide sequences and restriction fragment length polymorphism. </w:t>
      </w:r>
      <w:r w:rsidRPr="00953CBD">
        <w:rPr>
          <w:i/>
          <w:iCs/>
        </w:rPr>
        <w:t xml:space="preserve">Vet. </w:t>
      </w:r>
      <w:proofErr w:type="spellStart"/>
      <w:r w:rsidRPr="00953CBD">
        <w:rPr>
          <w:i/>
          <w:iCs/>
        </w:rPr>
        <w:t>Microbiol</w:t>
      </w:r>
      <w:proofErr w:type="spellEnd"/>
      <w:r w:rsidRPr="00953CBD">
        <w:rPr>
          <w:i/>
          <w:iCs/>
        </w:rPr>
        <w:t>.,</w:t>
      </w:r>
      <w:r w:rsidRPr="00953CBD">
        <w:t xml:space="preserve"> </w:t>
      </w:r>
      <w:r w:rsidRPr="00953CBD">
        <w:rPr>
          <w:b/>
          <w:bCs/>
        </w:rPr>
        <w:t>83</w:t>
      </w:r>
      <w:r w:rsidRPr="00953CBD">
        <w:t>, 321</w:t>
      </w:r>
      <w:r w:rsidR="0022432B" w:rsidRPr="00953CBD">
        <w:t>–</w:t>
      </w:r>
      <w:r w:rsidRPr="00953CBD">
        <w:t>331.</w:t>
      </w:r>
    </w:p>
    <w:p w14:paraId="5F24AE87" w14:textId="77777777" w:rsidR="00F924C5" w:rsidRPr="00953CBD" w:rsidRDefault="00F924C5" w:rsidP="00260FC3">
      <w:pPr>
        <w:pStyle w:val="Ref"/>
        <w:spacing w:after="200"/>
        <w:ind w:left="0" w:firstLine="0"/>
      </w:pPr>
      <w:r w:rsidRPr="00953CBD">
        <w:rPr>
          <w:smallCaps/>
        </w:rPr>
        <w:t>Hughes C.S. &amp; Jones R.C.</w:t>
      </w:r>
      <w:r w:rsidRPr="00953CBD">
        <w:t xml:space="preserve"> (1988). Comparison of methods of isolation of infectious laryngotracheitis from field material. </w:t>
      </w:r>
      <w:r w:rsidRPr="00953CBD">
        <w:rPr>
          <w:i/>
        </w:rPr>
        <w:t xml:space="preserve">Avian </w:t>
      </w:r>
      <w:proofErr w:type="spellStart"/>
      <w:r w:rsidRPr="00953CBD">
        <w:rPr>
          <w:i/>
        </w:rPr>
        <w:t>Pathol</w:t>
      </w:r>
      <w:proofErr w:type="spellEnd"/>
      <w:r w:rsidRPr="00953CBD">
        <w:rPr>
          <w:i/>
        </w:rPr>
        <w:t>.</w:t>
      </w:r>
      <w:r w:rsidRPr="00953CBD">
        <w:t xml:space="preserve">, </w:t>
      </w:r>
      <w:r w:rsidRPr="00953CBD">
        <w:rPr>
          <w:b/>
        </w:rPr>
        <w:t>17</w:t>
      </w:r>
      <w:r w:rsidRPr="00953CBD">
        <w:t>, 295–303.</w:t>
      </w:r>
    </w:p>
    <w:p w14:paraId="1D4868A2" w14:textId="77777777" w:rsidR="00C235CD" w:rsidRPr="00953CBD" w:rsidRDefault="000B5BE7" w:rsidP="00260FC3">
      <w:pPr>
        <w:pStyle w:val="Ref"/>
        <w:spacing w:after="200"/>
        <w:ind w:left="0" w:firstLine="0"/>
      </w:pPr>
      <w:r w:rsidRPr="00953CBD">
        <w:rPr>
          <w:smallCaps/>
        </w:rPr>
        <w:t>Hughes C.</w:t>
      </w:r>
      <w:r w:rsidR="00C235CD" w:rsidRPr="00953CBD">
        <w:rPr>
          <w:smallCaps/>
        </w:rPr>
        <w:t xml:space="preserve">S., </w:t>
      </w:r>
      <w:r w:rsidRPr="00953CBD">
        <w:rPr>
          <w:smallCaps/>
        </w:rPr>
        <w:t>Jones</w:t>
      </w:r>
      <w:r w:rsidR="003034CB" w:rsidRPr="00953CBD">
        <w:rPr>
          <w:smallCaps/>
        </w:rPr>
        <w:t xml:space="preserve"> R.</w:t>
      </w:r>
      <w:r w:rsidRPr="00953CBD">
        <w:rPr>
          <w:smallCaps/>
        </w:rPr>
        <w:t xml:space="preserve">C., Gaskell R.M., </w:t>
      </w:r>
      <w:r w:rsidR="003034CB" w:rsidRPr="00953CBD">
        <w:rPr>
          <w:smallCaps/>
        </w:rPr>
        <w:t>Jordan</w:t>
      </w:r>
      <w:r w:rsidRPr="00953CBD">
        <w:rPr>
          <w:smallCaps/>
        </w:rPr>
        <w:t xml:space="preserve"> F.T.</w:t>
      </w:r>
      <w:r w:rsidR="003034CB" w:rsidRPr="00953CBD">
        <w:rPr>
          <w:smallCaps/>
        </w:rPr>
        <w:t>W. &amp;</w:t>
      </w:r>
      <w:r w:rsidRPr="00953CBD">
        <w:rPr>
          <w:smallCaps/>
        </w:rPr>
        <w:t xml:space="preserve"> Bradbury J.</w:t>
      </w:r>
      <w:r w:rsidR="003034CB" w:rsidRPr="00953CBD">
        <w:rPr>
          <w:smallCaps/>
        </w:rPr>
        <w:t>M</w:t>
      </w:r>
      <w:r w:rsidR="00C235CD" w:rsidRPr="00953CBD">
        <w:rPr>
          <w:smallCaps/>
        </w:rPr>
        <w:t>.</w:t>
      </w:r>
      <w:r w:rsidRPr="00953CBD">
        <w:rPr>
          <w:smallCaps/>
        </w:rPr>
        <w:t xml:space="preserve"> </w:t>
      </w:r>
      <w:r w:rsidR="003034CB" w:rsidRPr="00953CBD">
        <w:rPr>
          <w:smallCaps/>
        </w:rPr>
        <w:t>(1987</w:t>
      </w:r>
      <w:r w:rsidR="00C235CD" w:rsidRPr="00953CBD">
        <w:rPr>
          <w:smallCaps/>
        </w:rPr>
        <w:t xml:space="preserve">). </w:t>
      </w:r>
      <w:r w:rsidR="003034CB" w:rsidRPr="00953CBD">
        <w:t>Demonstration in live chickens of the carrier state in</w:t>
      </w:r>
      <w:r w:rsidR="00C235CD" w:rsidRPr="00953CBD">
        <w:t xml:space="preserve"> </w:t>
      </w:r>
      <w:r w:rsidR="003034CB" w:rsidRPr="00953CBD">
        <w:t>infect</w:t>
      </w:r>
      <w:r w:rsidRPr="00953CBD">
        <w:t xml:space="preserve">ious laryngotracheitis virus. </w:t>
      </w:r>
      <w:r w:rsidR="003034CB" w:rsidRPr="00953CBD">
        <w:rPr>
          <w:i/>
        </w:rPr>
        <w:t>Res</w:t>
      </w:r>
      <w:r w:rsidRPr="00953CBD">
        <w:rPr>
          <w:i/>
        </w:rPr>
        <w:t>.</w:t>
      </w:r>
      <w:r w:rsidR="003034CB" w:rsidRPr="00953CBD">
        <w:rPr>
          <w:i/>
        </w:rPr>
        <w:t xml:space="preserve"> Vet</w:t>
      </w:r>
      <w:r w:rsidRPr="00953CBD">
        <w:rPr>
          <w:i/>
        </w:rPr>
        <w:t>.</w:t>
      </w:r>
      <w:r w:rsidR="003034CB" w:rsidRPr="00953CBD">
        <w:rPr>
          <w:i/>
        </w:rPr>
        <w:t xml:space="preserve"> Sci.</w:t>
      </w:r>
      <w:r w:rsidRPr="00953CBD">
        <w:rPr>
          <w:i/>
        </w:rPr>
        <w:t>,</w:t>
      </w:r>
      <w:r w:rsidR="003034CB" w:rsidRPr="00953CBD">
        <w:t xml:space="preserve"> </w:t>
      </w:r>
      <w:r w:rsidR="003034CB" w:rsidRPr="00953CBD">
        <w:rPr>
          <w:b/>
          <w:bCs/>
        </w:rPr>
        <w:t>42</w:t>
      </w:r>
      <w:r w:rsidR="003034CB" w:rsidRPr="00953CBD">
        <w:t>, 407</w:t>
      </w:r>
      <w:r w:rsidRPr="00953CBD">
        <w:t>–</w:t>
      </w:r>
      <w:r w:rsidR="003034CB" w:rsidRPr="00953CBD">
        <w:t>410.</w:t>
      </w:r>
    </w:p>
    <w:p w14:paraId="7DE2BE6D" w14:textId="77777777" w:rsidR="00A64257" w:rsidRPr="00953CBD" w:rsidRDefault="00A64257" w:rsidP="00260FC3">
      <w:pPr>
        <w:pStyle w:val="Ref"/>
        <w:spacing w:after="200"/>
        <w:ind w:left="0" w:firstLine="0"/>
      </w:pPr>
      <w:proofErr w:type="spellStart"/>
      <w:r w:rsidRPr="00953CBD">
        <w:t>H</w:t>
      </w:r>
      <w:r w:rsidRPr="00953CBD">
        <w:rPr>
          <w:smallCaps/>
        </w:rPr>
        <w:t>umberd</w:t>
      </w:r>
      <w:proofErr w:type="spellEnd"/>
      <w:r w:rsidRPr="00953CBD">
        <w:rPr>
          <w:smallCaps/>
        </w:rPr>
        <w:t xml:space="preserve"> J., Garcia M., Riblet S.M., </w:t>
      </w:r>
      <w:proofErr w:type="spellStart"/>
      <w:r w:rsidRPr="00953CBD">
        <w:rPr>
          <w:smallCaps/>
        </w:rPr>
        <w:t>Resureccion</w:t>
      </w:r>
      <w:proofErr w:type="spellEnd"/>
      <w:r w:rsidRPr="00953CBD">
        <w:rPr>
          <w:smallCaps/>
        </w:rPr>
        <w:t xml:space="preserve"> R.S. &amp; Brown T.P. (2002)</w:t>
      </w:r>
      <w:r w:rsidRPr="00953CBD">
        <w:rPr>
          <w:i/>
          <w:smallCaps/>
        </w:rPr>
        <w:t>.</w:t>
      </w:r>
      <w:r w:rsidRPr="00953CBD">
        <w:rPr>
          <w:smallCaps/>
        </w:rPr>
        <w:t xml:space="preserve"> </w:t>
      </w:r>
      <w:r w:rsidRPr="00953CBD">
        <w:t xml:space="preserve">Detection of infectious laryngotracheitis virus in formalin-fixed, paraffin-embedded tissues by nested polymerase chain reaction. </w:t>
      </w:r>
      <w:r w:rsidRPr="00953CBD">
        <w:rPr>
          <w:i/>
        </w:rPr>
        <w:t>Avian Dis.,</w:t>
      </w:r>
      <w:r w:rsidRPr="00953CBD">
        <w:t xml:space="preserve"> </w:t>
      </w:r>
      <w:r w:rsidRPr="00953CBD">
        <w:rPr>
          <w:b/>
          <w:bCs/>
        </w:rPr>
        <w:t>46</w:t>
      </w:r>
      <w:r w:rsidRPr="00953CBD">
        <w:t>, 64–74.</w:t>
      </w:r>
    </w:p>
    <w:p w14:paraId="7EB068E9" w14:textId="77777777" w:rsidR="00A64257" w:rsidRPr="00953CBD" w:rsidRDefault="00A64257" w:rsidP="00260FC3">
      <w:pPr>
        <w:pStyle w:val="Ref"/>
        <w:spacing w:after="200"/>
        <w:ind w:left="0" w:firstLine="0"/>
      </w:pPr>
      <w:r w:rsidRPr="00953CBD">
        <w:rPr>
          <w:smallCaps/>
        </w:rPr>
        <w:t>Jordan F.T.W.</w:t>
      </w:r>
      <w:r w:rsidRPr="00953CBD">
        <w:t xml:space="preserve"> (1964). Diagnosis of infectious laryngotracheitis by chick embryo inoculation. </w:t>
      </w:r>
      <w:r w:rsidRPr="00953CBD">
        <w:rPr>
          <w:i/>
        </w:rPr>
        <w:t xml:space="preserve">J. Comp. </w:t>
      </w:r>
      <w:proofErr w:type="spellStart"/>
      <w:r w:rsidRPr="00953CBD">
        <w:rPr>
          <w:i/>
        </w:rPr>
        <w:t>Pathol</w:t>
      </w:r>
      <w:proofErr w:type="spellEnd"/>
      <w:r w:rsidRPr="00953CBD">
        <w:rPr>
          <w:i/>
        </w:rPr>
        <w:t>.</w:t>
      </w:r>
      <w:r w:rsidRPr="00953CBD">
        <w:t xml:space="preserve">, </w:t>
      </w:r>
      <w:r w:rsidRPr="00953CBD">
        <w:rPr>
          <w:b/>
        </w:rPr>
        <w:t>74</w:t>
      </w:r>
      <w:r w:rsidRPr="00953CBD">
        <w:t>, 119–128.</w:t>
      </w:r>
    </w:p>
    <w:p w14:paraId="632E1C83" w14:textId="77777777" w:rsidR="00A64257" w:rsidRPr="007D1572" w:rsidRDefault="00A64257" w:rsidP="00260FC3">
      <w:pPr>
        <w:pStyle w:val="Ref"/>
        <w:spacing w:after="200"/>
        <w:ind w:left="0" w:firstLine="0"/>
        <w:rPr>
          <w:strike/>
        </w:rPr>
      </w:pPr>
      <w:proofErr w:type="spellStart"/>
      <w:r w:rsidRPr="007D1572">
        <w:rPr>
          <w:smallCaps/>
          <w:strike/>
          <w:highlight w:val="yellow"/>
        </w:rPr>
        <w:t>Keam</w:t>
      </w:r>
      <w:proofErr w:type="spellEnd"/>
      <w:r w:rsidRPr="007D1572">
        <w:rPr>
          <w:smallCaps/>
          <w:strike/>
          <w:highlight w:val="yellow"/>
        </w:rPr>
        <w:t xml:space="preserve"> L., York J.J., Sheppard M. &amp; Fahey K.J.</w:t>
      </w:r>
      <w:r w:rsidRPr="007D1572">
        <w:rPr>
          <w:strike/>
          <w:highlight w:val="yellow"/>
        </w:rPr>
        <w:t xml:space="preserve"> (1991). Detection of infectious laryngotracheitis virus in chickens using a non-radioactive DNA probe. </w:t>
      </w:r>
      <w:r w:rsidRPr="007D1572">
        <w:rPr>
          <w:i/>
          <w:strike/>
          <w:highlight w:val="yellow"/>
        </w:rPr>
        <w:t>Avian Dis.,</w:t>
      </w:r>
      <w:r w:rsidRPr="007D1572">
        <w:rPr>
          <w:strike/>
          <w:highlight w:val="yellow"/>
        </w:rPr>
        <w:t xml:space="preserve"> </w:t>
      </w:r>
      <w:r w:rsidRPr="007D1572">
        <w:rPr>
          <w:b/>
          <w:strike/>
          <w:highlight w:val="yellow"/>
        </w:rPr>
        <w:t>35</w:t>
      </w:r>
      <w:r w:rsidRPr="007D1572">
        <w:rPr>
          <w:strike/>
          <w:highlight w:val="yellow"/>
        </w:rPr>
        <w:t>, 257–262.</w:t>
      </w:r>
    </w:p>
    <w:p w14:paraId="7B08B5BD" w14:textId="3A269AF1" w:rsidR="00A64257" w:rsidRPr="00BB337F" w:rsidRDefault="00A64257" w:rsidP="00260FC3">
      <w:pPr>
        <w:pStyle w:val="Ref"/>
        <w:spacing w:after="200"/>
        <w:ind w:left="0" w:firstLine="0"/>
        <w:rPr>
          <w:strike/>
        </w:rPr>
      </w:pPr>
      <w:r w:rsidRPr="00BB337F">
        <w:rPr>
          <w:smallCaps/>
          <w:strike/>
        </w:rPr>
        <w:t>Key D.W., Gough B.C., Derbyshire J.B. &amp; Nagy E.</w:t>
      </w:r>
      <w:r w:rsidRPr="00BB337F">
        <w:rPr>
          <w:strike/>
        </w:rPr>
        <w:t xml:space="preserve"> (1994). Development and evaluation of a non-</w:t>
      </w:r>
      <w:proofErr w:type="spellStart"/>
      <w:r w:rsidRPr="00BB337F">
        <w:rPr>
          <w:strike/>
        </w:rPr>
        <w:t>isotypically</w:t>
      </w:r>
      <w:proofErr w:type="spellEnd"/>
      <w:r w:rsidRPr="00BB337F">
        <w:rPr>
          <w:strike/>
        </w:rPr>
        <w:t xml:space="preserve"> </w:t>
      </w:r>
      <w:proofErr w:type="spellStart"/>
      <w:r w:rsidR="00260FC3" w:rsidRPr="00BB337F">
        <w:rPr>
          <w:strike/>
        </w:rPr>
        <w:t>labeled</w:t>
      </w:r>
      <w:proofErr w:type="spellEnd"/>
      <w:r w:rsidRPr="00BB337F">
        <w:rPr>
          <w:strike/>
        </w:rPr>
        <w:t xml:space="preserve"> DNA probe for the diagnosis of infectious laryngotracheitis. </w:t>
      </w:r>
      <w:r w:rsidRPr="00BB337F">
        <w:rPr>
          <w:i/>
          <w:strike/>
        </w:rPr>
        <w:t>Avian Dis.,</w:t>
      </w:r>
      <w:r w:rsidRPr="00BB337F">
        <w:rPr>
          <w:strike/>
        </w:rPr>
        <w:t xml:space="preserve"> </w:t>
      </w:r>
      <w:r w:rsidRPr="00BB337F">
        <w:rPr>
          <w:b/>
          <w:strike/>
        </w:rPr>
        <w:t>38</w:t>
      </w:r>
      <w:r w:rsidRPr="00BB337F">
        <w:rPr>
          <w:strike/>
        </w:rPr>
        <w:t>, 467–474.</w:t>
      </w:r>
    </w:p>
    <w:p w14:paraId="1830FFEF" w14:textId="77777777" w:rsidR="00A64257" w:rsidRPr="00953CBD" w:rsidRDefault="00A64257" w:rsidP="00260FC3">
      <w:pPr>
        <w:pStyle w:val="Ref"/>
        <w:spacing w:after="200"/>
        <w:ind w:left="0" w:firstLine="0"/>
      </w:pPr>
      <w:r w:rsidRPr="00953CBD">
        <w:rPr>
          <w:smallCaps/>
        </w:rPr>
        <w:t>Kirkpatrick</w:t>
      </w:r>
      <w:r w:rsidR="000B5BE7" w:rsidRPr="00953CBD">
        <w:rPr>
          <w:smallCaps/>
        </w:rPr>
        <w:t xml:space="preserve"> N.</w:t>
      </w:r>
      <w:r w:rsidRPr="00953CBD">
        <w:rPr>
          <w:smallCaps/>
        </w:rPr>
        <w:t xml:space="preserve">C., </w:t>
      </w:r>
      <w:proofErr w:type="spellStart"/>
      <w:r w:rsidRPr="00953CBD">
        <w:rPr>
          <w:smallCaps/>
        </w:rPr>
        <w:t>Mahmoudian</w:t>
      </w:r>
      <w:proofErr w:type="spellEnd"/>
      <w:r w:rsidRPr="00953CBD">
        <w:rPr>
          <w:smallCaps/>
        </w:rPr>
        <w:t xml:space="preserve"> A., </w:t>
      </w:r>
      <w:r w:rsidR="00F924C5" w:rsidRPr="00953CBD">
        <w:rPr>
          <w:smallCaps/>
        </w:rPr>
        <w:t>Colson</w:t>
      </w:r>
      <w:r w:rsidR="000B5BE7" w:rsidRPr="00953CBD">
        <w:rPr>
          <w:smallCaps/>
        </w:rPr>
        <w:t xml:space="preserve"> C.</w:t>
      </w:r>
      <w:r w:rsidR="00F924C5" w:rsidRPr="00953CBD">
        <w:rPr>
          <w:smallCaps/>
        </w:rPr>
        <w:t>A., Devlin</w:t>
      </w:r>
      <w:r w:rsidR="000B5BE7" w:rsidRPr="00953CBD">
        <w:rPr>
          <w:smallCaps/>
        </w:rPr>
        <w:t xml:space="preserve"> J.</w:t>
      </w:r>
      <w:r w:rsidR="00F924C5" w:rsidRPr="00953CBD">
        <w:rPr>
          <w:smallCaps/>
        </w:rPr>
        <w:t>M. &amp;</w:t>
      </w:r>
      <w:r w:rsidR="000B5BE7" w:rsidRPr="00953CBD">
        <w:rPr>
          <w:smallCaps/>
        </w:rPr>
        <w:t xml:space="preserve"> Noormohammadi A.</w:t>
      </w:r>
      <w:r w:rsidRPr="00953CBD">
        <w:rPr>
          <w:smallCaps/>
        </w:rPr>
        <w:t xml:space="preserve">H. </w:t>
      </w:r>
      <w:r w:rsidRPr="00953CBD">
        <w:t>(2006</w:t>
      </w:r>
      <w:r w:rsidR="003D40E5" w:rsidRPr="00953CBD">
        <w:t>a</w:t>
      </w:r>
      <w:r w:rsidRPr="00953CBD">
        <w:t>). Relationship between mortality, clinic</w:t>
      </w:r>
      <w:r w:rsidR="000B5BE7" w:rsidRPr="00953CBD">
        <w:t>al signs and tracheal pathology</w:t>
      </w:r>
      <w:r w:rsidRPr="00953CBD">
        <w:t xml:space="preserve"> in</w:t>
      </w:r>
      <w:r w:rsidR="000B5BE7" w:rsidRPr="00953CBD">
        <w:t xml:space="preserve"> infectious laryngotracheitis. </w:t>
      </w:r>
      <w:r w:rsidRPr="00953CBD">
        <w:rPr>
          <w:i/>
        </w:rPr>
        <w:t xml:space="preserve">Avian </w:t>
      </w:r>
      <w:proofErr w:type="spellStart"/>
      <w:r w:rsidRPr="00953CBD">
        <w:rPr>
          <w:i/>
        </w:rPr>
        <w:t>Pathol</w:t>
      </w:r>
      <w:proofErr w:type="spellEnd"/>
      <w:r w:rsidRPr="00953CBD">
        <w:rPr>
          <w:i/>
        </w:rPr>
        <w:t>.</w:t>
      </w:r>
      <w:r w:rsidR="000B5BE7" w:rsidRPr="00953CBD">
        <w:rPr>
          <w:i/>
        </w:rPr>
        <w:t>,</w:t>
      </w:r>
      <w:r w:rsidRPr="00953CBD">
        <w:t xml:space="preserve"> </w:t>
      </w:r>
      <w:r w:rsidRPr="00953CBD">
        <w:rPr>
          <w:b/>
          <w:bCs/>
        </w:rPr>
        <w:t>35</w:t>
      </w:r>
      <w:r w:rsidRPr="00953CBD">
        <w:t>, 449</w:t>
      </w:r>
      <w:r w:rsidR="000B5BE7" w:rsidRPr="00953CBD">
        <w:t>–</w:t>
      </w:r>
      <w:r w:rsidRPr="00953CBD">
        <w:t xml:space="preserve">453. </w:t>
      </w:r>
    </w:p>
    <w:p w14:paraId="2AD7396F" w14:textId="77777777" w:rsidR="003D40E5" w:rsidRPr="00953CBD" w:rsidRDefault="003D40E5" w:rsidP="003D40E5">
      <w:pPr>
        <w:pStyle w:val="Ref"/>
        <w:spacing w:after="200"/>
        <w:ind w:left="0" w:firstLine="0"/>
      </w:pPr>
      <w:r w:rsidRPr="00953CBD">
        <w:rPr>
          <w:smallCaps/>
        </w:rPr>
        <w:t xml:space="preserve">Kirkpatrick N.C., </w:t>
      </w:r>
      <w:proofErr w:type="spellStart"/>
      <w:r w:rsidRPr="00953CBD">
        <w:rPr>
          <w:smallCaps/>
        </w:rPr>
        <w:t>Mahmoudian</w:t>
      </w:r>
      <w:proofErr w:type="spellEnd"/>
      <w:r w:rsidRPr="00953CBD">
        <w:rPr>
          <w:smallCaps/>
        </w:rPr>
        <w:t xml:space="preserve"> A., O’Rourke D. &amp; Noormohammadi A.H. </w:t>
      </w:r>
      <w:r w:rsidRPr="00953CBD">
        <w:t>(2006b). Differentiation of infectious laryngotracheitis virus</w:t>
      </w:r>
      <w:r w:rsidR="00942A39" w:rsidRPr="00953CBD">
        <w:t xml:space="preserve"> </w:t>
      </w:r>
      <w:r w:rsidRPr="00953CBD">
        <w:t>isolates by restriction fragment length polymorphic analysis of</w:t>
      </w:r>
      <w:r w:rsidR="00942A39" w:rsidRPr="00953CBD">
        <w:t xml:space="preserve"> </w:t>
      </w:r>
      <w:r w:rsidRPr="00953CBD">
        <w:t>polymerase chain reaction products amplified from multiple genes.</w:t>
      </w:r>
      <w:r w:rsidR="00942A39" w:rsidRPr="00953CBD">
        <w:t xml:space="preserve"> </w:t>
      </w:r>
      <w:r w:rsidRPr="00953CBD">
        <w:rPr>
          <w:i/>
        </w:rPr>
        <w:t>Avian Dis</w:t>
      </w:r>
      <w:r w:rsidR="00942A39" w:rsidRPr="00953CBD">
        <w:t>.,</w:t>
      </w:r>
      <w:r w:rsidRPr="00953CBD">
        <w:t xml:space="preserve"> </w:t>
      </w:r>
      <w:r w:rsidRPr="00953CBD">
        <w:rPr>
          <w:b/>
        </w:rPr>
        <w:t>50</w:t>
      </w:r>
      <w:r w:rsidRPr="00953CBD">
        <w:t>, 28</w:t>
      </w:r>
      <w:r w:rsidR="00942A39" w:rsidRPr="00953CBD">
        <w:t>–</w:t>
      </w:r>
      <w:r w:rsidRPr="00953CBD">
        <w:t xml:space="preserve">34. </w:t>
      </w:r>
    </w:p>
    <w:p w14:paraId="23EA525A" w14:textId="512E973F" w:rsidR="00612C18" w:rsidRPr="00BB337F" w:rsidRDefault="00612C18" w:rsidP="002E3B67">
      <w:pPr>
        <w:pStyle w:val="Ref"/>
        <w:spacing w:after="200"/>
        <w:ind w:left="0" w:firstLine="0"/>
        <w:rPr>
          <w:smallCaps/>
          <w:u w:val="double"/>
        </w:rPr>
      </w:pPr>
      <w:r w:rsidRPr="00BB337F">
        <w:rPr>
          <w:smallCaps/>
          <w:u w:val="double"/>
        </w:rPr>
        <w:t>Lee S</w:t>
      </w:r>
      <w:r w:rsidR="00D90DD2">
        <w:rPr>
          <w:smallCaps/>
          <w:u w:val="double"/>
        </w:rPr>
        <w:t>.</w:t>
      </w:r>
      <w:r w:rsidRPr="00BB337F">
        <w:rPr>
          <w:smallCaps/>
          <w:u w:val="double"/>
        </w:rPr>
        <w:t>W</w:t>
      </w:r>
      <w:r w:rsidR="00D90DD2">
        <w:rPr>
          <w:smallCaps/>
          <w:u w:val="double"/>
        </w:rPr>
        <w:t>.</w:t>
      </w:r>
      <w:r w:rsidRPr="00BB337F">
        <w:rPr>
          <w:smallCaps/>
          <w:u w:val="double"/>
        </w:rPr>
        <w:t>, Hartley C</w:t>
      </w:r>
      <w:r w:rsidR="00D90DD2">
        <w:rPr>
          <w:smallCaps/>
          <w:u w:val="double"/>
        </w:rPr>
        <w:t>.</w:t>
      </w:r>
      <w:r w:rsidRPr="00BB337F">
        <w:rPr>
          <w:smallCaps/>
          <w:u w:val="double"/>
        </w:rPr>
        <w:t>A</w:t>
      </w:r>
      <w:r w:rsidR="00D90DD2">
        <w:rPr>
          <w:smallCaps/>
          <w:u w:val="double"/>
        </w:rPr>
        <w:t>.</w:t>
      </w:r>
      <w:r w:rsidRPr="00BB337F">
        <w:rPr>
          <w:smallCaps/>
          <w:u w:val="double"/>
        </w:rPr>
        <w:t xml:space="preserve">, </w:t>
      </w:r>
      <w:proofErr w:type="spellStart"/>
      <w:r w:rsidRPr="00BB337F">
        <w:rPr>
          <w:smallCaps/>
          <w:u w:val="double"/>
        </w:rPr>
        <w:t>Coppo</w:t>
      </w:r>
      <w:proofErr w:type="spellEnd"/>
      <w:r w:rsidRPr="00BB337F">
        <w:rPr>
          <w:smallCaps/>
          <w:u w:val="double"/>
        </w:rPr>
        <w:t xml:space="preserve"> M</w:t>
      </w:r>
      <w:r w:rsidR="00D90DD2">
        <w:rPr>
          <w:smallCaps/>
          <w:u w:val="double"/>
        </w:rPr>
        <w:t>.</w:t>
      </w:r>
      <w:r w:rsidRPr="00BB337F">
        <w:rPr>
          <w:smallCaps/>
          <w:u w:val="double"/>
        </w:rPr>
        <w:t>J</w:t>
      </w:r>
      <w:r w:rsidR="00D90DD2">
        <w:rPr>
          <w:smallCaps/>
          <w:u w:val="double"/>
        </w:rPr>
        <w:t>.</w:t>
      </w:r>
      <w:r w:rsidRPr="00BB337F">
        <w:rPr>
          <w:smallCaps/>
          <w:u w:val="double"/>
        </w:rPr>
        <w:t xml:space="preserve">, </w:t>
      </w:r>
      <w:proofErr w:type="spellStart"/>
      <w:r w:rsidRPr="00BB337F">
        <w:rPr>
          <w:smallCaps/>
          <w:u w:val="double"/>
        </w:rPr>
        <w:t>Vaz</w:t>
      </w:r>
      <w:proofErr w:type="spellEnd"/>
      <w:r w:rsidRPr="00BB337F">
        <w:rPr>
          <w:smallCaps/>
          <w:u w:val="double"/>
        </w:rPr>
        <w:t xml:space="preserve"> P</w:t>
      </w:r>
      <w:r w:rsidR="00D90DD2">
        <w:rPr>
          <w:smallCaps/>
          <w:u w:val="double"/>
        </w:rPr>
        <w:t>.</w:t>
      </w:r>
      <w:r w:rsidRPr="00BB337F">
        <w:rPr>
          <w:smallCaps/>
          <w:u w:val="double"/>
        </w:rPr>
        <w:t>K</w:t>
      </w:r>
      <w:r w:rsidR="00D90DD2">
        <w:rPr>
          <w:smallCaps/>
          <w:u w:val="double"/>
        </w:rPr>
        <w:t>.</w:t>
      </w:r>
      <w:r w:rsidRPr="00BB337F">
        <w:rPr>
          <w:smallCaps/>
          <w:u w:val="double"/>
        </w:rPr>
        <w:t xml:space="preserve">, </w:t>
      </w:r>
      <w:proofErr w:type="spellStart"/>
      <w:r w:rsidRPr="00BB337F">
        <w:rPr>
          <w:smallCaps/>
          <w:u w:val="double"/>
        </w:rPr>
        <w:t>Legione</w:t>
      </w:r>
      <w:proofErr w:type="spellEnd"/>
      <w:r w:rsidRPr="00BB337F">
        <w:rPr>
          <w:smallCaps/>
          <w:u w:val="double"/>
        </w:rPr>
        <w:t xml:space="preserve"> A</w:t>
      </w:r>
      <w:r w:rsidR="00D90DD2">
        <w:rPr>
          <w:smallCaps/>
          <w:u w:val="double"/>
        </w:rPr>
        <w:t>.</w:t>
      </w:r>
      <w:r w:rsidRPr="00BB337F">
        <w:rPr>
          <w:smallCaps/>
          <w:u w:val="double"/>
        </w:rPr>
        <w:t>R</w:t>
      </w:r>
      <w:r w:rsidR="00D90DD2">
        <w:rPr>
          <w:smallCaps/>
          <w:u w:val="double"/>
        </w:rPr>
        <w:t>.</w:t>
      </w:r>
      <w:r w:rsidRPr="00BB337F">
        <w:rPr>
          <w:smallCaps/>
          <w:u w:val="double"/>
        </w:rPr>
        <w:t xml:space="preserve">, </w:t>
      </w:r>
      <w:proofErr w:type="spellStart"/>
      <w:r w:rsidRPr="00BB337F">
        <w:rPr>
          <w:smallCaps/>
          <w:u w:val="double"/>
        </w:rPr>
        <w:t>Quinteros</w:t>
      </w:r>
      <w:proofErr w:type="spellEnd"/>
      <w:r w:rsidRPr="00BB337F">
        <w:rPr>
          <w:smallCaps/>
          <w:u w:val="double"/>
        </w:rPr>
        <w:t xml:space="preserve"> J</w:t>
      </w:r>
      <w:r w:rsidR="00D90DD2">
        <w:rPr>
          <w:smallCaps/>
          <w:u w:val="double"/>
        </w:rPr>
        <w:t>.</w:t>
      </w:r>
      <w:r w:rsidRPr="00BB337F">
        <w:rPr>
          <w:smallCaps/>
          <w:u w:val="double"/>
        </w:rPr>
        <w:t>A</w:t>
      </w:r>
      <w:r w:rsidR="00D90DD2">
        <w:rPr>
          <w:smallCaps/>
          <w:u w:val="double"/>
        </w:rPr>
        <w:t>.</w:t>
      </w:r>
      <w:r w:rsidRPr="00BB337F">
        <w:rPr>
          <w:smallCaps/>
          <w:u w:val="double"/>
        </w:rPr>
        <w:t>, Noormohammadi A</w:t>
      </w:r>
      <w:r w:rsidR="00D90DD2">
        <w:rPr>
          <w:smallCaps/>
          <w:u w:val="double"/>
        </w:rPr>
        <w:t>.</w:t>
      </w:r>
      <w:r w:rsidRPr="00BB337F">
        <w:rPr>
          <w:smallCaps/>
          <w:u w:val="double"/>
        </w:rPr>
        <w:t>H</w:t>
      </w:r>
      <w:r w:rsidR="00D90DD2">
        <w:rPr>
          <w:smallCaps/>
          <w:u w:val="double"/>
        </w:rPr>
        <w:t>.</w:t>
      </w:r>
      <w:r w:rsidRPr="00BB337F">
        <w:rPr>
          <w:smallCaps/>
          <w:u w:val="double"/>
        </w:rPr>
        <w:t>, Markham P</w:t>
      </w:r>
      <w:r w:rsidR="00D90DD2">
        <w:rPr>
          <w:smallCaps/>
          <w:u w:val="double"/>
        </w:rPr>
        <w:t>.</w:t>
      </w:r>
      <w:r w:rsidRPr="00BB337F">
        <w:rPr>
          <w:smallCaps/>
          <w:u w:val="double"/>
        </w:rPr>
        <w:t>F</w:t>
      </w:r>
      <w:r w:rsidR="00D90DD2">
        <w:rPr>
          <w:smallCaps/>
          <w:u w:val="double"/>
        </w:rPr>
        <w:t>.</w:t>
      </w:r>
      <w:r w:rsidRPr="00BB337F">
        <w:rPr>
          <w:smallCaps/>
          <w:u w:val="double"/>
        </w:rPr>
        <w:t>, Browning G</w:t>
      </w:r>
      <w:r w:rsidR="00D90DD2">
        <w:rPr>
          <w:smallCaps/>
          <w:u w:val="double"/>
        </w:rPr>
        <w:t>.</w:t>
      </w:r>
      <w:r w:rsidRPr="00BB337F">
        <w:rPr>
          <w:smallCaps/>
          <w:u w:val="double"/>
        </w:rPr>
        <w:t>F</w:t>
      </w:r>
      <w:r w:rsidR="00D90DD2">
        <w:rPr>
          <w:smallCaps/>
          <w:u w:val="double"/>
        </w:rPr>
        <w:t>. &amp;</w:t>
      </w:r>
      <w:r w:rsidRPr="00BB337F">
        <w:rPr>
          <w:smallCaps/>
          <w:u w:val="double"/>
        </w:rPr>
        <w:t xml:space="preserve"> </w:t>
      </w:r>
      <w:proofErr w:type="spellStart"/>
      <w:r w:rsidRPr="00BB337F">
        <w:rPr>
          <w:smallCaps/>
          <w:u w:val="double"/>
        </w:rPr>
        <w:t>Devli</w:t>
      </w:r>
      <w:proofErr w:type="spellEnd"/>
      <w:r w:rsidRPr="00BB337F">
        <w:rPr>
          <w:smallCaps/>
          <w:u w:val="double"/>
        </w:rPr>
        <w:t xml:space="preserve"> J</w:t>
      </w:r>
      <w:r w:rsidR="00D90DD2">
        <w:rPr>
          <w:smallCaps/>
          <w:u w:val="double"/>
        </w:rPr>
        <w:t>.</w:t>
      </w:r>
      <w:r w:rsidRPr="00BB337F">
        <w:rPr>
          <w:smallCaps/>
          <w:u w:val="double"/>
        </w:rPr>
        <w:t>M</w:t>
      </w:r>
      <w:r w:rsidR="00D90DD2">
        <w:rPr>
          <w:smallCaps/>
          <w:u w:val="double"/>
        </w:rPr>
        <w:t>.</w:t>
      </w:r>
      <w:r w:rsidRPr="00BB337F">
        <w:rPr>
          <w:smallCaps/>
          <w:u w:val="double"/>
        </w:rPr>
        <w:t xml:space="preserve"> (2015)</w:t>
      </w:r>
      <w:r w:rsidR="00730EEB" w:rsidRPr="00BB337F">
        <w:rPr>
          <w:smallCaps/>
          <w:u w:val="double"/>
        </w:rPr>
        <w:t>.</w:t>
      </w:r>
      <w:r w:rsidRPr="00BB337F">
        <w:rPr>
          <w:smallCaps/>
          <w:u w:val="double"/>
        </w:rPr>
        <w:t xml:space="preserve"> </w:t>
      </w:r>
      <w:r w:rsidR="00730EEB" w:rsidRPr="00BB337F">
        <w:rPr>
          <w:noProof/>
          <w:u w:val="double"/>
        </w:rPr>
        <w:t>Growth kinetics and transmission potential of existing and emerging field strains of infectious laryngotracheitis virus</w:t>
      </w:r>
      <w:r w:rsidRPr="00BB337F">
        <w:rPr>
          <w:smallCaps/>
          <w:u w:val="double"/>
        </w:rPr>
        <w:t xml:space="preserve">. </w:t>
      </w:r>
      <w:proofErr w:type="spellStart"/>
      <w:r w:rsidRPr="00BB337F">
        <w:rPr>
          <w:i/>
          <w:smallCaps/>
          <w:u w:val="double"/>
        </w:rPr>
        <w:t>PLoS</w:t>
      </w:r>
      <w:proofErr w:type="spellEnd"/>
      <w:r w:rsidRPr="00BB337F">
        <w:rPr>
          <w:i/>
          <w:smallCaps/>
          <w:u w:val="double"/>
        </w:rPr>
        <w:t xml:space="preserve"> O</w:t>
      </w:r>
      <w:r w:rsidR="00267A98" w:rsidRPr="00BB337F">
        <w:rPr>
          <w:i/>
          <w:u w:val="double"/>
        </w:rPr>
        <w:t>ne</w:t>
      </w:r>
      <w:r w:rsidR="00730EEB" w:rsidRPr="00BB337F">
        <w:rPr>
          <w:i/>
          <w:smallCaps/>
          <w:u w:val="double"/>
        </w:rPr>
        <w:t>,</w:t>
      </w:r>
      <w:r w:rsidRPr="00BB337F">
        <w:rPr>
          <w:smallCaps/>
          <w:u w:val="double"/>
        </w:rPr>
        <w:t xml:space="preserve"> </w:t>
      </w:r>
      <w:r w:rsidRPr="00BB337F">
        <w:rPr>
          <w:b/>
          <w:smallCaps/>
          <w:u w:val="double"/>
        </w:rPr>
        <w:t>10</w:t>
      </w:r>
      <w:r w:rsidRPr="00BB337F">
        <w:rPr>
          <w:smallCaps/>
          <w:u w:val="double"/>
        </w:rPr>
        <w:t xml:space="preserve">, </w:t>
      </w:r>
      <w:r w:rsidR="00730EEB" w:rsidRPr="00BB337F">
        <w:rPr>
          <w:u w:val="double"/>
        </w:rPr>
        <w:t>e</w:t>
      </w:r>
      <w:r w:rsidRPr="00BB337F">
        <w:rPr>
          <w:smallCaps/>
          <w:u w:val="double"/>
        </w:rPr>
        <w:t>0120282</w:t>
      </w:r>
      <w:r w:rsidR="00D90DD2">
        <w:rPr>
          <w:smallCaps/>
          <w:u w:val="double"/>
        </w:rPr>
        <w:t>.</w:t>
      </w:r>
    </w:p>
    <w:p w14:paraId="1DC3275A" w14:textId="56194EA1" w:rsidR="001B0457" w:rsidRPr="00953CBD" w:rsidRDefault="00D21CCA" w:rsidP="002E3B67">
      <w:pPr>
        <w:pStyle w:val="Ref"/>
        <w:spacing w:after="200"/>
        <w:ind w:left="0" w:firstLine="0"/>
        <w:rPr>
          <w:smallCaps/>
        </w:rPr>
      </w:pPr>
      <w:proofErr w:type="spellStart"/>
      <w:r w:rsidRPr="00953CBD">
        <w:rPr>
          <w:smallCaps/>
        </w:rPr>
        <w:t>Mahmoudian</w:t>
      </w:r>
      <w:proofErr w:type="spellEnd"/>
      <w:r w:rsidRPr="00953CBD">
        <w:rPr>
          <w:smallCaps/>
        </w:rPr>
        <w:t xml:space="preserve"> A., Kirkpatrick N.C., </w:t>
      </w:r>
      <w:proofErr w:type="spellStart"/>
      <w:r w:rsidRPr="00953CBD">
        <w:rPr>
          <w:smallCaps/>
        </w:rPr>
        <w:t>Coppo</w:t>
      </w:r>
      <w:proofErr w:type="spellEnd"/>
      <w:r w:rsidRPr="00953CBD">
        <w:rPr>
          <w:smallCaps/>
        </w:rPr>
        <w:t xml:space="preserve"> M., Lee S.W., Devlin J.M., Markham P.F., Browning</w:t>
      </w:r>
      <w:r w:rsidR="001B0457" w:rsidRPr="00953CBD">
        <w:rPr>
          <w:smallCaps/>
        </w:rPr>
        <w:t xml:space="preserve"> G.F.</w:t>
      </w:r>
      <w:r w:rsidRPr="00953CBD">
        <w:rPr>
          <w:smallCaps/>
        </w:rPr>
        <w:t xml:space="preserve"> &amp; Noormohammadi</w:t>
      </w:r>
      <w:r w:rsidR="001B0457" w:rsidRPr="00953CBD">
        <w:rPr>
          <w:smallCaps/>
        </w:rPr>
        <w:t xml:space="preserve"> A.H. (2011). </w:t>
      </w:r>
      <w:r w:rsidR="005E0D7E" w:rsidRPr="00953CBD">
        <w:t xml:space="preserve">Development of a </w:t>
      </w:r>
      <w:r w:rsidR="001B0457" w:rsidRPr="00953CBD">
        <w:t>SYBR</w:t>
      </w:r>
      <w:r w:rsidR="005E0D7E" w:rsidRPr="00953CBD">
        <w:t xml:space="preserve"> green quantitative polymerase chain reaction assay for rapid detection and quantification of infectious laryngotracheitis virus</w:t>
      </w:r>
      <w:r w:rsidR="001B0457" w:rsidRPr="00953CBD">
        <w:rPr>
          <w:smallCaps/>
        </w:rPr>
        <w:t xml:space="preserve">. </w:t>
      </w:r>
      <w:r w:rsidR="005E0D7E" w:rsidRPr="00953CBD">
        <w:rPr>
          <w:i/>
        </w:rPr>
        <w:t xml:space="preserve">Avian </w:t>
      </w:r>
      <w:proofErr w:type="spellStart"/>
      <w:r w:rsidR="005E0D7E" w:rsidRPr="00953CBD">
        <w:rPr>
          <w:i/>
        </w:rPr>
        <w:t>Pathol</w:t>
      </w:r>
      <w:proofErr w:type="spellEnd"/>
      <w:r w:rsidR="001B0457" w:rsidRPr="00953CBD">
        <w:rPr>
          <w:smallCaps/>
        </w:rPr>
        <w:t xml:space="preserve">., </w:t>
      </w:r>
      <w:r w:rsidR="005E0D7E" w:rsidRPr="00953CBD">
        <w:rPr>
          <w:b/>
          <w:smallCaps/>
        </w:rPr>
        <w:t>3</w:t>
      </w:r>
      <w:r w:rsidR="001B0457" w:rsidRPr="00953CBD">
        <w:rPr>
          <w:smallCaps/>
        </w:rPr>
        <w:t>, 237</w:t>
      </w:r>
      <w:r w:rsidRPr="00953CBD">
        <w:rPr>
          <w:smallCaps/>
        </w:rPr>
        <w:t>–</w:t>
      </w:r>
      <w:r w:rsidR="001B0457" w:rsidRPr="00953CBD">
        <w:rPr>
          <w:smallCaps/>
        </w:rPr>
        <w:t xml:space="preserve">242. </w:t>
      </w:r>
    </w:p>
    <w:p w14:paraId="62C95ADF" w14:textId="77777777" w:rsidR="00A64257" w:rsidRPr="00953CBD" w:rsidRDefault="00A64257" w:rsidP="002E3B67">
      <w:pPr>
        <w:pStyle w:val="Ref"/>
        <w:spacing w:after="200"/>
        <w:ind w:left="0" w:firstLine="0"/>
      </w:pPr>
      <w:r w:rsidRPr="00953CBD">
        <w:rPr>
          <w:smallCaps/>
        </w:rPr>
        <w:t>McNulty M.S., Allan G.M. &amp; McCracken R.M.</w:t>
      </w:r>
      <w:r w:rsidRPr="00953CBD">
        <w:t xml:space="preserve"> (1985). Infectious laryngotracheitis in Ireland. </w:t>
      </w:r>
      <w:r w:rsidRPr="00953CBD">
        <w:rPr>
          <w:i/>
        </w:rPr>
        <w:t>Irish Vet. J.</w:t>
      </w:r>
      <w:r w:rsidRPr="00953CBD">
        <w:t xml:space="preserve">, </w:t>
      </w:r>
      <w:r w:rsidRPr="00953CBD">
        <w:rPr>
          <w:b/>
        </w:rPr>
        <w:t>39</w:t>
      </w:r>
      <w:r w:rsidRPr="00953CBD">
        <w:t>, 124–125.</w:t>
      </w:r>
    </w:p>
    <w:p w14:paraId="61AFF92C" w14:textId="35B20C9E" w:rsidR="00A64257" w:rsidRPr="00ED5CDF" w:rsidRDefault="00A64257" w:rsidP="002E3B67">
      <w:pPr>
        <w:pStyle w:val="Ref"/>
        <w:spacing w:after="200"/>
        <w:ind w:left="0" w:firstLine="0"/>
        <w:rPr>
          <w:strike/>
          <w:lang w:val="es-ES"/>
        </w:rPr>
      </w:pPr>
      <w:proofErr w:type="spellStart"/>
      <w:r w:rsidRPr="00BB337F">
        <w:rPr>
          <w:smallCaps/>
          <w:strike/>
        </w:rPr>
        <w:t>Meulemans</w:t>
      </w:r>
      <w:proofErr w:type="spellEnd"/>
      <w:r w:rsidRPr="00BB337F">
        <w:rPr>
          <w:smallCaps/>
          <w:strike/>
        </w:rPr>
        <w:t xml:space="preserve"> G. &amp; Halen P.</w:t>
      </w:r>
      <w:r w:rsidR="00F924C5" w:rsidRPr="00BB337F">
        <w:rPr>
          <w:strike/>
        </w:rPr>
        <w:t xml:space="preserve"> (1978). A comparison </w:t>
      </w:r>
      <w:r w:rsidRPr="00BB337F">
        <w:rPr>
          <w:strike/>
        </w:rPr>
        <w:t xml:space="preserve">of three methods of diagnosis of infectious laryngotracheitis. </w:t>
      </w:r>
      <w:r w:rsidRPr="00ED5CDF">
        <w:rPr>
          <w:i/>
          <w:strike/>
          <w:lang w:val="es-ES"/>
        </w:rPr>
        <w:t>Avian Pathol.</w:t>
      </w:r>
      <w:r w:rsidRPr="00ED5CDF">
        <w:rPr>
          <w:strike/>
          <w:lang w:val="es-ES"/>
        </w:rPr>
        <w:t xml:space="preserve">, </w:t>
      </w:r>
      <w:r w:rsidRPr="00ED5CDF">
        <w:rPr>
          <w:b/>
          <w:strike/>
          <w:lang w:val="es-ES"/>
        </w:rPr>
        <w:t>7</w:t>
      </w:r>
      <w:r w:rsidRPr="00ED5CDF">
        <w:rPr>
          <w:strike/>
          <w:lang w:val="es-ES"/>
        </w:rPr>
        <w:t>, 433–436.</w:t>
      </w:r>
    </w:p>
    <w:p w14:paraId="0A9AE8DC" w14:textId="6BCF936E" w:rsidR="00882E9B" w:rsidRPr="007D1572" w:rsidRDefault="00882E9B" w:rsidP="002E3B67">
      <w:pPr>
        <w:pStyle w:val="Ref"/>
        <w:spacing w:after="200"/>
        <w:ind w:left="0" w:firstLine="0"/>
        <w:rPr>
          <w:strike/>
          <w:u w:val="double"/>
        </w:rPr>
      </w:pPr>
      <w:proofErr w:type="spellStart"/>
      <w:r w:rsidRPr="007D1572">
        <w:rPr>
          <w:rFonts w:cstheme="minorHAnsi"/>
          <w:smallCaps/>
          <w:highlight w:val="yellow"/>
          <w:u w:val="double"/>
          <w:lang w:val="es-SV"/>
        </w:rPr>
        <w:t>Menendez</w:t>
      </w:r>
      <w:proofErr w:type="spellEnd"/>
      <w:r w:rsidRPr="007D1572">
        <w:rPr>
          <w:rFonts w:cstheme="minorHAnsi"/>
          <w:smallCaps/>
          <w:highlight w:val="yellow"/>
          <w:u w:val="double"/>
          <w:lang w:val="es-SV"/>
        </w:rPr>
        <w:t xml:space="preserve"> K.R., García </w:t>
      </w:r>
      <w:r w:rsidR="00951B26" w:rsidRPr="007D1572">
        <w:rPr>
          <w:rFonts w:cstheme="minorHAnsi"/>
          <w:smallCaps/>
          <w:highlight w:val="yellow"/>
          <w:u w:val="double"/>
          <w:lang w:val="es-SV"/>
        </w:rPr>
        <w:t>M.</w:t>
      </w:r>
      <w:r w:rsidR="007D1572" w:rsidRPr="007D1572">
        <w:rPr>
          <w:rFonts w:cstheme="minorHAnsi"/>
          <w:smallCaps/>
          <w:highlight w:val="yellow"/>
          <w:u w:val="double"/>
          <w:lang w:val="es-SV"/>
        </w:rPr>
        <w:t>,</w:t>
      </w:r>
      <w:r w:rsidR="00951B26" w:rsidRPr="007D1572">
        <w:rPr>
          <w:rFonts w:cstheme="minorHAnsi"/>
          <w:smallCaps/>
          <w:highlight w:val="yellow"/>
          <w:u w:val="double"/>
          <w:lang w:val="es-SV"/>
        </w:rPr>
        <w:t xml:space="preserve"> </w:t>
      </w:r>
      <w:proofErr w:type="spellStart"/>
      <w:r w:rsidRPr="007D1572">
        <w:rPr>
          <w:rFonts w:cstheme="minorHAnsi"/>
          <w:smallCaps/>
          <w:highlight w:val="yellow"/>
          <w:u w:val="double"/>
          <w:lang w:val="es-SV"/>
        </w:rPr>
        <w:t>Spatz</w:t>
      </w:r>
      <w:proofErr w:type="spellEnd"/>
      <w:r w:rsidR="00951B26" w:rsidRPr="007D1572">
        <w:rPr>
          <w:rFonts w:cstheme="minorHAnsi"/>
          <w:smallCaps/>
          <w:highlight w:val="yellow"/>
          <w:u w:val="double"/>
          <w:lang w:val="es-SV"/>
        </w:rPr>
        <w:t xml:space="preserve"> S.</w:t>
      </w:r>
      <w:r w:rsidRPr="007D1572">
        <w:rPr>
          <w:rFonts w:cstheme="minorHAnsi"/>
          <w:smallCaps/>
          <w:highlight w:val="yellow"/>
          <w:u w:val="double"/>
          <w:lang w:val="es-SV"/>
        </w:rPr>
        <w:t xml:space="preserve"> &amp; Tablante</w:t>
      </w:r>
      <w:r w:rsidR="00A111E4" w:rsidRPr="007D1572">
        <w:rPr>
          <w:rFonts w:cstheme="minorHAnsi"/>
          <w:highlight w:val="yellow"/>
          <w:u w:val="double"/>
          <w:lang w:val="es-SV"/>
        </w:rPr>
        <w:t xml:space="preserve"> </w:t>
      </w:r>
      <w:r w:rsidR="00951B26" w:rsidRPr="007D1572">
        <w:rPr>
          <w:rFonts w:cstheme="minorHAnsi"/>
          <w:smallCaps/>
          <w:highlight w:val="yellow"/>
          <w:u w:val="double"/>
          <w:lang w:val="es-SV"/>
        </w:rPr>
        <w:t xml:space="preserve">N.L. </w:t>
      </w:r>
      <w:r w:rsidR="00A111E4" w:rsidRPr="007D1572">
        <w:rPr>
          <w:rFonts w:cstheme="minorHAnsi"/>
          <w:highlight w:val="yellow"/>
          <w:u w:val="double"/>
          <w:lang w:val="es-SV"/>
        </w:rPr>
        <w:t>(</w:t>
      </w:r>
      <w:r w:rsidRPr="007D1572">
        <w:rPr>
          <w:rFonts w:cstheme="minorHAnsi"/>
          <w:highlight w:val="yellow"/>
          <w:u w:val="double"/>
          <w:lang w:val="es-SV"/>
        </w:rPr>
        <w:t>2014</w:t>
      </w:r>
      <w:r w:rsidR="00A111E4" w:rsidRPr="007D1572">
        <w:rPr>
          <w:rFonts w:cstheme="minorHAnsi"/>
          <w:highlight w:val="yellow"/>
          <w:u w:val="double"/>
          <w:lang w:val="es-SV"/>
        </w:rPr>
        <w:t>)</w:t>
      </w:r>
      <w:r w:rsidRPr="007D1572">
        <w:rPr>
          <w:rFonts w:cstheme="minorHAnsi"/>
          <w:highlight w:val="yellow"/>
          <w:u w:val="double"/>
          <w:lang w:val="es-SV"/>
        </w:rPr>
        <w:t xml:space="preserve">. </w:t>
      </w:r>
      <w:r w:rsidRPr="007D1572">
        <w:rPr>
          <w:rFonts w:cstheme="minorHAnsi"/>
          <w:highlight w:val="yellow"/>
          <w:u w:val="double"/>
        </w:rPr>
        <w:t xml:space="preserve">Molecular epidemiology of infectious laryngotracheitis: review. </w:t>
      </w:r>
      <w:r w:rsidRPr="007D1572">
        <w:rPr>
          <w:rFonts w:cstheme="minorHAnsi"/>
          <w:i/>
          <w:iCs/>
          <w:highlight w:val="yellow"/>
          <w:u w:val="double"/>
        </w:rPr>
        <w:t xml:space="preserve">Avian </w:t>
      </w:r>
      <w:proofErr w:type="spellStart"/>
      <w:r w:rsidRPr="007D1572">
        <w:rPr>
          <w:rFonts w:cstheme="minorHAnsi"/>
          <w:i/>
          <w:iCs/>
          <w:highlight w:val="yellow"/>
          <w:u w:val="double"/>
        </w:rPr>
        <w:t>Pathol</w:t>
      </w:r>
      <w:proofErr w:type="spellEnd"/>
      <w:r w:rsidRPr="007D1572">
        <w:rPr>
          <w:rFonts w:cstheme="minorHAnsi"/>
          <w:highlight w:val="yellow"/>
          <w:u w:val="double"/>
        </w:rPr>
        <w:t>.</w:t>
      </w:r>
      <w:r w:rsidR="007D1572" w:rsidRPr="007D1572">
        <w:rPr>
          <w:rFonts w:cstheme="minorHAnsi"/>
          <w:highlight w:val="yellow"/>
          <w:u w:val="double"/>
        </w:rPr>
        <w:t>,</w:t>
      </w:r>
      <w:r w:rsidRPr="007D1572">
        <w:rPr>
          <w:rFonts w:cstheme="minorHAnsi"/>
          <w:highlight w:val="yellow"/>
          <w:u w:val="double"/>
        </w:rPr>
        <w:t xml:space="preserve"> </w:t>
      </w:r>
      <w:r w:rsidRPr="007D1572">
        <w:rPr>
          <w:rFonts w:cstheme="minorHAnsi"/>
          <w:b/>
          <w:bCs/>
          <w:highlight w:val="yellow"/>
          <w:u w:val="double"/>
        </w:rPr>
        <w:t>43</w:t>
      </w:r>
      <w:r w:rsidR="007D1572" w:rsidRPr="007D1572">
        <w:rPr>
          <w:rFonts w:cstheme="minorHAnsi"/>
          <w:highlight w:val="yellow"/>
          <w:u w:val="double"/>
        </w:rPr>
        <w:t>,</w:t>
      </w:r>
      <w:r w:rsidRPr="007D1572">
        <w:rPr>
          <w:rFonts w:cstheme="minorHAnsi"/>
          <w:highlight w:val="yellow"/>
          <w:u w:val="double"/>
        </w:rPr>
        <w:t xml:space="preserve"> 108</w:t>
      </w:r>
      <w:r w:rsidR="007D1572" w:rsidRPr="007D1572">
        <w:rPr>
          <w:rFonts w:cstheme="minorHAnsi"/>
          <w:highlight w:val="yellow"/>
          <w:u w:val="double"/>
        </w:rPr>
        <w:t>–</w:t>
      </w:r>
      <w:r w:rsidRPr="007D1572">
        <w:rPr>
          <w:rFonts w:cstheme="minorHAnsi"/>
          <w:highlight w:val="yellow"/>
          <w:u w:val="double"/>
        </w:rPr>
        <w:t>117.</w:t>
      </w:r>
    </w:p>
    <w:p w14:paraId="36F6F6DC" w14:textId="5EDAA83E" w:rsidR="00A64257" w:rsidRPr="00953CBD" w:rsidRDefault="00A64257" w:rsidP="00260FC3">
      <w:pPr>
        <w:pStyle w:val="Ref"/>
        <w:spacing w:after="200"/>
        <w:ind w:left="0" w:firstLine="0"/>
        <w:rPr>
          <w:smallCaps/>
        </w:rPr>
      </w:pPr>
      <w:proofErr w:type="spellStart"/>
      <w:r w:rsidRPr="00953CBD">
        <w:rPr>
          <w:smallCaps/>
        </w:rPr>
        <w:t>Ojkic</w:t>
      </w:r>
      <w:proofErr w:type="spellEnd"/>
      <w:r w:rsidRPr="00953CBD">
        <w:rPr>
          <w:smallCaps/>
        </w:rPr>
        <w:t xml:space="preserve"> D., Swinton J., </w:t>
      </w:r>
      <w:proofErr w:type="spellStart"/>
      <w:r w:rsidRPr="00953CBD">
        <w:rPr>
          <w:smallCaps/>
        </w:rPr>
        <w:t>Vallieres</w:t>
      </w:r>
      <w:proofErr w:type="spellEnd"/>
      <w:r w:rsidRPr="00953CBD">
        <w:rPr>
          <w:smallCaps/>
        </w:rPr>
        <w:t xml:space="preserve"> M., Martin E., </w:t>
      </w:r>
      <w:r w:rsidR="00D05523" w:rsidRPr="00953CBD">
        <w:rPr>
          <w:smallCaps/>
        </w:rPr>
        <w:t>S</w:t>
      </w:r>
      <w:r w:rsidR="00D05523">
        <w:rPr>
          <w:smallCaps/>
        </w:rPr>
        <w:t>h</w:t>
      </w:r>
      <w:r w:rsidR="00D05523" w:rsidRPr="00953CBD">
        <w:rPr>
          <w:smallCaps/>
        </w:rPr>
        <w:t xml:space="preserve">apiro </w:t>
      </w:r>
      <w:r w:rsidRPr="00953CBD">
        <w:rPr>
          <w:smallCaps/>
        </w:rPr>
        <w:t>J.</w:t>
      </w:r>
      <w:r w:rsidR="00F924C5" w:rsidRPr="00953CBD">
        <w:rPr>
          <w:smallCaps/>
        </w:rPr>
        <w:t xml:space="preserve">, </w:t>
      </w:r>
      <w:proofErr w:type="spellStart"/>
      <w:r w:rsidR="00F924C5" w:rsidRPr="00953CBD">
        <w:rPr>
          <w:smallCaps/>
        </w:rPr>
        <w:t>Sanei</w:t>
      </w:r>
      <w:proofErr w:type="spellEnd"/>
      <w:r w:rsidR="00F924C5" w:rsidRPr="00953CBD">
        <w:rPr>
          <w:smallCaps/>
        </w:rPr>
        <w:t xml:space="preserve"> B. &amp;</w:t>
      </w:r>
      <w:r w:rsidR="008863F8" w:rsidRPr="00953CBD">
        <w:rPr>
          <w:smallCaps/>
        </w:rPr>
        <w:t xml:space="preserve"> </w:t>
      </w:r>
      <w:proofErr w:type="spellStart"/>
      <w:r w:rsidR="008863F8" w:rsidRPr="00953CBD">
        <w:rPr>
          <w:smallCaps/>
        </w:rPr>
        <w:t>Binnington</w:t>
      </w:r>
      <w:proofErr w:type="spellEnd"/>
      <w:r w:rsidRPr="00953CBD">
        <w:rPr>
          <w:smallCaps/>
        </w:rPr>
        <w:t xml:space="preserve"> B. </w:t>
      </w:r>
      <w:r w:rsidR="008863F8" w:rsidRPr="00953CBD">
        <w:t>(2006).</w:t>
      </w:r>
      <w:r w:rsidRPr="00953CBD">
        <w:t xml:space="preserve"> Char</w:t>
      </w:r>
      <w:r w:rsidR="00851E60">
        <w:t>a</w:t>
      </w:r>
      <w:r w:rsidRPr="00953CBD">
        <w:t xml:space="preserve">cterisation of field isolates of infectious laryngotracheitis virus from Ontario. </w:t>
      </w:r>
      <w:r w:rsidRPr="00953CBD">
        <w:rPr>
          <w:i/>
        </w:rPr>
        <w:t xml:space="preserve">Avian </w:t>
      </w:r>
      <w:proofErr w:type="spellStart"/>
      <w:r w:rsidRPr="00953CBD">
        <w:rPr>
          <w:i/>
        </w:rPr>
        <w:t>Path</w:t>
      </w:r>
      <w:r w:rsidR="008863F8" w:rsidRPr="00953CBD">
        <w:rPr>
          <w:i/>
        </w:rPr>
        <w:t>ol</w:t>
      </w:r>
      <w:proofErr w:type="spellEnd"/>
      <w:r w:rsidRPr="00953CBD">
        <w:rPr>
          <w:i/>
        </w:rPr>
        <w:t>.</w:t>
      </w:r>
      <w:r w:rsidR="008863F8" w:rsidRPr="00953CBD">
        <w:rPr>
          <w:i/>
        </w:rPr>
        <w:t>,</w:t>
      </w:r>
      <w:r w:rsidR="008863F8" w:rsidRPr="00953CBD">
        <w:t xml:space="preserve"> </w:t>
      </w:r>
      <w:r w:rsidRPr="00953CBD">
        <w:rPr>
          <w:b/>
          <w:bCs/>
        </w:rPr>
        <w:t>35</w:t>
      </w:r>
      <w:r w:rsidRPr="00953CBD">
        <w:t>, 286</w:t>
      </w:r>
      <w:r w:rsidR="008863F8" w:rsidRPr="00953CBD">
        <w:t>–</w:t>
      </w:r>
      <w:r w:rsidRPr="00953CBD">
        <w:t>292.</w:t>
      </w:r>
      <w:r w:rsidRPr="00953CBD">
        <w:rPr>
          <w:smallCaps/>
        </w:rPr>
        <w:t xml:space="preserve"> </w:t>
      </w:r>
    </w:p>
    <w:p w14:paraId="3B6922A6" w14:textId="77777777" w:rsidR="00A64257" w:rsidRPr="00953CBD" w:rsidRDefault="00A64257" w:rsidP="00260FC3">
      <w:pPr>
        <w:pStyle w:val="Ref"/>
        <w:spacing w:after="200"/>
        <w:ind w:left="0" w:firstLine="0"/>
      </w:pPr>
      <w:proofErr w:type="spellStart"/>
      <w:r w:rsidRPr="00953CBD">
        <w:rPr>
          <w:smallCaps/>
        </w:rPr>
        <w:lastRenderedPageBreak/>
        <w:t>Oldoni</w:t>
      </w:r>
      <w:proofErr w:type="spellEnd"/>
      <w:r w:rsidRPr="00953CBD">
        <w:rPr>
          <w:smallCaps/>
        </w:rPr>
        <w:t xml:space="preserve"> I.</w:t>
      </w:r>
      <w:r w:rsidR="00F924C5" w:rsidRPr="00953CBD">
        <w:rPr>
          <w:smallCaps/>
        </w:rPr>
        <w:t xml:space="preserve"> &amp;</w:t>
      </w:r>
      <w:r w:rsidRPr="00953CBD">
        <w:rPr>
          <w:smallCaps/>
        </w:rPr>
        <w:t xml:space="preserve"> Garcia M. </w:t>
      </w:r>
      <w:r w:rsidR="008863F8" w:rsidRPr="00953CBD">
        <w:t xml:space="preserve">(2007). </w:t>
      </w:r>
      <w:r w:rsidRPr="00953CBD">
        <w:t>Characterisation of infectious laryngotracheitis virus isolates from the United States by polymerase chain reaction and restriction fragment length polymorphi</w:t>
      </w:r>
      <w:r w:rsidR="00F675AA" w:rsidRPr="00953CBD">
        <w:t xml:space="preserve">sm of multiple genome regions. </w:t>
      </w:r>
      <w:r w:rsidRPr="00953CBD">
        <w:rPr>
          <w:i/>
        </w:rPr>
        <w:t xml:space="preserve">Avian </w:t>
      </w:r>
      <w:proofErr w:type="spellStart"/>
      <w:r w:rsidRPr="00953CBD">
        <w:rPr>
          <w:i/>
        </w:rPr>
        <w:t>Pathol</w:t>
      </w:r>
      <w:proofErr w:type="spellEnd"/>
      <w:r w:rsidRPr="00953CBD">
        <w:rPr>
          <w:i/>
        </w:rPr>
        <w:t>.</w:t>
      </w:r>
      <w:r w:rsidR="00F675AA" w:rsidRPr="00953CBD">
        <w:t>,</w:t>
      </w:r>
      <w:r w:rsidRPr="00953CBD">
        <w:t xml:space="preserve"> </w:t>
      </w:r>
      <w:r w:rsidRPr="00953CBD">
        <w:rPr>
          <w:b/>
          <w:bCs/>
        </w:rPr>
        <w:t>36</w:t>
      </w:r>
      <w:r w:rsidRPr="00953CBD">
        <w:t>, 167</w:t>
      </w:r>
      <w:r w:rsidR="00F675AA" w:rsidRPr="00953CBD">
        <w:t>–</w:t>
      </w:r>
      <w:r w:rsidRPr="00953CBD">
        <w:t xml:space="preserve">176. </w:t>
      </w:r>
    </w:p>
    <w:p w14:paraId="4B631425" w14:textId="77777777" w:rsidR="00A64257" w:rsidRPr="00953CBD" w:rsidRDefault="00A64257" w:rsidP="00260FC3">
      <w:pPr>
        <w:pStyle w:val="Ref"/>
        <w:spacing w:after="200"/>
        <w:ind w:left="0" w:firstLine="0"/>
      </w:pPr>
      <w:proofErr w:type="spellStart"/>
      <w:r w:rsidRPr="00953CBD">
        <w:rPr>
          <w:smallCaps/>
        </w:rPr>
        <w:t>Pirozok</w:t>
      </w:r>
      <w:proofErr w:type="spellEnd"/>
      <w:r w:rsidRPr="00953CBD">
        <w:rPr>
          <w:smallCaps/>
        </w:rPr>
        <w:t xml:space="preserve"> R.P., </w:t>
      </w:r>
      <w:proofErr w:type="spellStart"/>
      <w:r w:rsidRPr="00953CBD">
        <w:rPr>
          <w:smallCaps/>
        </w:rPr>
        <w:t>Helmboldt</w:t>
      </w:r>
      <w:proofErr w:type="spellEnd"/>
      <w:r w:rsidRPr="00953CBD">
        <w:rPr>
          <w:smallCaps/>
        </w:rPr>
        <w:t xml:space="preserve"> C.F. &amp; </w:t>
      </w:r>
      <w:proofErr w:type="spellStart"/>
      <w:r w:rsidRPr="00953CBD">
        <w:rPr>
          <w:smallCaps/>
        </w:rPr>
        <w:t>Jungherr</w:t>
      </w:r>
      <w:proofErr w:type="spellEnd"/>
      <w:r w:rsidRPr="00953CBD">
        <w:rPr>
          <w:smallCaps/>
        </w:rPr>
        <w:t xml:space="preserve"> E.L.</w:t>
      </w:r>
      <w:r w:rsidRPr="00953CBD">
        <w:t xml:space="preserve"> (1957). A rapid histological technique for the diagnosis of avian infectious laryngotracheitis. </w:t>
      </w:r>
      <w:r w:rsidRPr="00953CBD">
        <w:rPr>
          <w:i/>
        </w:rPr>
        <w:t>J. Am. Vet. Med. Assoc.</w:t>
      </w:r>
      <w:r w:rsidRPr="00953CBD">
        <w:t xml:space="preserve">, </w:t>
      </w:r>
      <w:r w:rsidRPr="00953CBD">
        <w:rPr>
          <w:b/>
        </w:rPr>
        <w:t>130</w:t>
      </w:r>
      <w:r w:rsidRPr="00953CBD">
        <w:t>, 406–407.</w:t>
      </w:r>
    </w:p>
    <w:p w14:paraId="3308A11D" w14:textId="40305F68" w:rsidR="00A64257" w:rsidRPr="00BB337F" w:rsidRDefault="00A64257" w:rsidP="00260FC3">
      <w:pPr>
        <w:pStyle w:val="Ref"/>
        <w:spacing w:after="200"/>
        <w:ind w:left="0" w:firstLine="0"/>
        <w:rPr>
          <w:strike/>
        </w:rPr>
      </w:pPr>
      <w:r w:rsidRPr="00BB337F">
        <w:rPr>
          <w:smallCaps/>
          <w:strike/>
          <w:lang w:val="de-DE"/>
        </w:rPr>
        <w:t>Scholz E., Porter R.E. &amp; Guo P.X.</w:t>
      </w:r>
      <w:r w:rsidRPr="00BB337F">
        <w:rPr>
          <w:strike/>
          <w:lang w:val="de-DE"/>
        </w:rPr>
        <w:t xml:space="preserve"> (1994). </w:t>
      </w:r>
      <w:r w:rsidRPr="00BB337F">
        <w:rPr>
          <w:strike/>
        </w:rPr>
        <w:t xml:space="preserve">Differential diagnosis of infectious laryngotracheitis from other avian respiratory diseases by a simplified PCR procedure. </w:t>
      </w:r>
      <w:r w:rsidRPr="00BB337F">
        <w:rPr>
          <w:i/>
          <w:strike/>
        </w:rPr>
        <w:t xml:space="preserve">J. </w:t>
      </w:r>
      <w:proofErr w:type="spellStart"/>
      <w:r w:rsidRPr="00BB337F">
        <w:rPr>
          <w:i/>
          <w:strike/>
        </w:rPr>
        <w:t>Virol</w:t>
      </w:r>
      <w:proofErr w:type="spellEnd"/>
      <w:r w:rsidRPr="00BB337F">
        <w:rPr>
          <w:i/>
          <w:strike/>
        </w:rPr>
        <w:t>. Methods</w:t>
      </w:r>
      <w:r w:rsidRPr="00BB337F">
        <w:rPr>
          <w:strike/>
        </w:rPr>
        <w:t xml:space="preserve">, </w:t>
      </w:r>
      <w:r w:rsidRPr="00BB337F">
        <w:rPr>
          <w:b/>
          <w:strike/>
        </w:rPr>
        <w:t>50</w:t>
      </w:r>
      <w:r w:rsidRPr="00BB337F">
        <w:rPr>
          <w:strike/>
        </w:rPr>
        <w:t>, 313–321.</w:t>
      </w:r>
    </w:p>
    <w:p w14:paraId="6D19AEEC" w14:textId="77777777" w:rsidR="00A64257" w:rsidRPr="00953CBD" w:rsidRDefault="00A64257" w:rsidP="002E3B67">
      <w:pPr>
        <w:pStyle w:val="Ref"/>
        <w:spacing w:after="200"/>
        <w:ind w:left="0" w:firstLine="0"/>
      </w:pPr>
      <w:r w:rsidRPr="00BB337F">
        <w:rPr>
          <w:smallCaps/>
          <w:lang w:val="da-DK"/>
        </w:rPr>
        <w:t>Van Kammen A. &amp; Spadbrow P.B.</w:t>
      </w:r>
      <w:r w:rsidRPr="00BB337F">
        <w:rPr>
          <w:lang w:val="da-DK"/>
        </w:rPr>
        <w:t xml:space="preserve"> (1976). </w:t>
      </w:r>
      <w:r w:rsidRPr="00953CBD">
        <w:t xml:space="preserve">Rapid diagnosis of some avian virus diseases. </w:t>
      </w:r>
      <w:r w:rsidRPr="00953CBD">
        <w:rPr>
          <w:i/>
        </w:rPr>
        <w:t>Avian Dis.</w:t>
      </w:r>
      <w:r w:rsidRPr="00953CBD">
        <w:t xml:space="preserve">, </w:t>
      </w:r>
      <w:r w:rsidRPr="00953CBD">
        <w:rPr>
          <w:b/>
        </w:rPr>
        <w:t>20</w:t>
      </w:r>
      <w:r w:rsidRPr="00953CBD">
        <w:t>, 748–751.</w:t>
      </w:r>
    </w:p>
    <w:p w14:paraId="1872A3E8" w14:textId="77777777" w:rsidR="00A64257" w:rsidRPr="00953CBD" w:rsidRDefault="00A64257" w:rsidP="002E3B67">
      <w:pPr>
        <w:pStyle w:val="Ref"/>
        <w:spacing w:after="200"/>
        <w:ind w:left="0" w:firstLine="0"/>
      </w:pPr>
      <w:r w:rsidRPr="00953CBD">
        <w:rPr>
          <w:smallCaps/>
        </w:rPr>
        <w:t>Wilks C.R. &amp; Kogan V.G.</w:t>
      </w:r>
      <w:r w:rsidRPr="00953CBD">
        <w:t xml:space="preserve"> (1979). An immunofluorescence diagnostic test for avian infectious laryngotracheitis. </w:t>
      </w:r>
      <w:r w:rsidRPr="00953CBD">
        <w:rPr>
          <w:i/>
        </w:rPr>
        <w:t>Aust. Vet. J.</w:t>
      </w:r>
      <w:r w:rsidRPr="00953CBD">
        <w:t xml:space="preserve">, </w:t>
      </w:r>
      <w:r w:rsidRPr="00953CBD">
        <w:rPr>
          <w:b/>
        </w:rPr>
        <w:t>55</w:t>
      </w:r>
      <w:r w:rsidRPr="00953CBD">
        <w:t>, 385–388.</w:t>
      </w:r>
    </w:p>
    <w:p w14:paraId="0106C743" w14:textId="77777777" w:rsidR="00A64257" w:rsidRPr="00953CBD" w:rsidRDefault="00A64257" w:rsidP="002E3B67">
      <w:pPr>
        <w:pStyle w:val="Ref"/>
        <w:spacing w:after="200"/>
        <w:ind w:left="0" w:firstLine="0"/>
      </w:pPr>
      <w:r w:rsidRPr="00953CBD">
        <w:rPr>
          <w:smallCaps/>
        </w:rPr>
        <w:t>Williams R.A</w:t>
      </w:r>
      <w:r w:rsidRPr="00953CBD">
        <w:t xml:space="preserve">., </w:t>
      </w:r>
      <w:r w:rsidRPr="00953CBD">
        <w:rPr>
          <w:smallCaps/>
        </w:rPr>
        <w:t>Savage C.E. &amp; Jones R.C</w:t>
      </w:r>
      <w:r w:rsidRPr="00953CBD">
        <w:t xml:space="preserve">. (1994). A comparison of direct electron microscopy, virus isolation and a DNA amplification method for the detection of avian infectious laryngotracheitis virus in field material. </w:t>
      </w:r>
      <w:r w:rsidRPr="00953CBD">
        <w:rPr>
          <w:i/>
        </w:rPr>
        <w:t xml:space="preserve">Avian </w:t>
      </w:r>
      <w:proofErr w:type="spellStart"/>
      <w:r w:rsidRPr="00953CBD">
        <w:rPr>
          <w:i/>
        </w:rPr>
        <w:t>Pathol</w:t>
      </w:r>
      <w:proofErr w:type="spellEnd"/>
      <w:r w:rsidRPr="00953CBD">
        <w:t xml:space="preserve">., </w:t>
      </w:r>
      <w:r w:rsidRPr="00953CBD">
        <w:rPr>
          <w:b/>
        </w:rPr>
        <w:t>23</w:t>
      </w:r>
      <w:r w:rsidRPr="00953CBD">
        <w:t>, 709–720.</w:t>
      </w:r>
    </w:p>
    <w:p w14:paraId="7C170FDB" w14:textId="77777777" w:rsidR="00A64257" w:rsidRPr="00953CBD" w:rsidRDefault="00A64257" w:rsidP="002E3B67">
      <w:pPr>
        <w:pStyle w:val="Ref"/>
        <w:spacing w:after="200"/>
        <w:ind w:left="0" w:firstLine="0"/>
      </w:pPr>
      <w:r w:rsidRPr="00953CBD">
        <w:rPr>
          <w:smallCaps/>
        </w:rPr>
        <w:t>York J.J. &amp; Fahey K.J.</w:t>
      </w:r>
      <w:r w:rsidRPr="00953CBD">
        <w:t xml:space="preserve"> (1988). Diagnosis of infectious laryngotracheitis using a monoclonal antibody ELISA. </w:t>
      </w:r>
      <w:r w:rsidRPr="00953CBD">
        <w:rPr>
          <w:i/>
        </w:rPr>
        <w:t xml:space="preserve">Avian </w:t>
      </w:r>
      <w:proofErr w:type="spellStart"/>
      <w:r w:rsidRPr="00953CBD">
        <w:rPr>
          <w:i/>
        </w:rPr>
        <w:t>Pathol</w:t>
      </w:r>
      <w:proofErr w:type="spellEnd"/>
      <w:r w:rsidRPr="00953CBD">
        <w:rPr>
          <w:i/>
        </w:rPr>
        <w:t>.</w:t>
      </w:r>
      <w:r w:rsidRPr="00953CBD">
        <w:t xml:space="preserve">, </w:t>
      </w:r>
      <w:r w:rsidRPr="00953CBD">
        <w:rPr>
          <w:b/>
        </w:rPr>
        <w:t>17</w:t>
      </w:r>
      <w:r w:rsidRPr="00953CBD">
        <w:t>, 173–182.</w:t>
      </w:r>
    </w:p>
    <w:p w14:paraId="1BC83F72" w14:textId="77777777" w:rsidR="00AA300D" w:rsidRPr="00112CBC" w:rsidRDefault="00A64257" w:rsidP="00112CBC">
      <w:pPr>
        <w:pStyle w:val="rtoiles"/>
        <w:rPr>
          <w:sz w:val="20"/>
          <w:szCs w:val="20"/>
          <w:lang w:val="en-IE"/>
        </w:rPr>
      </w:pPr>
      <w:r w:rsidRPr="00112CBC">
        <w:rPr>
          <w:sz w:val="20"/>
          <w:szCs w:val="20"/>
          <w:lang w:val="en-IE"/>
        </w:rPr>
        <w:t>*</w:t>
      </w:r>
      <w:r w:rsidRPr="00112CBC">
        <w:rPr>
          <w:sz w:val="20"/>
          <w:szCs w:val="20"/>
          <w:lang w:val="en-IE"/>
        </w:rPr>
        <w:br/>
        <w:t>*   *</w:t>
      </w:r>
    </w:p>
    <w:p w14:paraId="7891D805" w14:textId="56878A1C" w:rsidR="00112CBC" w:rsidRPr="00010ED0" w:rsidRDefault="00112CBC" w:rsidP="00112CBC">
      <w:pPr>
        <w:spacing w:after="240" w:line="240" w:lineRule="auto"/>
        <w:jc w:val="center"/>
        <w:rPr>
          <w:lang w:val="en-IE"/>
        </w:rPr>
      </w:pPr>
      <w:r w:rsidRPr="00010ED0">
        <w:rPr>
          <w:rFonts w:ascii="Arial" w:hAnsi="Arial" w:cs="Arial"/>
          <w:b/>
          <w:smallCaps/>
          <w:sz w:val="18"/>
          <w:szCs w:val="18"/>
        </w:rPr>
        <w:t>NB:</w:t>
      </w:r>
      <w:r w:rsidRPr="00010ED0">
        <w:rPr>
          <w:rFonts w:ascii="Arial" w:hAnsi="Arial" w:cs="Arial"/>
          <w:smallCaps/>
          <w:sz w:val="18"/>
          <w:szCs w:val="18"/>
        </w:rPr>
        <w:t xml:space="preserve"> First adopted in 19</w:t>
      </w:r>
      <w:r>
        <w:rPr>
          <w:rFonts w:ascii="Arial" w:hAnsi="Arial" w:cs="Arial"/>
          <w:smallCaps/>
          <w:sz w:val="18"/>
          <w:szCs w:val="18"/>
        </w:rPr>
        <w:t>89</w:t>
      </w:r>
      <w:r w:rsidR="007609B1">
        <w:rPr>
          <w:rFonts w:ascii="Arial" w:hAnsi="Arial" w:cs="Arial"/>
          <w:smallCaps/>
          <w:sz w:val="18"/>
          <w:szCs w:val="18"/>
        </w:rPr>
        <w:t>.</w:t>
      </w:r>
      <w:r w:rsidRPr="00010ED0">
        <w:rPr>
          <w:rFonts w:ascii="Arial" w:hAnsi="Arial" w:cs="Arial"/>
          <w:smallCaps/>
          <w:sz w:val="18"/>
          <w:szCs w:val="18"/>
        </w:rPr>
        <w:t xml:space="preserve"> Most recent updates adopted in 201</w:t>
      </w:r>
      <w:r>
        <w:rPr>
          <w:rFonts w:ascii="Arial" w:hAnsi="Arial" w:cs="Arial"/>
          <w:smallCaps/>
          <w:sz w:val="18"/>
          <w:szCs w:val="18"/>
        </w:rPr>
        <w:t>4</w:t>
      </w:r>
      <w:r w:rsidRPr="00010ED0">
        <w:rPr>
          <w:rFonts w:ascii="Arial" w:hAnsi="Arial" w:cs="Arial"/>
          <w:smallCaps/>
          <w:sz w:val="18"/>
          <w:szCs w:val="18"/>
        </w:rPr>
        <w:t>.</w:t>
      </w:r>
    </w:p>
    <w:p w14:paraId="6C36B33B" w14:textId="77777777" w:rsidR="00197475" w:rsidRPr="00112CBC" w:rsidRDefault="00197475" w:rsidP="004E7C4B">
      <w:pPr>
        <w:rPr>
          <w:sz w:val="20"/>
          <w:szCs w:val="20"/>
          <w:lang w:val="en-IE"/>
        </w:rPr>
      </w:pPr>
    </w:p>
    <w:sectPr w:rsidR="00197475" w:rsidRPr="00112CBC" w:rsidSect="007609B1">
      <w:headerReference w:type="even" r:id="rId8"/>
      <w:headerReference w:type="default" r:id="rId9"/>
      <w:footerReference w:type="even" r:id="rId10"/>
      <w:footerReference w:type="default" r:id="rId11"/>
      <w:footerReference w:type="first" r:id="rId12"/>
      <w:type w:val="oddPage"/>
      <w:pgSz w:w="11907" w:h="16840" w:code="9"/>
      <w:pgMar w:top="-1418" w:right="1418" w:bottom="1418" w:left="1418" w:header="567" w:footer="567" w:gutter="0"/>
      <w:paperSrc w:first="7" w:other="7"/>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78EF0" w14:textId="77777777" w:rsidR="00933AA3" w:rsidRDefault="00933AA3">
      <w:r>
        <w:separator/>
      </w:r>
    </w:p>
  </w:endnote>
  <w:endnote w:type="continuationSeparator" w:id="0">
    <w:p w14:paraId="23FB2D3A" w14:textId="77777777" w:rsidR="00933AA3" w:rsidRDefault="00933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Ottaw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78DE9" w14:textId="5ED1B7BD" w:rsidR="00612C18" w:rsidRPr="00995B6A" w:rsidRDefault="00612C18" w:rsidP="00995B6A">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10</w:t>
    </w:r>
    <w:r>
      <w:rPr>
        <w:rFonts w:ascii="Ottawa" w:hAnsi="Ottawa"/>
        <w:sz w:val="22"/>
      </w:rPr>
      <w:fldChar w:fldCharType="end"/>
    </w:r>
    <w:r>
      <w:rPr>
        <w:rFonts w:ascii="Ottawa" w:hAnsi="Ottawa"/>
        <w:i/>
        <w:sz w:val="18"/>
      </w:rPr>
      <w:tab/>
    </w:r>
    <w:r>
      <w:rPr>
        <w:rFonts w:ascii="Ottawa" w:hAnsi="Ottawa"/>
        <w:sz w:val="22"/>
      </w:rPr>
      <w:t xml:space="preserve">OIE </w:t>
    </w:r>
    <w:r w:rsidRPr="00A86EA3">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FC0A9" w14:textId="67BEC740" w:rsidR="00612C18" w:rsidRPr="00995B6A" w:rsidRDefault="00612C18" w:rsidP="00995B6A">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A86EA3">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11</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0FAB9" w14:textId="0CC83320" w:rsidR="00612C18" w:rsidRPr="0081671A" w:rsidRDefault="009A4E3C" w:rsidP="0081671A">
    <w:pPr>
      <w:pBdr>
        <w:top w:val="single" w:sz="6" w:space="5" w:color="auto"/>
      </w:pBdr>
      <w:tabs>
        <w:tab w:val="right" w:pos="9072"/>
      </w:tabs>
      <w:spacing w:line="240" w:lineRule="exact"/>
      <w:jc w:val="left"/>
      <w:rPr>
        <w:rFonts w:ascii="Ottawa" w:hAnsi="Ottawa"/>
        <w:sz w:val="22"/>
      </w:rPr>
    </w:pPr>
    <w:r>
      <w:rPr>
        <w:rFonts w:ascii="Ottawa" w:hAnsi="Ottawa"/>
        <w:sz w:val="22"/>
      </w:rPr>
      <w:t xml:space="preserve">OIE </w:t>
    </w:r>
    <w:r w:rsidRPr="00A86EA3">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sidR="00612C18">
      <w:rPr>
        <w:rFonts w:ascii="Ottawa" w:hAnsi="Ottawa"/>
        <w:sz w:val="22"/>
      </w:rPr>
      <w:fldChar w:fldCharType="begin"/>
    </w:r>
    <w:r w:rsidR="00612C18">
      <w:rPr>
        <w:rFonts w:ascii="Ottawa" w:hAnsi="Ottawa"/>
        <w:sz w:val="22"/>
      </w:rPr>
      <w:instrText>PAGE</w:instrText>
    </w:r>
    <w:r w:rsidR="00612C18">
      <w:rPr>
        <w:rFonts w:ascii="Ottawa" w:hAnsi="Ottawa"/>
        <w:sz w:val="22"/>
      </w:rPr>
      <w:fldChar w:fldCharType="separate"/>
    </w:r>
    <w:r w:rsidR="00612C18">
      <w:rPr>
        <w:rFonts w:ascii="Ottawa" w:hAnsi="Ottawa"/>
        <w:noProof/>
        <w:sz w:val="22"/>
      </w:rPr>
      <w:t>1</w:t>
    </w:r>
    <w:r w:rsidR="00612C18">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97736" w14:textId="77777777" w:rsidR="00933AA3" w:rsidRDefault="00933AA3">
      <w:r>
        <w:separator/>
      </w:r>
    </w:p>
  </w:footnote>
  <w:footnote w:type="continuationSeparator" w:id="0">
    <w:p w14:paraId="7C714DE5" w14:textId="77777777" w:rsidR="00933AA3" w:rsidRDefault="00933AA3">
      <w:r>
        <w:continuationSeparator/>
      </w:r>
    </w:p>
  </w:footnote>
  <w:footnote w:id="1">
    <w:p w14:paraId="78666DE1" w14:textId="77777777" w:rsidR="00612C18" w:rsidRPr="00DB49E5" w:rsidRDefault="00612C18" w:rsidP="00EB088A">
      <w:pPr>
        <w:pStyle w:val="Notedebasdepage"/>
        <w:tabs>
          <w:tab w:val="left" w:pos="-1843"/>
        </w:tabs>
        <w:spacing w:line="240" w:lineRule="auto"/>
        <w:ind w:left="425" w:hanging="425"/>
        <w:rPr>
          <w:sz w:val="16"/>
          <w:szCs w:val="16"/>
        </w:rPr>
      </w:pPr>
      <w:r w:rsidRPr="00DB49E5">
        <w:rPr>
          <w:rStyle w:val="Appelnotedebasdep"/>
          <w:rFonts w:ascii="Arial" w:hAnsi="Arial" w:cs="Arial"/>
          <w:sz w:val="16"/>
          <w:szCs w:val="16"/>
          <w:vertAlign w:val="baseline"/>
        </w:rPr>
        <w:footnoteRef/>
      </w:r>
      <w:r w:rsidRPr="00DB49E5">
        <w:rPr>
          <w:rFonts w:ascii="Arial" w:hAnsi="Arial" w:cs="Arial"/>
          <w:sz w:val="16"/>
          <w:szCs w:val="16"/>
        </w:rPr>
        <w:t xml:space="preserve"> </w:t>
      </w:r>
      <w:r w:rsidRPr="00DB49E5">
        <w:rPr>
          <w:rFonts w:ascii="Arial" w:hAnsi="Arial" w:cs="Arial"/>
          <w:sz w:val="16"/>
          <w:szCs w:val="16"/>
        </w:rPr>
        <w:tab/>
        <w:t>A combination of agent identification methods applied on the same clinical sample is recommended.</w:t>
      </w:r>
    </w:p>
  </w:footnote>
  <w:footnote w:id="2">
    <w:p w14:paraId="5C32860C" w14:textId="6E84013C" w:rsidR="00612C18" w:rsidRPr="00313F00" w:rsidRDefault="00612C18" w:rsidP="00995B6A">
      <w:pPr>
        <w:pStyle w:val="Notedebasdepage"/>
        <w:spacing w:line="240" w:lineRule="auto"/>
        <w:ind w:left="425" w:hanging="425"/>
        <w:rPr>
          <w:rFonts w:ascii="Arial" w:hAnsi="Arial" w:cs="Arial"/>
          <w:sz w:val="16"/>
          <w:szCs w:val="16"/>
        </w:rPr>
      </w:pPr>
      <w:r w:rsidRPr="00313F00">
        <w:rPr>
          <w:rStyle w:val="Appelnotedebasdep"/>
          <w:rFonts w:ascii="Arial" w:hAnsi="Arial" w:cs="Arial"/>
          <w:sz w:val="16"/>
          <w:szCs w:val="16"/>
          <w:vertAlign w:val="baseline"/>
        </w:rPr>
        <w:footnoteRef/>
      </w:r>
      <w:r w:rsidRPr="00313F00">
        <w:rPr>
          <w:rFonts w:ascii="Arial" w:hAnsi="Arial" w:cs="Arial"/>
          <w:sz w:val="16"/>
          <w:szCs w:val="16"/>
        </w:rPr>
        <w:t xml:space="preserve"> </w:t>
      </w:r>
      <w:r w:rsidRPr="00313F00">
        <w:rPr>
          <w:rFonts w:ascii="Arial" w:hAnsi="Arial" w:cs="Arial"/>
          <w:sz w:val="16"/>
          <w:szCs w:val="16"/>
        </w:rPr>
        <w:tab/>
      </w:r>
      <w:proofErr w:type="spellStart"/>
      <w:r w:rsidRPr="00313F00">
        <w:rPr>
          <w:rFonts w:ascii="Arial" w:hAnsi="Arial" w:cs="Arial"/>
          <w:sz w:val="16"/>
          <w:szCs w:val="16"/>
          <w:lang w:val="en-US"/>
        </w:rPr>
        <w:t>Genbank</w:t>
      </w:r>
      <w:proofErr w:type="spellEnd"/>
      <w:r w:rsidRPr="00313F00">
        <w:rPr>
          <w:rFonts w:ascii="Arial" w:hAnsi="Arial" w:cs="Arial"/>
          <w:sz w:val="16"/>
          <w:szCs w:val="16"/>
          <w:lang w:val="en-US"/>
        </w:rPr>
        <w:t xml:space="preserve"> accession number NC 006623</w:t>
      </w:r>
    </w:p>
  </w:footnote>
  <w:footnote w:id="3">
    <w:p w14:paraId="79A2A564" w14:textId="59303AA1" w:rsidR="00612C18" w:rsidRPr="00313F00" w:rsidRDefault="00612C18" w:rsidP="00995B6A">
      <w:pPr>
        <w:pStyle w:val="Notedebasdepage"/>
        <w:spacing w:line="240" w:lineRule="auto"/>
        <w:ind w:left="425" w:hanging="425"/>
        <w:rPr>
          <w:rFonts w:ascii="Arial" w:hAnsi="Arial" w:cs="Arial"/>
          <w:sz w:val="16"/>
          <w:szCs w:val="16"/>
        </w:rPr>
      </w:pPr>
      <w:r w:rsidRPr="00313F00">
        <w:rPr>
          <w:rStyle w:val="Appelnotedebasdep"/>
          <w:rFonts w:ascii="Arial" w:hAnsi="Arial" w:cs="Arial"/>
          <w:sz w:val="16"/>
          <w:szCs w:val="16"/>
          <w:vertAlign w:val="baseline"/>
        </w:rPr>
        <w:footnoteRef/>
      </w:r>
      <w:r w:rsidRPr="00313F00">
        <w:rPr>
          <w:rFonts w:ascii="Arial" w:hAnsi="Arial" w:cs="Arial"/>
          <w:sz w:val="16"/>
          <w:szCs w:val="16"/>
        </w:rPr>
        <w:t xml:space="preserve"> </w:t>
      </w:r>
      <w:r w:rsidRPr="00313F00">
        <w:rPr>
          <w:rFonts w:ascii="Arial" w:hAnsi="Arial" w:cs="Arial"/>
          <w:sz w:val="16"/>
          <w:szCs w:val="16"/>
        </w:rPr>
        <w:tab/>
      </w:r>
      <w:proofErr w:type="spellStart"/>
      <w:r w:rsidRPr="00313F00">
        <w:rPr>
          <w:rFonts w:ascii="Arial" w:hAnsi="Arial" w:cs="Arial"/>
          <w:sz w:val="16"/>
          <w:szCs w:val="16"/>
          <w:lang w:val="en-US"/>
        </w:rPr>
        <w:t>Genbank</w:t>
      </w:r>
      <w:proofErr w:type="spellEnd"/>
      <w:r w:rsidRPr="00313F00">
        <w:rPr>
          <w:rFonts w:ascii="Arial" w:hAnsi="Arial" w:cs="Arial"/>
          <w:sz w:val="16"/>
          <w:szCs w:val="16"/>
          <w:lang w:val="en-US"/>
        </w:rPr>
        <w:t xml:space="preserve"> accession number NC 006623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C88E6" w14:textId="24B26685" w:rsidR="00612C18" w:rsidRPr="00995B6A" w:rsidRDefault="00612C18" w:rsidP="00995B6A">
    <w:pPr>
      <w:pBdr>
        <w:bottom w:val="single" w:sz="6" w:space="1" w:color="auto"/>
      </w:pBdr>
      <w:spacing w:line="240" w:lineRule="auto"/>
      <w:ind w:right="-1"/>
      <w:jc w:val="center"/>
      <w:rPr>
        <w:rFonts w:ascii="Ottawa" w:hAnsi="Ottawa"/>
        <w:i/>
        <w:sz w:val="20"/>
        <w:szCs w:val="20"/>
      </w:rPr>
    </w:pPr>
    <w:r w:rsidRPr="00D21CCA">
      <w:rPr>
        <w:rFonts w:ascii="Ottawa" w:hAnsi="Ottawa"/>
        <w:i/>
        <w:sz w:val="20"/>
        <w:szCs w:val="20"/>
      </w:rPr>
      <w:t xml:space="preserve">Chapter </w:t>
    </w:r>
    <w:r>
      <w:rPr>
        <w:rFonts w:ascii="Ottawa" w:hAnsi="Ottawa"/>
        <w:i/>
        <w:sz w:val="20"/>
        <w:szCs w:val="20"/>
      </w:rPr>
      <w:t>3</w:t>
    </w:r>
    <w:r w:rsidRPr="00D21CCA">
      <w:rPr>
        <w:rFonts w:ascii="Ottawa" w:hAnsi="Ottawa"/>
        <w:i/>
        <w:sz w:val="20"/>
        <w:szCs w:val="20"/>
      </w:rPr>
      <w:t>.3.3. – Avian infectious laryngotracheitis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F0C57" w14:textId="4B4DCA4F" w:rsidR="00612C18" w:rsidRPr="00995B6A" w:rsidRDefault="00612C18" w:rsidP="00995B6A">
    <w:pPr>
      <w:pBdr>
        <w:bottom w:val="single" w:sz="6" w:space="1" w:color="auto"/>
      </w:pBdr>
      <w:spacing w:line="240" w:lineRule="auto"/>
      <w:ind w:right="-1"/>
      <w:jc w:val="center"/>
      <w:rPr>
        <w:rFonts w:ascii="Ottawa" w:hAnsi="Ottawa"/>
        <w:i/>
        <w:sz w:val="20"/>
        <w:szCs w:val="20"/>
      </w:rPr>
    </w:pPr>
    <w:r w:rsidRPr="00D21CCA">
      <w:rPr>
        <w:rFonts w:ascii="Ottawa" w:hAnsi="Ottawa"/>
        <w:i/>
        <w:sz w:val="20"/>
        <w:szCs w:val="20"/>
      </w:rPr>
      <w:t xml:space="preserve">Chapter </w:t>
    </w:r>
    <w:r>
      <w:rPr>
        <w:rFonts w:ascii="Ottawa" w:hAnsi="Ottawa"/>
        <w:i/>
        <w:sz w:val="20"/>
        <w:szCs w:val="20"/>
      </w:rPr>
      <w:t>3</w:t>
    </w:r>
    <w:r w:rsidRPr="00D21CCA">
      <w:rPr>
        <w:rFonts w:ascii="Ottawa" w:hAnsi="Ottawa"/>
        <w:i/>
        <w:sz w:val="20"/>
        <w:szCs w:val="20"/>
      </w:rPr>
      <w:t>.3.3. – Avian infectious laryngotracheitis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D4B98"/>
    <w:multiLevelType w:val="hybridMultilevel"/>
    <w:tmpl w:val="25F6DBBA"/>
    <w:lvl w:ilvl="0" w:tplc="71B8233C">
      <w:start w:val="1"/>
      <w:numFmt w:val="lowerLetter"/>
      <w:lvlText w:val="%1)"/>
      <w:lvlJc w:val="left"/>
      <w:pPr>
        <w:ind w:left="2203" w:hanging="360"/>
      </w:pPr>
      <w:rPr>
        <w:rFonts w:hint="default"/>
      </w:rPr>
    </w:lvl>
    <w:lvl w:ilvl="1" w:tplc="08090019" w:tentative="1">
      <w:start w:val="1"/>
      <w:numFmt w:val="lowerLetter"/>
      <w:lvlText w:val="%2."/>
      <w:lvlJc w:val="left"/>
      <w:pPr>
        <w:ind w:left="2923" w:hanging="360"/>
      </w:pPr>
    </w:lvl>
    <w:lvl w:ilvl="2" w:tplc="0809001B" w:tentative="1">
      <w:start w:val="1"/>
      <w:numFmt w:val="lowerRoman"/>
      <w:lvlText w:val="%3."/>
      <w:lvlJc w:val="right"/>
      <w:pPr>
        <w:ind w:left="3643" w:hanging="180"/>
      </w:pPr>
    </w:lvl>
    <w:lvl w:ilvl="3" w:tplc="0809000F" w:tentative="1">
      <w:start w:val="1"/>
      <w:numFmt w:val="decimal"/>
      <w:lvlText w:val="%4."/>
      <w:lvlJc w:val="left"/>
      <w:pPr>
        <w:ind w:left="4363" w:hanging="360"/>
      </w:pPr>
    </w:lvl>
    <w:lvl w:ilvl="4" w:tplc="08090019" w:tentative="1">
      <w:start w:val="1"/>
      <w:numFmt w:val="lowerLetter"/>
      <w:lvlText w:val="%5."/>
      <w:lvlJc w:val="left"/>
      <w:pPr>
        <w:ind w:left="5083" w:hanging="360"/>
      </w:pPr>
    </w:lvl>
    <w:lvl w:ilvl="5" w:tplc="0809001B" w:tentative="1">
      <w:start w:val="1"/>
      <w:numFmt w:val="lowerRoman"/>
      <w:lvlText w:val="%6."/>
      <w:lvlJc w:val="right"/>
      <w:pPr>
        <w:ind w:left="5803" w:hanging="180"/>
      </w:pPr>
    </w:lvl>
    <w:lvl w:ilvl="6" w:tplc="0809000F" w:tentative="1">
      <w:start w:val="1"/>
      <w:numFmt w:val="decimal"/>
      <w:lvlText w:val="%7."/>
      <w:lvlJc w:val="left"/>
      <w:pPr>
        <w:ind w:left="6523" w:hanging="360"/>
      </w:pPr>
    </w:lvl>
    <w:lvl w:ilvl="7" w:tplc="08090019" w:tentative="1">
      <w:start w:val="1"/>
      <w:numFmt w:val="lowerLetter"/>
      <w:lvlText w:val="%8."/>
      <w:lvlJc w:val="left"/>
      <w:pPr>
        <w:ind w:left="7243" w:hanging="360"/>
      </w:pPr>
    </w:lvl>
    <w:lvl w:ilvl="8" w:tplc="0809001B" w:tentative="1">
      <w:start w:val="1"/>
      <w:numFmt w:val="lowerRoman"/>
      <w:lvlText w:val="%9."/>
      <w:lvlJc w:val="right"/>
      <w:pPr>
        <w:ind w:left="7963" w:hanging="180"/>
      </w:pPr>
    </w:lvl>
  </w:abstractNum>
  <w:abstractNum w:abstractNumId="1" w15:restartNumberingAfterBreak="0">
    <w:nsid w:val="20F5033A"/>
    <w:multiLevelType w:val="hybridMultilevel"/>
    <w:tmpl w:val="0F94EE8A"/>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7E464B9"/>
    <w:multiLevelType w:val="hybridMultilevel"/>
    <w:tmpl w:val="0A7EF084"/>
    <w:lvl w:ilvl="0" w:tplc="D96A43F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61DF6D33"/>
    <w:multiLevelType w:val="hybridMultilevel"/>
    <w:tmpl w:val="DD5A5FC4"/>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257"/>
    <w:rsid w:val="0000032E"/>
    <w:rsid w:val="00004846"/>
    <w:rsid w:val="00004EE6"/>
    <w:rsid w:val="00010176"/>
    <w:rsid w:val="0001109F"/>
    <w:rsid w:val="00014C46"/>
    <w:rsid w:val="0001500C"/>
    <w:rsid w:val="00030008"/>
    <w:rsid w:val="00043B8E"/>
    <w:rsid w:val="00051A60"/>
    <w:rsid w:val="00054580"/>
    <w:rsid w:val="00061333"/>
    <w:rsid w:val="00061A60"/>
    <w:rsid w:val="00063977"/>
    <w:rsid w:val="00065A60"/>
    <w:rsid w:val="000668A0"/>
    <w:rsid w:val="00070C50"/>
    <w:rsid w:val="00074E5D"/>
    <w:rsid w:val="000903B1"/>
    <w:rsid w:val="000A4257"/>
    <w:rsid w:val="000B0FFD"/>
    <w:rsid w:val="000B544A"/>
    <w:rsid w:val="000B5BE7"/>
    <w:rsid w:val="000C3400"/>
    <w:rsid w:val="000C6165"/>
    <w:rsid w:val="000C7C94"/>
    <w:rsid w:val="000D046B"/>
    <w:rsid w:val="000D0F90"/>
    <w:rsid w:val="000D3203"/>
    <w:rsid w:val="000D72F4"/>
    <w:rsid w:val="000E1901"/>
    <w:rsid w:val="000F25DC"/>
    <w:rsid w:val="000F66E4"/>
    <w:rsid w:val="00102170"/>
    <w:rsid w:val="00105F6D"/>
    <w:rsid w:val="001118EF"/>
    <w:rsid w:val="00112CBC"/>
    <w:rsid w:val="0012426F"/>
    <w:rsid w:val="00127F86"/>
    <w:rsid w:val="00132AC4"/>
    <w:rsid w:val="00132D55"/>
    <w:rsid w:val="001334EE"/>
    <w:rsid w:val="00136B3D"/>
    <w:rsid w:val="00144BC7"/>
    <w:rsid w:val="0014783A"/>
    <w:rsid w:val="00152D95"/>
    <w:rsid w:val="00162AB5"/>
    <w:rsid w:val="00180D76"/>
    <w:rsid w:val="0018136E"/>
    <w:rsid w:val="00181FE8"/>
    <w:rsid w:val="00182C08"/>
    <w:rsid w:val="00183B44"/>
    <w:rsid w:val="0018412D"/>
    <w:rsid w:val="0019017F"/>
    <w:rsid w:val="0019475C"/>
    <w:rsid w:val="00194C8C"/>
    <w:rsid w:val="00196F7C"/>
    <w:rsid w:val="00197475"/>
    <w:rsid w:val="001A424F"/>
    <w:rsid w:val="001B0457"/>
    <w:rsid w:val="001C575C"/>
    <w:rsid w:val="001D173B"/>
    <w:rsid w:val="001D2326"/>
    <w:rsid w:val="001D2B60"/>
    <w:rsid w:val="001D4B46"/>
    <w:rsid w:val="001D625F"/>
    <w:rsid w:val="001E0DA5"/>
    <w:rsid w:val="001E6607"/>
    <w:rsid w:val="001F0668"/>
    <w:rsid w:val="001F115B"/>
    <w:rsid w:val="001F33E7"/>
    <w:rsid w:val="00203ECC"/>
    <w:rsid w:val="00206770"/>
    <w:rsid w:val="00212F32"/>
    <w:rsid w:val="002171EF"/>
    <w:rsid w:val="002214B3"/>
    <w:rsid w:val="0022432B"/>
    <w:rsid w:val="00233514"/>
    <w:rsid w:val="00247F23"/>
    <w:rsid w:val="00260FC3"/>
    <w:rsid w:val="00261AE8"/>
    <w:rsid w:val="00265242"/>
    <w:rsid w:val="00265EE2"/>
    <w:rsid w:val="00267A98"/>
    <w:rsid w:val="0027349E"/>
    <w:rsid w:val="00274996"/>
    <w:rsid w:val="0027672B"/>
    <w:rsid w:val="00280C18"/>
    <w:rsid w:val="0029549E"/>
    <w:rsid w:val="00295EF2"/>
    <w:rsid w:val="002A1455"/>
    <w:rsid w:val="002A567D"/>
    <w:rsid w:val="002A5C40"/>
    <w:rsid w:val="002B31DC"/>
    <w:rsid w:val="002B6EBC"/>
    <w:rsid w:val="002C2D8E"/>
    <w:rsid w:val="002C41E0"/>
    <w:rsid w:val="002C7E49"/>
    <w:rsid w:val="002D5A5C"/>
    <w:rsid w:val="002D6811"/>
    <w:rsid w:val="002E0C79"/>
    <w:rsid w:val="002E3B67"/>
    <w:rsid w:val="002E454D"/>
    <w:rsid w:val="002E6DB7"/>
    <w:rsid w:val="002F2B65"/>
    <w:rsid w:val="002F6203"/>
    <w:rsid w:val="002F7E8C"/>
    <w:rsid w:val="003034CB"/>
    <w:rsid w:val="003051E0"/>
    <w:rsid w:val="00313F00"/>
    <w:rsid w:val="0031629F"/>
    <w:rsid w:val="003242FD"/>
    <w:rsid w:val="00324BCC"/>
    <w:rsid w:val="00324E39"/>
    <w:rsid w:val="00327088"/>
    <w:rsid w:val="00331F82"/>
    <w:rsid w:val="00341C19"/>
    <w:rsid w:val="003446CA"/>
    <w:rsid w:val="00347DD4"/>
    <w:rsid w:val="00355517"/>
    <w:rsid w:val="00363A2D"/>
    <w:rsid w:val="00364918"/>
    <w:rsid w:val="0037287D"/>
    <w:rsid w:val="00374F5D"/>
    <w:rsid w:val="003762A3"/>
    <w:rsid w:val="00385275"/>
    <w:rsid w:val="00390CDD"/>
    <w:rsid w:val="003A0C29"/>
    <w:rsid w:val="003A7DDF"/>
    <w:rsid w:val="003B6442"/>
    <w:rsid w:val="003C2CE1"/>
    <w:rsid w:val="003C4F87"/>
    <w:rsid w:val="003C72A7"/>
    <w:rsid w:val="003D14CA"/>
    <w:rsid w:val="003D1927"/>
    <w:rsid w:val="003D40E5"/>
    <w:rsid w:val="003D6CC2"/>
    <w:rsid w:val="003E7861"/>
    <w:rsid w:val="003F5226"/>
    <w:rsid w:val="003F75AF"/>
    <w:rsid w:val="004046F0"/>
    <w:rsid w:val="00413B8A"/>
    <w:rsid w:val="004159B1"/>
    <w:rsid w:val="004178E3"/>
    <w:rsid w:val="0042175B"/>
    <w:rsid w:val="00425EFD"/>
    <w:rsid w:val="00431414"/>
    <w:rsid w:val="004319C3"/>
    <w:rsid w:val="00446AAE"/>
    <w:rsid w:val="00461010"/>
    <w:rsid w:val="00462611"/>
    <w:rsid w:val="00473617"/>
    <w:rsid w:val="00474220"/>
    <w:rsid w:val="004878A4"/>
    <w:rsid w:val="004A016F"/>
    <w:rsid w:val="004A5695"/>
    <w:rsid w:val="004A636E"/>
    <w:rsid w:val="004C1770"/>
    <w:rsid w:val="004C2386"/>
    <w:rsid w:val="004C3E2A"/>
    <w:rsid w:val="004C709D"/>
    <w:rsid w:val="004D4283"/>
    <w:rsid w:val="004D6DEF"/>
    <w:rsid w:val="004E1118"/>
    <w:rsid w:val="004E537A"/>
    <w:rsid w:val="004E7C4B"/>
    <w:rsid w:val="004F1B70"/>
    <w:rsid w:val="004F6BCC"/>
    <w:rsid w:val="004F7F3A"/>
    <w:rsid w:val="0050346C"/>
    <w:rsid w:val="00513469"/>
    <w:rsid w:val="00527A87"/>
    <w:rsid w:val="00537DD5"/>
    <w:rsid w:val="00542F62"/>
    <w:rsid w:val="00545A68"/>
    <w:rsid w:val="0055087F"/>
    <w:rsid w:val="00553296"/>
    <w:rsid w:val="00556C53"/>
    <w:rsid w:val="00571829"/>
    <w:rsid w:val="0058249D"/>
    <w:rsid w:val="00595490"/>
    <w:rsid w:val="00595CDB"/>
    <w:rsid w:val="0059653A"/>
    <w:rsid w:val="005A2369"/>
    <w:rsid w:val="005B4757"/>
    <w:rsid w:val="005C0178"/>
    <w:rsid w:val="005C5E5D"/>
    <w:rsid w:val="005E0D7E"/>
    <w:rsid w:val="005E11D1"/>
    <w:rsid w:val="005E27E2"/>
    <w:rsid w:val="005F0EA3"/>
    <w:rsid w:val="00612329"/>
    <w:rsid w:val="00612C18"/>
    <w:rsid w:val="00615A2F"/>
    <w:rsid w:val="00616E4F"/>
    <w:rsid w:val="0062316C"/>
    <w:rsid w:val="0062437D"/>
    <w:rsid w:val="0062732B"/>
    <w:rsid w:val="00627439"/>
    <w:rsid w:val="00631B3E"/>
    <w:rsid w:val="00632EDF"/>
    <w:rsid w:val="00637883"/>
    <w:rsid w:val="006404BB"/>
    <w:rsid w:val="0064476A"/>
    <w:rsid w:val="0065216E"/>
    <w:rsid w:val="006568A8"/>
    <w:rsid w:val="00656B80"/>
    <w:rsid w:val="0065732F"/>
    <w:rsid w:val="00675C89"/>
    <w:rsid w:val="006853C0"/>
    <w:rsid w:val="006955CE"/>
    <w:rsid w:val="006A311F"/>
    <w:rsid w:val="006A5EB2"/>
    <w:rsid w:val="006B2058"/>
    <w:rsid w:val="006B7C82"/>
    <w:rsid w:val="006C1578"/>
    <w:rsid w:val="006D28B6"/>
    <w:rsid w:val="006D2EE4"/>
    <w:rsid w:val="006D403F"/>
    <w:rsid w:val="006D5469"/>
    <w:rsid w:val="006E1067"/>
    <w:rsid w:val="006E2FB2"/>
    <w:rsid w:val="006E332A"/>
    <w:rsid w:val="006E6EBF"/>
    <w:rsid w:val="006F15F4"/>
    <w:rsid w:val="0070307A"/>
    <w:rsid w:val="00705BE3"/>
    <w:rsid w:val="00706037"/>
    <w:rsid w:val="00707C91"/>
    <w:rsid w:val="00727956"/>
    <w:rsid w:val="00730EEB"/>
    <w:rsid w:val="0073374D"/>
    <w:rsid w:val="0073733D"/>
    <w:rsid w:val="00743C13"/>
    <w:rsid w:val="00744EED"/>
    <w:rsid w:val="007609B1"/>
    <w:rsid w:val="00764DD1"/>
    <w:rsid w:val="00784B9D"/>
    <w:rsid w:val="007922E0"/>
    <w:rsid w:val="00795A4D"/>
    <w:rsid w:val="00796856"/>
    <w:rsid w:val="007A486A"/>
    <w:rsid w:val="007A7296"/>
    <w:rsid w:val="007B010E"/>
    <w:rsid w:val="007B2E63"/>
    <w:rsid w:val="007C4B7B"/>
    <w:rsid w:val="007D1049"/>
    <w:rsid w:val="007D1572"/>
    <w:rsid w:val="007D17BE"/>
    <w:rsid w:val="007E167B"/>
    <w:rsid w:val="007E5AEE"/>
    <w:rsid w:val="007E6C76"/>
    <w:rsid w:val="007F23E5"/>
    <w:rsid w:val="007F28B0"/>
    <w:rsid w:val="007F6D58"/>
    <w:rsid w:val="007F73C3"/>
    <w:rsid w:val="0081671A"/>
    <w:rsid w:val="00826BE5"/>
    <w:rsid w:val="0083295D"/>
    <w:rsid w:val="0083299A"/>
    <w:rsid w:val="008344C8"/>
    <w:rsid w:val="0084499D"/>
    <w:rsid w:val="00851E60"/>
    <w:rsid w:val="0085621F"/>
    <w:rsid w:val="008656CF"/>
    <w:rsid w:val="00877922"/>
    <w:rsid w:val="00882E9B"/>
    <w:rsid w:val="008863F8"/>
    <w:rsid w:val="008871E1"/>
    <w:rsid w:val="008A7559"/>
    <w:rsid w:val="008C1550"/>
    <w:rsid w:val="008D53A6"/>
    <w:rsid w:val="008E19A2"/>
    <w:rsid w:val="008E3CBE"/>
    <w:rsid w:val="008E63D8"/>
    <w:rsid w:val="008E7044"/>
    <w:rsid w:val="00901AAC"/>
    <w:rsid w:val="00902DAD"/>
    <w:rsid w:val="00924413"/>
    <w:rsid w:val="009324D4"/>
    <w:rsid w:val="00933AA3"/>
    <w:rsid w:val="00936CB7"/>
    <w:rsid w:val="00942A39"/>
    <w:rsid w:val="009445FD"/>
    <w:rsid w:val="00951B26"/>
    <w:rsid w:val="00953CBD"/>
    <w:rsid w:val="00985905"/>
    <w:rsid w:val="00995B6A"/>
    <w:rsid w:val="009A3740"/>
    <w:rsid w:val="009A39B4"/>
    <w:rsid w:val="009A4E3C"/>
    <w:rsid w:val="009A6D31"/>
    <w:rsid w:val="009A779B"/>
    <w:rsid w:val="009B1141"/>
    <w:rsid w:val="009B41D0"/>
    <w:rsid w:val="009B6CBC"/>
    <w:rsid w:val="009C17B7"/>
    <w:rsid w:val="009C2CFF"/>
    <w:rsid w:val="009C66BF"/>
    <w:rsid w:val="009D3501"/>
    <w:rsid w:val="009E2611"/>
    <w:rsid w:val="009E30E7"/>
    <w:rsid w:val="009F2736"/>
    <w:rsid w:val="00A01C94"/>
    <w:rsid w:val="00A028AA"/>
    <w:rsid w:val="00A03D85"/>
    <w:rsid w:val="00A07A11"/>
    <w:rsid w:val="00A111E4"/>
    <w:rsid w:val="00A16BFE"/>
    <w:rsid w:val="00A223CC"/>
    <w:rsid w:val="00A268F6"/>
    <w:rsid w:val="00A26A7D"/>
    <w:rsid w:val="00A30DAB"/>
    <w:rsid w:val="00A337D2"/>
    <w:rsid w:val="00A36898"/>
    <w:rsid w:val="00A55C82"/>
    <w:rsid w:val="00A56963"/>
    <w:rsid w:val="00A64257"/>
    <w:rsid w:val="00A66B12"/>
    <w:rsid w:val="00A778C6"/>
    <w:rsid w:val="00A8082B"/>
    <w:rsid w:val="00A8088C"/>
    <w:rsid w:val="00A836B7"/>
    <w:rsid w:val="00AA300D"/>
    <w:rsid w:val="00AA6EFD"/>
    <w:rsid w:val="00AB115D"/>
    <w:rsid w:val="00AC3289"/>
    <w:rsid w:val="00AC6F13"/>
    <w:rsid w:val="00AD0A01"/>
    <w:rsid w:val="00AD348F"/>
    <w:rsid w:val="00AD50F1"/>
    <w:rsid w:val="00AD58FD"/>
    <w:rsid w:val="00AE41C8"/>
    <w:rsid w:val="00AE619E"/>
    <w:rsid w:val="00AF45F5"/>
    <w:rsid w:val="00AF5499"/>
    <w:rsid w:val="00B06684"/>
    <w:rsid w:val="00B12370"/>
    <w:rsid w:val="00B13398"/>
    <w:rsid w:val="00B149E3"/>
    <w:rsid w:val="00B32488"/>
    <w:rsid w:val="00B4003E"/>
    <w:rsid w:val="00B43238"/>
    <w:rsid w:val="00B513D9"/>
    <w:rsid w:val="00B560F2"/>
    <w:rsid w:val="00B66473"/>
    <w:rsid w:val="00B705EC"/>
    <w:rsid w:val="00B718DE"/>
    <w:rsid w:val="00B75C2F"/>
    <w:rsid w:val="00B845B0"/>
    <w:rsid w:val="00B84C3F"/>
    <w:rsid w:val="00B972E6"/>
    <w:rsid w:val="00B97788"/>
    <w:rsid w:val="00BA0352"/>
    <w:rsid w:val="00BB337F"/>
    <w:rsid w:val="00BB3BB3"/>
    <w:rsid w:val="00BC0D3B"/>
    <w:rsid w:val="00BC27B0"/>
    <w:rsid w:val="00BD2960"/>
    <w:rsid w:val="00BF1A0D"/>
    <w:rsid w:val="00C046ED"/>
    <w:rsid w:val="00C235CD"/>
    <w:rsid w:val="00C23DF9"/>
    <w:rsid w:val="00C34B09"/>
    <w:rsid w:val="00C40512"/>
    <w:rsid w:val="00C41FA8"/>
    <w:rsid w:val="00C44EF6"/>
    <w:rsid w:val="00C51D82"/>
    <w:rsid w:val="00C62980"/>
    <w:rsid w:val="00C62DD4"/>
    <w:rsid w:val="00C65355"/>
    <w:rsid w:val="00C66889"/>
    <w:rsid w:val="00C728C9"/>
    <w:rsid w:val="00C90EF0"/>
    <w:rsid w:val="00C96584"/>
    <w:rsid w:val="00CA02DC"/>
    <w:rsid w:val="00CA0317"/>
    <w:rsid w:val="00CB7F9E"/>
    <w:rsid w:val="00CD62F0"/>
    <w:rsid w:val="00CF6570"/>
    <w:rsid w:val="00D03C32"/>
    <w:rsid w:val="00D05523"/>
    <w:rsid w:val="00D1006D"/>
    <w:rsid w:val="00D14BB1"/>
    <w:rsid w:val="00D16FCA"/>
    <w:rsid w:val="00D21CCA"/>
    <w:rsid w:val="00D23750"/>
    <w:rsid w:val="00D37E7C"/>
    <w:rsid w:val="00D453F7"/>
    <w:rsid w:val="00D45BAC"/>
    <w:rsid w:val="00D62BDA"/>
    <w:rsid w:val="00D63753"/>
    <w:rsid w:val="00D63EF1"/>
    <w:rsid w:val="00D711C8"/>
    <w:rsid w:val="00D74616"/>
    <w:rsid w:val="00D86A8A"/>
    <w:rsid w:val="00D904E7"/>
    <w:rsid w:val="00D90DD2"/>
    <w:rsid w:val="00D915C4"/>
    <w:rsid w:val="00D96E9A"/>
    <w:rsid w:val="00DA5D14"/>
    <w:rsid w:val="00DB44BA"/>
    <w:rsid w:val="00DB49E5"/>
    <w:rsid w:val="00DC010A"/>
    <w:rsid w:val="00DC307F"/>
    <w:rsid w:val="00DC5480"/>
    <w:rsid w:val="00DC5C0D"/>
    <w:rsid w:val="00DC7660"/>
    <w:rsid w:val="00DD37B0"/>
    <w:rsid w:val="00DD4EC1"/>
    <w:rsid w:val="00DE0799"/>
    <w:rsid w:val="00DE59F6"/>
    <w:rsid w:val="00DF206D"/>
    <w:rsid w:val="00E011E0"/>
    <w:rsid w:val="00E0183A"/>
    <w:rsid w:val="00E029E4"/>
    <w:rsid w:val="00E06375"/>
    <w:rsid w:val="00E06CF8"/>
    <w:rsid w:val="00E06DB4"/>
    <w:rsid w:val="00E205A5"/>
    <w:rsid w:val="00E30D22"/>
    <w:rsid w:val="00E32B16"/>
    <w:rsid w:val="00E4268A"/>
    <w:rsid w:val="00E43505"/>
    <w:rsid w:val="00E45E2E"/>
    <w:rsid w:val="00E540AD"/>
    <w:rsid w:val="00E56206"/>
    <w:rsid w:val="00E62E0B"/>
    <w:rsid w:val="00E65C16"/>
    <w:rsid w:val="00E720E0"/>
    <w:rsid w:val="00E748E8"/>
    <w:rsid w:val="00E8562D"/>
    <w:rsid w:val="00E87059"/>
    <w:rsid w:val="00E92A58"/>
    <w:rsid w:val="00E92FCE"/>
    <w:rsid w:val="00EB088A"/>
    <w:rsid w:val="00EB4801"/>
    <w:rsid w:val="00EB6260"/>
    <w:rsid w:val="00EB7CAB"/>
    <w:rsid w:val="00EC0D40"/>
    <w:rsid w:val="00EC46DE"/>
    <w:rsid w:val="00ED1A5B"/>
    <w:rsid w:val="00ED2690"/>
    <w:rsid w:val="00ED46B5"/>
    <w:rsid w:val="00ED5CDF"/>
    <w:rsid w:val="00EF35E6"/>
    <w:rsid w:val="00EF4BA9"/>
    <w:rsid w:val="00F013E6"/>
    <w:rsid w:val="00F0196B"/>
    <w:rsid w:val="00F02AA9"/>
    <w:rsid w:val="00F04C31"/>
    <w:rsid w:val="00F06A52"/>
    <w:rsid w:val="00F108B4"/>
    <w:rsid w:val="00F20275"/>
    <w:rsid w:val="00F231D7"/>
    <w:rsid w:val="00F3226C"/>
    <w:rsid w:val="00F36608"/>
    <w:rsid w:val="00F37625"/>
    <w:rsid w:val="00F45A0C"/>
    <w:rsid w:val="00F513AA"/>
    <w:rsid w:val="00F6590F"/>
    <w:rsid w:val="00F675AA"/>
    <w:rsid w:val="00F74474"/>
    <w:rsid w:val="00F7650F"/>
    <w:rsid w:val="00F924C5"/>
    <w:rsid w:val="00FA04F7"/>
    <w:rsid w:val="00FA324F"/>
    <w:rsid w:val="00FD0647"/>
    <w:rsid w:val="00FD35DF"/>
    <w:rsid w:val="00FE0FBA"/>
    <w:rsid w:val="00FE165E"/>
    <w:rsid w:val="00FE38A1"/>
    <w:rsid w:val="00FF1F0A"/>
    <w:rsid w:val="00FF2935"/>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724C642"/>
  <w15:docId w15:val="{C842E70B-12EB-4E0B-B7A1-16EDD7D67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257"/>
    <w:pPr>
      <w:tabs>
        <w:tab w:val="left" w:pos="-720"/>
      </w:tabs>
      <w:spacing w:line="360" w:lineRule="atLeast"/>
      <w:jc w:val="both"/>
    </w:pPr>
    <w:rPr>
      <w:lang w:eastAsia="fr-FR"/>
    </w:rPr>
  </w:style>
  <w:style w:type="paragraph" w:styleId="Titre1">
    <w:name w:val="heading 1"/>
    <w:basedOn w:val="Normal"/>
    <w:next w:val="Normal"/>
    <w:link w:val="Titre1Car"/>
    <w:qFormat/>
    <w:rsid w:val="0081671A"/>
    <w:pPr>
      <w:widowControl w:val="0"/>
      <w:tabs>
        <w:tab w:val="num" w:pos="0"/>
      </w:tabs>
      <w:suppressAutoHyphens/>
      <w:spacing w:before="240"/>
      <w:outlineLvl w:val="0"/>
    </w:pPr>
    <w:rPr>
      <w:rFonts w:ascii="Arial" w:hAnsi="Arial" w:cs="Arial"/>
      <w:b/>
      <w:bCs/>
      <w:u w:val="single"/>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
    <w:name w:val="a)"/>
    <w:basedOn w:val="Normal"/>
    <w:rsid w:val="00A64257"/>
    <w:pPr>
      <w:tabs>
        <w:tab w:val="clear" w:pos="-720"/>
      </w:tabs>
      <w:spacing w:after="120" w:line="240" w:lineRule="auto"/>
      <w:ind w:left="425" w:hanging="425"/>
    </w:pPr>
    <w:rPr>
      <w:rFonts w:ascii="Ottawa" w:hAnsi="Ottawa"/>
      <w:b/>
      <w:bCs/>
    </w:rPr>
  </w:style>
  <w:style w:type="paragraph" w:customStyle="1" w:styleId="paraa">
    <w:name w:val="paraa)"/>
    <w:basedOn w:val="Normal"/>
    <w:rsid w:val="00A64257"/>
    <w:pPr>
      <w:spacing w:after="240" w:line="240" w:lineRule="auto"/>
      <w:ind w:left="425"/>
    </w:pPr>
    <w:rPr>
      <w:rFonts w:ascii="Arial" w:hAnsi="Arial" w:cs="Arial"/>
      <w:sz w:val="18"/>
      <w:szCs w:val="18"/>
    </w:rPr>
  </w:style>
  <w:style w:type="paragraph" w:customStyle="1" w:styleId="1">
    <w:name w:val="1"/>
    <w:basedOn w:val="para1"/>
    <w:rsid w:val="00A64257"/>
    <w:pPr>
      <w:tabs>
        <w:tab w:val="clear" w:pos="-720"/>
      </w:tabs>
      <w:ind w:left="426" w:hanging="426"/>
    </w:pPr>
    <w:rPr>
      <w:rFonts w:ascii="Ottawa" w:hAnsi="Ottawa"/>
      <w:b/>
      <w:bCs/>
      <w:sz w:val="22"/>
      <w:szCs w:val="22"/>
    </w:rPr>
  </w:style>
  <w:style w:type="paragraph" w:customStyle="1" w:styleId="para1">
    <w:name w:val="para1"/>
    <w:basedOn w:val="Normal"/>
    <w:rsid w:val="00A64257"/>
    <w:pPr>
      <w:spacing w:after="240" w:line="240" w:lineRule="auto"/>
    </w:pPr>
    <w:rPr>
      <w:rFonts w:ascii="Arial" w:hAnsi="Arial" w:cs="Arial"/>
      <w:sz w:val="18"/>
      <w:szCs w:val="18"/>
    </w:rPr>
  </w:style>
  <w:style w:type="paragraph" w:customStyle="1" w:styleId="A0">
    <w:name w:val="A"/>
    <w:basedOn w:val="Normal"/>
    <w:rsid w:val="00A64257"/>
    <w:pPr>
      <w:spacing w:after="240" w:line="240" w:lineRule="auto"/>
      <w:jc w:val="center"/>
    </w:pPr>
    <w:rPr>
      <w:rFonts w:ascii="Ottawa" w:hAnsi="Ottawa"/>
      <w:b/>
      <w:bCs/>
      <w:caps/>
    </w:rPr>
  </w:style>
  <w:style w:type="paragraph" w:customStyle="1" w:styleId="Ref">
    <w:name w:val="Ref."/>
    <w:basedOn w:val="Normal"/>
    <w:rsid w:val="00A64257"/>
    <w:pPr>
      <w:spacing w:after="240" w:line="240" w:lineRule="auto"/>
      <w:ind w:left="426" w:hanging="426"/>
    </w:pPr>
    <w:rPr>
      <w:rFonts w:ascii="Arial" w:hAnsi="Arial" w:cs="Arial"/>
      <w:sz w:val="18"/>
      <w:szCs w:val="18"/>
    </w:rPr>
  </w:style>
  <w:style w:type="paragraph" w:customStyle="1" w:styleId="sumtexte">
    <w:name w:val="sumtexte"/>
    <w:basedOn w:val="Normal"/>
    <w:rsid w:val="00A64257"/>
    <w:pPr>
      <w:spacing w:after="120" w:line="240" w:lineRule="exact"/>
      <w:ind w:left="567" w:right="567"/>
    </w:pPr>
    <w:rPr>
      <w:rFonts w:ascii="Arial" w:hAnsi="Arial" w:cs="Arial"/>
      <w:i/>
      <w:iCs/>
      <w:sz w:val="18"/>
      <w:szCs w:val="18"/>
    </w:rPr>
  </w:style>
  <w:style w:type="paragraph" w:customStyle="1" w:styleId="paraA0">
    <w:name w:val="paraA"/>
    <w:basedOn w:val="Normal"/>
    <w:rsid w:val="00A64257"/>
    <w:pPr>
      <w:spacing w:after="240" w:line="240" w:lineRule="auto"/>
    </w:pPr>
    <w:rPr>
      <w:rFonts w:ascii="Arial" w:hAnsi="Arial" w:cs="Arial"/>
      <w:sz w:val="18"/>
      <w:szCs w:val="18"/>
    </w:rPr>
  </w:style>
  <w:style w:type="paragraph" w:customStyle="1" w:styleId="Chatperno">
    <w:name w:val="Chatper_no"/>
    <w:basedOn w:val="Normal"/>
    <w:rsid w:val="00A64257"/>
    <w:pPr>
      <w:spacing w:after="240" w:line="240" w:lineRule="auto"/>
      <w:jc w:val="center"/>
    </w:pPr>
    <w:rPr>
      <w:rFonts w:ascii="Ottawa" w:hAnsi="Ottawa"/>
      <w:caps/>
      <w:spacing w:val="60"/>
    </w:rPr>
  </w:style>
  <w:style w:type="paragraph" w:customStyle="1" w:styleId="Chaptertitle">
    <w:name w:val="Chapter_title"/>
    <w:basedOn w:val="Normal"/>
    <w:rsid w:val="00A64257"/>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A64257"/>
    <w:pPr>
      <w:spacing w:before="1200"/>
    </w:pPr>
  </w:style>
  <w:style w:type="paragraph" w:customStyle="1" w:styleId="rtoiles">
    <w:name w:val="r_étoiles"/>
    <w:basedOn w:val="Normal"/>
    <w:next w:val="Normal"/>
    <w:rsid w:val="00A64257"/>
    <w:pPr>
      <w:keepLines/>
      <w:tabs>
        <w:tab w:val="clear" w:pos="-720"/>
      </w:tabs>
      <w:spacing w:before="240" w:after="240" w:line="240" w:lineRule="atLeast"/>
      <w:jc w:val="center"/>
    </w:pPr>
    <w:rPr>
      <w:lang w:val="fr-FR"/>
    </w:rPr>
  </w:style>
  <w:style w:type="character" w:styleId="Marquedecommentaire">
    <w:name w:val="annotation reference"/>
    <w:basedOn w:val="Policepardfaut"/>
    <w:semiHidden/>
    <w:rsid w:val="00A64257"/>
    <w:rPr>
      <w:sz w:val="16"/>
      <w:szCs w:val="16"/>
    </w:rPr>
  </w:style>
  <w:style w:type="paragraph" w:styleId="Commentaire">
    <w:name w:val="annotation text"/>
    <w:basedOn w:val="Normal"/>
    <w:link w:val="CommentaireCar"/>
    <w:semiHidden/>
    <w:rsid w:val="00A64257"/>
  </w:style>
  <w:style w:type="character" w:styleId="Numrodeligne">
    <w:name w:val="line number"/>
    <w:basedOn w:val="Policepardfaut"/>
    <w:rsid w:val="004C3E2A"/>
    <w:rPr>
      <w:rFonts w:ascii="Arial" w:hAnsi="Arial"/>
      <w:sz w:val="16"/>
    </w:rPr>
  </w:style>
  <w:style w:type="paragraph" w:styleId="Textedebulles">
    <w:name w:val="Balloon Text"/>
    <w:basedOn w:val="Normal"/>
    <w:semiHidden/>
    <w:rsid w:val="00A64257"/>
    <w:rPr>
      <w:rFonts w:ascii="Tahoma" w:hAnsi="Tahoma" w:cs="Tahoma"/>
      <w:sz w:val="16"/>
      <w:szCs w:val="16"/>
    </w:rPr>
  </w:style>
  <w:style w:type="paragraph" w:styleId="Objetducommentaire">
    <w:name w:val="annotation subject"/>
    <w:basedOn w:val="Commentaire"/>
    <w:next w:val="Commentaire"/>
    <w:semiHidden/>
    <w:rsid w:val="0019475C"/>
    <w:rPr>
      <w:b/>
      <w:bCs/>
    </w:rPr>
  </w:style>
  <w:style w:type="paragraph" w:customStyle="1" w:styleId="i">
    <w:name w:val="i)"/>
    <w:basedOn w:val="Normal"/>
    <w:qFormat/>
    <w:rsid w:val="009C17B7"/>
    <w:pPr>
      <w:spacing w:after="120" w:line="240" w:lineRule="auto"/>
      <w:ind w:left="1843" w:hanging="425"/>
    </w:pPr>
    <w:rPr>
      <w:rFonts w:ascii="Arial" w:hAnsi="Arial" w:cs="Arial"/>
      <w:sz w:val="18"/>
      <w:szCs w:val="18"/>
    </w:rPr>
  </w:style>
  <w:style w:type="paragraph" w:styleId="En-tte">
    <w:name w:val="header"/>
    <w:basedOn w:val="Normal"/>
    <w:link w:val="En-tteCar"/>
    <w:rsid w:val="00203ECC"/>
    <w:pPr>
      <w:tabs>
        <w:tab w:val="clear" w:pos="-720"/>
        <w:tab w:val="center" w:pos="4536"/>
        <w:tab w:val="right" w:pos="9072"/>
      </w:tabs>
    </w:pPr>
  </w:style>
  <w:style w:type="character" w:customStyle="1" w:styleId="En-tteCar">
    <w:name w:val="En-tête Car"/>
    <w:basedOn w:val="Policepardfaut"/>
    <w:link w:val="En-tte"/>
    <w:rsid w:val="00A778C6"/>
    <w:rPr>
      <w:lang w:eastAsia="fr-FR"/>
    </w:rPr>
  </w:style>
  <w:style w:type="paragraph" w:customStyle="1" w:styleId="TableHead">
    <w:name w:val="Table Head"/>
    <w:basedOn w:val="Normal"/>
    <w:rsid w:val="004C2386"/>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4C2386"/>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4C2386"/>
    <w:pPr>
      <w:tabs>
        <w:tab w:val="clear" w:pos="-720"/>
      </w:tabs>
      <w:spacing w:after="120" w:line="240" w:lineRule="auto"/>
      <w:jc w:val="center"/>
    </w:pPr>
    <w:rPr>
      <w:rFonts w:ascii="Ottawa" w:hAnsi="Ottawa" w:cs="Calibri"/>
      <w:b/>
      <w:bCs/>
      <w:i/>
      <w:sz w:val="18"/>
      <w:szCs w:val="22"/>
      <w:lang w:eastAsia="en-US" w:bidi="en-US"/>
    </w:rPr>
  </w:style>
  <w:style w:type="paragraph" w:styleId="Textebrut">
    <w:name w:val="Plain Text"/>
    <w:basedOn w:val="Normal"/>
    <w:link w:val="TextebrutCar"/>
    <w:uiPriority w:val="99"/>
    <w:unhideWhenUsed/>
    <w:rsid w:val="004C2386"/>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4C2386"/>
    <w:rPr>
      <w:rFonts w:ascii="Calibri" w:eastAsiaTheme="minorHAnsi" w:hAnsi="Calibri" w:cstheme="minorBidi"/>
      <w:sz w:val="22"/>
      <w:szCs w:val="21"/>
      <w:lang w:eastAsia="en-US"/>
    </w:rPr>
  </w:style>
  <w:style w:type="character" w:styleId="Lienhypertexte">
    <w:name w:val="Hyperlink"/>
    <w:basedOn w:val="Policepardfaut"/>
    <w:uiPriority w:val="99"/>
    <w:semiHidden/>
    <w:unhideWhenUsed/>
    <w:rsid w:val="00CA0317"/>
    <w:rPr>
      <w:color w:val="0000FF"/>
      <w:u w:val="single"/>
    </w:rPr>
  </w:style>
  <w:style w:type="character" w:customStyle="1" w:styleId="CommentaireCar">
    <w:name w:val="Commentaire Car"/>
    <w:basedOn w:val="Policepardfaut"/>
    <w:link w:val="Commentaire"/>
    <w:semiHidden/>
    <w:rsid w:val="00CA0317"/>
    <w:rPr>
      <w:lang w:eastAsia="fr-FR"/>
    </w:rPr>
  </w:style>
  <w:style w:type="paragraph" w:customStyle="1" w:styleId="11">
    <w:name w:val="1.1"/>
    <w:basedOn w:val="Normal"/>
    <w:qFormat/>
    <w:rsid w:val="00197475"/>
    <w:pPr>
      <w:tabs>
        <w:tab w:val="clear" w:pos="-720"/>
      </w:tabs>
      <w:spacing w:after="240" w:line="240" w:lineRule="auto"/>
      <w:ind w:left="850" w:hanging="425"/>
      <w:jc w:val="left"/>
    </w:pPr>
    <w:rPr>
      <w:rFonts w:ascii="Ottawa" w:eastAsiaTheme="minorHAnsi" w:hAnsi="Ottawa" w:cs="Arial"/>
      <w:b/>
      <w:sz w:val="20"/>
      <w:szCs w:val="22"/>
      <w:lang w:eastAsia="en-US"/>
    </w:rPr>
  </w:style>
  <w:style w:type="paragraph" w:customStyle="1" w:styleId="11Para">
    <w:name w:val="1.1_Para"/>
    <w:basedOn w:val="Normal"/>
    <w:qFormat/>
    <w:rsid w:val="00197475"/>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197475"/>
    <w:pPr>
      <w:tabs>
        <w:tab w:val="clear" w:pos="-720"/>
      </w:tabs>
      <w:spacing w:after="120" w:line="240" w:lineRule="auto"/>
      <w:ind w:left="1418" w:hanging="567"/>
      <w:jc w:val="left"/>
    </w:pPr>
    <w:rPr>
      <w:rFonts w:ascii="Ottawa" w:eastAsiaTheme="minorHAnsi" w:hAnsi="Ottawa" w:cs="Arial"/>
      <w:b/>
      <w:sz w:val="19"/>
      <w:szCs w:val="20"/>
      <w:lang w:eastAsia="en-US"/>
    </w:rPr>
  </w:style>
  <w:style w:type="paragraph" w:customStyle="1" w:styleId="111Para">
    <w:name w:val="1.1.1_Para"/>
    <w:basedOn w:val="Normal"/>
    <w:qFormat/>
    <w:rsid w:val="00197475"/>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197475"/>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197475"/>
    <w:pPr>
      <w:tabs>
        <w:tab w:val="clear" w:pos="-720"/>
      </w:tabs>
      <w:spacing w:after="120" w:line="240" w:lineRule="auto"/>
      <w:ind w:left="1843" w:hanging="425"/>
      <w:jc w:val="left"/>
    </w:pPr>
    <w:rPr>
      <w:rFonts w:ascii="Ottawa" w:eastAsiaTheme="minorHAnsi" w:hAnsi="Ottawa" w:cs="Arial"/>
      <w:b/>
      <w:sz w:val="18"/>
      <w:szCs w:val="20"/>
      <w:lang w:eastAsia="en-US"/>
    </w:rPr>
  </w:style>
  <w:style w:type="paragraph" w:customStyle="1" w:styleId="afourthpara">
    <w:name w:val="a)_fourth_para"/>
    <w:basedOn w:val="Normal"/>
    <w:qFormat/>
    <w:rsid w:val="00197475"/>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197475"/>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197475"/>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197475"/>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197475"/>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197475"/>
    <w:pPr>
      <w:spacing w:after="120"/>
      <w:ind w:hanging="425"/>
    </w:pPr>
  </w:style>
  <w:style w:type="character" w:styleId="Appelnotedebasdep">
    <w:name w:val="footnote reference"/>
    <w:semiHidden/>
    <w:rsid w:val="00EB088A"/>
    <w:rPr>
      <w:vertAlign w:val="superscript"/>
    </w:rPr>
  </w:style>
  <w:style w:type="paragraph" w:styleId="Notedebasdepage">
    <w:name w:val="footnote text"/>
    <w:basedOn w:val="Normal"/>
    <w:link w:val="NotedebasdepageCar"/>
    <w:semiHidden/>
    <w:rsid w:val="00EB088A"/>
    <w:pPr>
      <w:suppressAutoHyphens/>
    </w:pPr>
    <w:rPr>
      <w:sz w:val="20"/>
      <w:szCs w:val="20"/>
      <w:lang w:eastAsia="ar-SA"/>
    </w:rPr>
  </w:style>
  <w:style w:type="character" w:customStyle="1" w:styleId="NotedebasdepageCar">
    <w:name w:val="Note de bas de page Car"/>
    <w:basedOn w:val="Policepardfaut"/>
    <w:link w:val="Notedebasdepage"/>
    <w:semiHidden/>
    <w:rsid w:val="00EB088A"/>
    <w:rPr>
      <w:sz w:val="20"/>
      <w:szCs w:val="20"/>
      <w:lang w:eastAsia="ar-SA"/>
    </w:rPr>
  </w:style>
  <w:style w:type="character" w:customStyle="1" w:styleId="Titre1Car">
    <w:name w:val="Titre 1 Car"/>
    <w:basedOn w:val="Policepardfaut"/>
    <w:link w:val="Titre1"/>
    <w:rsid w:val="0081671A"/>
    <w:rPr>
      <w:rFonts w:ascii="Arial" w:hAnsi="Arial" w:cs="Arial"/>
      <w:b/>
      <w:bCs/>
      <w:u w:val="single"/>
      <w:lang w:eastAsia="ar-SA"/>
    </w:rPr>
  </w:style>
  <w:style w:type="paragraph" w:styleId="Corpsdetexte">
    <w:name w:val="Body Text"/>
    <w:basedOn w:val="Normal"/>
    <w:link w:val="CorpsdetexteCar"/>
    <w:rsid w:val="0081671A"/>
    <w:pPr>
      <w:widowControl w:val="0"/>
      <w:suppressAutoHyphens/>
      <w:spacing w:line="240" w:lineRule="auto"/>
      <w:jc w:val="left"/>
    </w:pPr>
    <w:rPr>
      <w:rFonts w:ascii="Courier New" w:hAnsi="Courier New" w:cs="Courier New"/>
      <w:b/>
      <w:bCs/>
      <w:lang w:eastAsia="ar-SA"/>
    </w:rPr>
  </w:style>
  <w:style w:type="character" w:customStyle="1" w:styleId="CorpsdetexteCar">
    <w:name w:val="Corps de texte Car"/>
    <w:basedOn w:val="Policepardfaut"/>
    <w:link w:val="Corpsdetexte"/>
    <w:rsid w:val="0081671A"/>
    <w:rPr>
      <w:rFonts w:ascii="Courier New" w:hAnsi="Courier New" w:cs="Courier New"/>
      <w:b/>
      <w:bCs/>
      <w:lang w:eastAsia="ar-SA"/>
    </w:rPr>
  </w:style>
  <w:style w:type="paragraph" w:styleId="Pieddepage">
    <w:name w:val="footer"/>
    <w:basedOn w:val="Normal"/>
    <w:link w:val="PieddepageCar"/>
    <w:uiPriority w:val="99"/>
    <w:unhideWhenUsed/>
    <w:rsid w:val="0081671A"/>
    <w:pPr>
      <w:tabs>
        <w:tab w:val="clear" w:pos="-720"/>
        <w:tab w:val="center" w:pos="4536"/>
        <w:tab w:val="right" w:pos="9072"/>
      </w:tabs>
      <w:spacing w:line="240" w:lineRule="auto"/>
    </w:pPr>
  </w:style>
  <w:style w:type="character" w:customStyle="1" w:styleId="PieddepageCar">
    <w:name w:val="Pied de page Car"/>
    <w:basedOn w:val="Policepardfaut"/>
    <w:link w:val="Pieddepage"/>
    <w:uiPriority w:val="99"/>
    <w:rsid w:val="0081671A"/>
    <w:rPr>
      <w:lang w:eastAsia="fr-FR"/>
    </w:rPr>
  </w:style>
  <w:style w:type="paragraph" w:customStyle="1" w:styleId="TITRE">
    <w:name w:val="TITRE"/>
    <w:basedOn w:val="Normal"/>
    <w:uiPriority w:val="99"/>
    <w:rsid w:val="007609B1"/>
    <w:pPr>
      <w:spacing w:after="240"/>
      <w:jc w:val="center"/>
    </w:pPr>
    <w:rPr>
      <w:b/>
      <w:bCs/>
      <w:caps/>
      <w:sz w:val="20"/>
      <w:szCs w:val="20"/>
    </w:rPr>
  </w:style>
  <w:style w:type="paragraph" w:styleId="Paragraphedeliste">
    <w:name w:val="List Paragraph"/>
    <w:basedOn w:val="Normal"/>
    <w:uiPriority w:val="34"/>
    <w:qFormat/>
    <w:rsid w:val="00D62BDA"/>
    <w:pPr>
      <w:ind w:left="720"/>
      <w:contextualSpacing/>
    </w:pPr>
  </w:style>
  <w:style w:type="paragraph" w:styleId="NormalWeb">
    <w:name w:val="Normal (Web)"/>
    <w:basedOn w:val="Normal"/>
    <w:uiPriority w:val="99"/>
    <w:semiHidden/>
    <w:unhideWhenUsed/>
    <w:rsid w:val="00ED1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345619">
      <w:bodyDiv w:val="1"/>
      <w:marLeft w:val="0"/>
      <w:marRight w:val="0"/>
      <w:marTop w:val="0"/>
      <w:marBottom w:val="0"/>
      <w:divBdr>
        <w:top w:val="none" w:sz="0" w:space="0" w:color="auto"/>
        <w:left w:val="none" w:sz="0" w:space="0" w:color="auto"/>
        <w:bottom w:val="none" w:sz="0" w:space="0" w:color="auto"/>
        <w:right w:val="none" w:sz="0" w:space="0" w:color="auto"/>
      </w:divBdr>
      <w:divsChild>
        <w:div w:id="1581522627">
          <w:marLeft w:val="0"/>
          <w:marRight w:val="0"/>
          <w:marTop w:val="0"/>
          <w:marBottom w:val="0"/>
          <w:divBdr>
            <w:top w:val="none" w:sz="0" w:space="0" w:color="auto"/>
            <w:left w:val="none" w:sz="0" w:space="0" w:color="auto"/>
            <w:bottom w:val="none" w:sz="0" w:space="0" w:color="auto"/>
            <w:right w:val="none" w:sz="0" w:space="0" w:color="auto"/>
          </w:divBdr>
          <w:divsChild>
            <w:div w:id="1915237168">
              <w:marLeft w:val="0"/>
              <w:marRight w:val="0"/>
              <w:marTop w:val="0"/>
              <w:marBottom w:val="0"/>
              <w:divBdr>
                <w:top w:val="none" w:sz="0" w:space="0" w:color="auto"/>
                <w:left w:val="none" w:sz="0" w:space="0" w:color="auto"/>
                <w:bottom w:val="none" w:sz="0" w:space="0" w:color="auto"/>
                <w:right w:val="none" w:sz="0" w:space="0" w:color="auto"/>
              </w:divBdr>
              <w:divsChild>
                <w:div w:id="1569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15754">
      <w:bodyDiv w:val="1"/>
      <w:marLeft w:val="0"/>
      <w:marRight w:val="0"/>
      <w:marTop w:val="0"/>
      <w:marBottom w:val="0"/>
      <w:divBdr>
        <w:top w:val="none" w:sz="0" w:space="0" w:color="auto"/>
        <w:left w:val="none" w:sz="0" w:space="0" w:color="auto"/>
        <w:bottom w:val="none" w:sz="0" w:space="0" w:color="auto"/>
        <w:right w:val="none" w:sz="0" w:space="0" w:color="auto"/>
      </w:divBdr>
      <w:divsChild>
        <w:div w:id="185368407">
          <w:marLeft w:val="0"/>
          <w:marRight w:val="0"/>
          <w:marTop w:val="0"/>
          <w:marBottom w:val="0"/>
          <w:divBdr>
            <w:top w:val="none" w:sz="0" w:space="0" w:color="auto"/>
            <w:left w:val="none" w:sz="0" w:space="0" w:color="auto"/>
            <w:bottom w:val="none" w:sz="0" w:space="0" w:color="auto"/>
            <w:right w:val="none" w:sz="0" w:space="0" w:color="auto"/>
          </w:divBdr>
          <w:divsChild>
            <w:div w:id="860751142">
              <w:marLeft w:val="0"/>
              <w:marRight w:val="0"/>
              <w:marTop w:val="0"/>
              <w:marBottom w:val="0"/>
              <w:divBdr>
                <w:top w:val="none" w:sz="0" w:space="0" w:color="auto"/>
                <w:left w:val="none" w:sz="0" w:space="0" w:color="auto"/>
                <w:bottom w:val="none" w:sz="0" w:space="0" w:color="auto"/>
                <w:right w:val="none" w:sz="0" w:space="0" w:color="auto"/>
              </w:divBdr>
              <w:divsChild>
                <w:div w:id="18745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751030">
      <w:bodyDiv w:val="1"/>
      <w:marLeft w:val="0"/>
      <w:marRight w:val="0"/>
      <w:marTop w:val="0"/>
      <w:marBottom w:val="0"/>
      <w:divBdr>
        <w:top w:val="none" w:sz="0" w:space="0" w:color="auto"/>
        <w:left w:val="none" w:sz="0" w:space="0" w:color="auto"/>
        <w:bottom w:val="none" w:sz="0" w:space="0" w:color="auto"/>
        <w:right w:val="none" w:sz="0" w:space="0" w:color="auto"/>
      </w:divBdr>
      <w:divsChild>
        <w:div w:id="1492915451">
          <w:marLeft w:val="0"/>
          <w:marRight w:val="0"/>
          <w:marTop w:val="0"/>
          <w:marBottom w:val="0"/>
          <w:divBdr>
            <w:top w:val="none" w:sz="0" w:space="0" w:color="auto"/>
            <w:left w:val="none" w:sz="0" w:space="0" w:color="auto"/>
            <w:bottom w:val="none" w:sz="0" w:space="0" w:color="auto"/>
            <w:right w:val="none" w:sz="0" w:space="0" w:color="auto"/>
          </w:divBdr>
          <w:divsChild>
            <w:div w:id="1557084069">
              <w:marLeft w:val="0"/>
              <w:marRight w:val="0"/>
              <w:marTop w:val="0"/>
              <w:marBottom w:val="0"/>
              <w:divBdr>
                <w:top w:val="none" w:sz="0" w:space="0" w:color="auto"/>
                <w:left w:val="none" w:sz="0" w:space="0" w:color="auto"/>
                <w:bottom w:val="none" w:sz="0" w:space="0" w:color="auto"/>
                <w:right w:val="none" w:sz="0" w:space="0" w:color="auto"/>
              </w:divBdr>
              <w:divsChild>
                <w:div w:id="7251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6E519-931A-4B03-9CE8-3ABFF8346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7560</Words>
  <Characters>41585</Characters>
  <Application>Microsoft Office Word</Application>
  <DocSecurity>0</DocSecurity>
  <Lines>346</Lines>
  <Paragraphs>98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CHAPTER 2</vt:lpstr>
      <vt:lpstr>CHAPTER 2</vt:lpstr>
    </vt:vector>
  </TitlesOfParts>
  <Company>University of Liverpool</Company>
  <LinksUpToDate>false</LinksUpToDate>
  <CharactersWithSpaces>49047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Dick Jones</dc:creator>
  <cp:lastModifiedBy>Sara Linnane</cp:lastModifiedBy>
  <cp:revision>3</cp:revision>
  <cp:lastPrinted>2016-06-09T14:37:00Z</cp:lastPrinted>
  <dcterms:created xsi:type="dcterms:W3CDTF">2020-03-20T09:36:00Z</dcterms:created>
  <dcterms:modified xsi:type="dcterms:W3CDTF">2020-03-20T09:36:00Z</dcterms:modified>
</cp:coreProperties>
</file>