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1DF" w:rsidRPr="00CE2F30" w:rsidRDefault="005111DF" w:rsidP="005111DF">
      <w:pPr>
        <w:spacing w:line="360" w:lineRule="auto"/>
        <w:jc w:val="center"/>
        <w:outlineLvl w:val="1"/>
        <w:rPr>
          <w:rFonts w:eastAsia="黑体" w:hint="eastAsia"/>
          <w:sz w:val="30"/>
          <w:szCs w:val="30"/>
        </w:rPr>
      </w:pPr>
      <w:bookmarkStart w:id="0" w:name="_Toc308442124"/>
      <w:bookmarkStart w:id="1" w:name="_GoBack"/>
      <w:r w:rsidRPr="00CE2F30">
        <w:rPr>
          <w:rFonts w:eastAsia="黑体" w:hint="eastAsia"/>
          <w:sz w:val="30"/>
          <w:szCs w:val="30"/>
        </w:rPr>
        <w:t>兽用中药、天然药物稳定性试验技术指导原则</w:t>
      </w:r>
      <w:bookmarkEnd w:id="0"/>
    </w:p>
    <w:bookmarkEnd w:id="1"/>
    <w:p w:rsidR="005111DF" w:rsidRPr="00CE2F30" w:rsidRDefault="005111DF" w:rsidP="005111DF">
      <w:pPr>
        <w:keepNext/>
        <w:keepLines/>
        <w:spacing w:line="360" w:lineRule="auto"/>
        <w:outlineLvl w:val="2"/>
        <w:rPr>
          <w:rFonts w:ascii="黑体" w:eastAsia="黑体"/>
          <w:bCs/>
          <w:szCs w:val="21"/>
        </w:rPr>
      </w:pPr>
      <w:r w:rsidRPr="00CE2F30">
        <w:rPr>
          <w:rFonts w:ascii="黑体" w:eastAsia="黑体" w:hint="eastAsia"/>
          <w:bCs/>
          <w:szCs w:val="21"/>
        </w:rPr>
        <w:t>一、概述</w:t>
      </w:r>
    </w:p>
    <w:p w:rsidR="005111DF" w:rsidRPr="00CE2F30" w:rsidRDefault="005111DF" w:rsidP="005111DF">
      <w:pPr>
        <w:spacing w:beforeLines="50" w:before="156" w:line="360" w:lineRule="auto"/>
        <w:ind w:firstLineChars="200" w:firstLine="420"/>
        <w:rPr>
          <w:rFonts w:hint="eastAsia"/>
          <w:szCs w:val="21"/>
        </w:rPr>
      </w:pPr>
      <w:r w:rsidRPr="00CE2F30">
        <w:rPr>
          <w:rFonts w:hint="eastAsia"/>
          <w:szCs w:val="21"/>
        </w:rPr>
        <w:t>稳定性试验是考察药物在温度、湿度、光线、微生物的影响下随时间变化的规律，目的是为中药、天然药物制剂的生产、包装、贮存、运输条件以及最终药品有效期的确定提供科学依据。</w:t>
      </w:r>
    </w:p>
    <w:p w:rsidR="005111DF" w:rsidRPr="00CE2F30" w:rsidRDefault="005111DF" w:rsidP="005111DF">
      <w:pPr>
        <w:spacing w:beforeLines="50" w:before="156" w:line="360" w:lineRule="auto"/>
        <w:ind w:firstLineChars="200" w:firstLine="420"/>
        <w:rPr>
          <w:szCs w:val="21"/>
        </w:rPr>
      </w:pPr>
      <w:r w:rsidRPr="00CE2F30">
        <w:rPr>
          <w:rFonts w:hint="eastAsia"/>
          <w:szCs w:val="21"/>
        </w:rPr>
        <w:t>稳定性试验包括加速试验与长期试验。加速试验与长期试验要求用三批</w:t>
      </w:r>
      <w:proofErr w:type="gramStart"/>
      <w:r w:rsidRPr="00CE2F30">
        <w:rPr>
          <w:rFonts w:hint="eastAsia"/>
          <w:szCs w:val="21"/>
        </w:rPr>
        <w:t>供试品进行</w:t>
      </w:r>
      <w:proofErr w:type="gramEnd"/>
      <w:r w:rsidRPr="00CE2F30">
        <w:rPr>
          <w:rFonts w:hint="eastAsia"/>
          <w:szCs w:val="21"/>
        </w:rPr>
        <w:t>。</w:t>
      </w:r>
    </w:p>
    <w:p w:rsidR="005111DF" w:rsidRPr="00CE2F30" w:rsidRDefault="005111DF" w:rsidP="005111DF">
      <w:pPr>
        <w:spacing w:beforeLines="50" w:before="156" w:line="360" w:lineRule="auto"/>
        <w:ind w:firstLineChars="200" w:firstLine="420"/>
        <w:rPr>
          <w:szCs w:val="21"/>
        </w:rPr>
      </w:pPr>
      <w:r w:rsidRPr="00CE2F30">
        <w:rPr>
          <w:rFonts w:hint="eastAsia"/>
          <w:szCs w:val="21"/>
        </w:rPr>
        <w:t>中药制剂的</w:t>
      </w:r>
      <w:proofErr w:type="gramStart"/>
      <w:r w:rsidRPr="00CE2F30">
        <w:rPr>
          <w:rFonts w:hint="eastAsia"/>
          <w:szCs w:val="21"/>
        </w:rPr>
        <w:t>供试品应</w:t>
      </w:r>
      <w:proofErr w:type="gramEnd"/>
      <w:r w:rsidRPr="00CE2F30">
        <w:rPr>
          <w:rFonts w:hint="eastAsia"/>
          <w:szCs w:val="21"/>
        </w:rPr>
        <w:t>是放大试验的产品，其处方与工艺应与大生产一致。每批放大试验应达到一定的规模，如片剂</w:t>
      </w:r>
      <w:r w:rsidRPr="00CE2F30">
        <w:rPr>
          <w:szCs w:val="21"/>
        </w:rPr>
        <w:t>10000</w:t>
      </w:r>
      <w:r w:rsidRPr="00CE2F30">
        <w:rPr>
          <w:rFonts w:hint="eastAsia"/>
          <w:szCs w:val="21"/>
        </w:rPr>
        <w:t>片以上，大体积包装的制剂（如静脉输液、口服液等）每批放大规模的数量至少应为各项试验所需总量的</w:t>
      </w:r>
      <w:r w:rsidRPr="00CE2F30">
        <w:rPr>
          <w:szCs w:val="21"/>
        </w:rPr>
        <w:t>10</w:t>
      </w:r>
      <w:r w:rsidRPr="00CE2F30">
        <w:rPr>
          <w:rFonts w:hint="eastAsia"/>
          <w:szCs w:val="21"/>
        </w:rPr>
        <w:t>倍。特殊品种、特殊剂型所需数量，根据情况，灵活掌握。</w:t>
      </w:r>
    </w:p>
    <w:p w:rsidR="005111DF" w:rsidRPr="00CE2F30" w:rsidRDefault="005111DF" w:rsidP="005111DF">
      <w:pPr>
        <w:spacing w:beforeLines="50" w:before="156" w:line="360" w:lineRule="auto"/>
        <w:ind w:firstLineChars="200" w:firstLine="420"/>
        <w:rPr>
          <w:szCs w:val="21"/>
        </w:rPr>
      </w:pPr>
      <w:proofErr w:type="gramStart"/>
      <w:r w:rsidRPr="00CE2F30">
        <w:rPr>
          <w:rFonts w:hint="eastAsia"/>
          <w:szCs w:val="21"/>
        </w:rPr>
        <w:t>供试品的</w:t>
      </w:r>
      <w:proofErr w:type="gramEnd"/>
      <w:r w:rsidRPr="00CE2F30">
        <w:rPr>
          <w:rFonts w:hint="eastAsia"/>
          <w:szCs w:val="21"/>
        </w:rPr>
        <w:t>质量标准应与各项基础研究及临床验证所使用的</w:t>
      </w:r>
      <w:proofErr w:type="gramStart"/>
      <w:r w:rsidRPr="00CE2F30">
        <w:rPr>
          <w:rFonts w:hint="eastAsia"/>
          <w:szCs w:val="21"/>
        </w:rPr>
        <w:t>供试品质量标准</w:t>
      </w:r>
      <w:proofErr w:type="gramEnd"/>
      <w:r w:rsidRPr="00CE2F30">
        <w:rPr>
          <w:rFonts w:hint="eastAsia"/>
          <w:szCs w:val="21"/>
        </w:rPr>
        <w:t>一致。</w:t>
      </w:r>
    </w:p>
    <w:p w:rsidR="005111DF" w:rsidRPr="00CE2F30" w:rsidRDefault="005111DF" w:rsidP="005111DF">
      <w:pPr>
        <w:spacing w:beforeLines="50" w:before="156" w:line="360" w:lineRule="auto"/>
        <w:ind w:firstLineChars="200" w:firstLine="420"/>
        <w:rPr>
          <w:szCs w:val="21"/>
        </w:rPr>
      </w:pPr>
      <w:r w:rsidRPr="00CE2F30">
        <w:rPr>
          <w:rFonts w:hint="eastAsia"/>
          <w:szCs w:val="21"/>
        </w:rPr>
        <w:t>加速试验与长期试验所用</w:t>
      </w:r>
      <w:proofErr w:type="gramStart"/>
      <w:r w:rsidRPr="00CE2F30">
        <w:rPr>
          <w:rFonts w:hint="eastAsia"/>
          <w:szCs w:val="21"/>
        </w:rPr>
        <w:t>供试品的</w:t>
      </w:r>
      <w:proofErr w:type="gramEnd"/>
      <w:r w:rsidRPr="00CE2F30">
        <w:rPr>
          <w:rFonts w:hint="eastAsia"/>
          <w:szCs w:val="21"/>
        </w:rPr>
        <w:t>容器和包装材料及包装方式应与上市产品一致。</w:t>
      </w:r>
    </w:p>
    <w:p w:rsidR="005111DF" w:rsidRPr="00CE2F30" w:rsidRDefault="005111DF" w:rsidP="005111DF">
      <w:pPr>
        <w:spacing w:beforeLines="50" w:before="156" w:line="360" w:lineRule="auto"/>
        <w:ind w:firstLineChars="200" w:firstLine="420"/>
        <w:rPr>
          <w:szCs w:val="21"/>
        </w:rPr>
      </w:pPr>
      <w:r w:rsidRPr="00CE2F30">
        <w:rPr>
          <w:rFonts w:hint="eastAsia"/>
          <w:szCs w:val="21"/>
        </w:rPr>
        <w:t>研究中药、天然药物的稳定性，要采用专属性强、准确、精密、灵敏的分析方法并对方法进行验证，以保证稳定性试验结果的可靠性。</w:t>
      </w:r>
    </w:p>
    <w:p w:rsidR="005111DF" w:rsidRPr="00CE2F30" w:rsidRDefault="005111DF" w:rsidP="005111DF">
      <w:pPr>
        <w:spacing w:beforeLines="50" w:before="156" w:line="360" w:lineRule="auto"/>
        <w:ind w:firstLineChars="200" w:firstLine="420"/>
        <w:rPr>
          <w:szCs w:val="21"/>
        </w:rPr>
      </w:pPr>
      <w:r w:rsidRPr="00CE2F30">
        <w:rPr>
          <w:rFonts w:hint="eastAsia"/>
          <w:szCs w:val="21"/>
        </w:rPr>
        <w:t>由于放大试验比大规模生产的数量要小，故申报者应在获得批准后，从放大试验转入大规模生产时，对最初通过生产验证的三批大规模生产的产品仍需进行加速试验与长期稳定性试验。</w:t>
      </w:r>
    </w:p>
    <w:p w:rsidR="005111DF" w:rsidRPr="00CE2F30" w:rsidRDefault="005111DF" w:rsidP="005111DF">
      <w:pPr>
        <w:keepNext/>
        <w:keepLines/>
        <w:spacing w:line="360" w:lineRule="auto"/>
        <w:outlineLvl w:val="2"/>
        <w:rPr>
          <w:rFonts w:ascii="黑体" w:eastAsia="黑体"/>
          <w:bCs/>
          <w:szCs w:val="21"/>
        </w:rPr>
      </w:pPr>
      <w:r w:rsidRPr="00CE2F30">
        <w:rPr>
          <w:rFonts w:ascii="黑体" w:eastAsia="黑体" w:hint="eastAsia"/>
          <w:bCs/>
          <w:szCs w:val="21"/>
        </w:rPr>
        <w:t>二、加速试验</w:t>
      </w:r>
    </w:p>
    <w:p w:rsidR="005111DF" w:rsidRPr="00CE2F30" w:rsidRDefault="005111DF" w:rsidP="005111DF">
      <w:pPr>
        <w:spacing w:beforeLines="50" w:before="156" w:line="360" w:lineRule="auto"/>
        <w:rPr>
          <w:rFonts w:hint="eastAsia"/>
          <w:szCs w:val="21"/>
        </w:rPr>
      </w:pPr>
      <w:r w:rsidRPr="00CE2F30">
        <w:rPr>
          <w:szCs w:val="21"/>
        </w:rPr>
        <w:t xml:space="preserve">    </w:t>
      </w:r>
      <w:r w:rsidRPr="00CE2F30">
        <w:rPr>
          <w:rFonts w:hint="eastAsia"/>
          <w:szCs w:val="21"/>
        </w:rPr>
        <w:t>此项试验是在超常的条件下进行，其目的是通过加速中药、天然药物的化学或物理变化，探讨其稳定性，为中药、天然药物制剂的审评、工艺改进、包装、运输及贮存提供必要的资料。</w:t>
      </w:r>
      <w:proofErr w:type="gramStart"/>
      <w:r w:rsidRPr="00CE2F30">
        <w:rPr>
          <w:rFonts w:hint="eastAsia"/>
          <w:szCs w:val="21"/>
        </w:rPr>
        <w:t>供试品要求</w:t>
      </w:r>
      <w:proofErr w:type="gramEnd"/>
      <w:r w:rsidRPr="00CE2F30">
        <w:rPr>
          <w:szCs w:val="21"/>
        </w:rPr>
        <w:t>3</w:t>
      </w:r>
      <w:r w:rsidRPr="00CE2F30">
        <w:rPr>
          <w:rFonts w:hint="eastAsia"/>
          <w:szCs w:val="21"/>
        </w:rPr>
        <w:t>批，按市售包装，在温度</w:t>
      </w:r>
      <w:smartTag w:uri="urn:schemas-microsoft-com:office:smarttags" w:element="chmetcnv">
        <w:smartTagPr>
          <w:attr w:name="TCSC" w:val="0"/>
          <w:attr w:name="NumberType" w:val="1"/>
          <w:attr w:name="Negative" w:val="False"/>
          <w:attr w:name="HasSpace" w:val="False"/>
          <w:attr w:name="SourceValue" w:val="40"/>
          <w:attr w:name="UnitName" w:val="℃"/>
        </w:smartTagPr>
        <w:r w:rsidRPr="00CE2F30">
          <w:rPr>
            <w:szCs w:val="21"/>
          </w:rPr>
          <w:t>40</w:t>
        </w:r>
        <w:r w:rsidRPr="00CE2F30">
          <w:rPr>
            <w:rFonts w:hint="eastAsia"/>
            <w:szCs w:val="21"/>
          </w:rPr>
          <w:t>℃</w:t>
        </w:r>
      </w:smartTag>
      <w:r w:rsidRPr="00CE2F30">
        <w:rPr>
          <w:rFonts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CE2F30">
          <w:rPr>
            <w:szCs w:val="21"/>
          </w:rPr>
          <w:t>2</w:t>
        </w:r>
        <w:r w:rsidRPr="00CE2F30">
          <w:rPr>
            <w:rFonts w:hint="eastAsia"/>
            <w:szCs w:val="21"/>
          </w:rPr>
          <w:t>℃</w:t>
        </w:r>
      </w:smartTag>
      <w:r w:rsidRPr="00CE2F30">
        <w:rPr>
          <w:rFonts w:hint="eastAsia"/>
          <w:szCs w:val="21"/>
        </w:rPr>
        <w:t>，相对湿度</w:t>
      </w:r>
      <w:r w:rsidRPr="00CE2F30">
        <w:rPr>
          <w:szCs w:val="21"/>
        </w:rPr>
        <w:t>75%</w:t>
      </w:r>
      <w:r w:rsidRPr="00CE2F30">
        <w:rPr>
          <w:rFonts w:hint="eastAsia"/>
          <w:szCs w:val="21"/>
        </w:rPr>
        <w:t>±</w:t>
      </w:r>
      <w:r w:rsidRPr="00CE2F30">
        <w:rPr>
          <w:szCs w:val="21"/>
        </w:rPr>
        <w:t>5%</w:t>
      </w:r>
      <w:r w:rsidRPr="00CE2F30">
        <w:rPr>
          <w:rFonts w:hint="eastAsia"/>
          <w:szCs w:val="21"/>
        </w:rPr>
        <w:t>的条件下放置</w:t>
      </w:r>
      <w:r w:rsidRPr="00CE2F30">
        <w:rPr>
          <w:szCs w:val="21"/>
        </w:rPr>
        <w:t>6</w:t>
      </w:r>
      <w:r w:rsidRPr="00CE2F30">
        <w:rPr>
          <w:rFonts w:hint="eastAsia"/>
          <w:szCs w:val="21"/>
        </w:rPr>
        <w:t>个月。所用设备应能控制温度±</w:t>
      </w:r>
      <w:smartTag w:uri="urn:schemas-microsoft-com:office:smarttags" w:element="chmetcnv">
        <w:smartTagPr>
          <w:attr w:name="TCSC" w:val="0"/>
          <w:attr w:name="NumberType" w:val="1"/>
          <w:attr w:name="Negative" w:val="False"/>
          <w:attr w:name="HasSpace" w:val="False"/>
          <w:attr w:name="SourceValue" w:val="2"/>
          <w:attr w:name="UnitName" w:val="℃"/>
        </w:smartTagPr>
        <w:r w:rsidRPr="00CE2F30">
          <w:rPr>
            <w:szCs w:val="21"/>
          </w:rPr>
          <w:t>2</w:t>
        </w:r>
        <w:r w:rsidRPr="00CE2F30">
          <w:rPr>
            <w:rFonts w:hint="eastAsia"/>
            <w:szCs w:val="21"/>
          </w:rPr>
          <w:t>℃</w:t>
        </w:r>
      </w:smartTag>
      <w:r w:rsidRPr="00CE2F30">
        <w:rPr>
          <w:rFonts w:hint="eastAsia"/>
          <w:szCs w:val="21"/>
        </w:rPr>
        <w:t>，相对湿度±</w:t>
      </w:r>
      <w:r w:rsidRPr="00CE2F30">
        <w:rPr>
          <w:szCs w:val="21"/>
        </w:rPr>
        <w:t>5%</w:t>
      </w:r>
      <w:r w:rsidRPr="00CE2F30">
        <w:rPr>
          <w:rFonts w:hint="eastAsia"/>
          <w:szCs w:val="21"/>
        </w:rPr>
        <w:t>，并能对真实温度与湿度进行监测。在试验期间第</w:t>
      </w:r>
      <w:r w:rsidRPr="00CE2F30">
        <w:rPr>
          <w:szCs w:val="21"/>
        </w:rPr>
        <w:t>1</w:t>
      </w:r>
      <w:r w:rsidRPr="00CE2F30">
        <w:rPr>
          <w:rFonts w:hint="eastAsia"/>
          <w:szCs w:val="21"/>
        </w:rPr>
        <w:t>个月、</w:t>
      </w:r>
      <w:r w:rsidRPr="00CE2F30">
        <w:rPr>
          <w:szCs w:val="21"/>
        </w:rPr>
        <w:t>2</w:t>
      </w:r>
      <w:r w:rsidRPr="00CE2F30">
        <w:rPr>
          <w:rFonts w:hint="eastAsia"/>
          <w:szCs w:val="21"/>
        </w:rPr>
        <w:t>个月、</w:t>
      </w:r>
      <w:r w:rsidRPr="00CE2F30">
        <w:rPr>
          <w:szCs w:val="21"/>
        </w:rPr>
        <w:t>3</w:t>
      </w:r>
      <w:r w:rsidRPr="00CE2F30">
        <w:rPr>
          <w:rFonts w:hint="eastAsia"/>
          <w:szCs w:val="21"/>
        </w:rPr>
        <w:t>个月、</w:t>
      </w:r>
      <w:r w:rsidRPr="00CE2F30">
        <w:rPr>
          <w:szCs w:val="21"/>
        </w:rPr>
        <w:t>6</w:t>
      </w:r>
      <w:r w:rsidRPr="00CE2F30">
        <w:rPr>
          <w:rFonts w:hint="eastAsia"/>
          <w:szCs w:val="21"/>
        </w:rPr>
        <w:t>个月末各取样一次，按稳定性重点考察项目检测。在上述条件下，如</w:t>
      </w:r>
      <w:r w:rsidRPr="00CE2F30">
        <w:rPr>
          <w:szCs w:val="21"/>
        </w:rPr>
        <w:t>6</w:t>
      </w:r>
      <w:r w:rsidRPr="00CE2F30">
        <w:rPr>
          <w:rFonts w:hint="eastAsia"/>
          <w:szCs w:val="21"/>
        </w:rPr>
        <w:t>个月内</w:t>
      </w:r>
      <w:proofErr w:type="gramStart"/>
      <w:r w:rsidRPr="00CE2F30">
        <w:rPr>
          <w:rFonts w:hint="eastAsia"/>
          <w:szCs w:val="21"/>
        </w:rPr>
        <w:t>供试品经</w:t>
      </w:r>
      <w:proofErr w:type="gramEnd"/>
      <w:r w:rsidRPr="00CE2F30">
        <w:rPr>
          <w:rFonts w:hint="eastAsia"/>
          <w:szCs w:val="21"/>
        </w:rPr>
        <w:t>检测不符合制订的质量标准，则应在中间条件下即温度</w:t>
      </w:r>
      <w:smartTag w:uri="urn:schemas-microsoft-com:office:smarttags" w:element="chmetcnv">
        <w:smartTagPr>
          <w:attr w:name="TCSC" w:val="0"/>
          <w:attr w:name="NumberType" w:val="1"/>
          <w:attr w:name="Negative" w:val="False"/>
          <w:attr w:name="HasSpace" w:val="False"/>
          <w:attr w:name="SourceValue" w:val="30"/>
          <w:attr w:name="UnitName" w:val="℃"/>
        </w:smartTagPr>
        <w:r w:rsidRPr="00CE2F30">
          <w:rPr>
            <w:szCs w:val="21"/>
          </w:rPr>
          <w:t>30</w:t>
        </w:r>
        <w:r w:rsidRPr="00CE2F30">
          <w:rPr>
            <w:rFonts w:hint="eastAsia"/>
            <w:szCs w:val="21"/>
          </w:rPr>
          <w:t>℃</w:t>
        </w:r>
      </w:smartTag>
      <w:r w:rsidRPr="00CE2F30">
        <w:rPr>
          <w:rFonts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CE2F30">
          <w:rPr>
            <w:szCs w:val="21"/>
          </w:rPr>
          <w:t>2</w:t>
        </w:r>
        <w:r w:rsidRPr="00CE2F30">
          <w:rPr>
            <w:rFonts w:hint="eastAsia"/>
            <w:szCs w:val="21"/>
          </w:rPr>
          <w:t>℃</w:t>
        </w:r>
      </w:smartTag>
      <w:r w:rsidRPr="00CE2F30">
        <w:rPr>
          <w:rFonts w:hint="eastAsia"/>
          <w:szCs w:val="21"/>
        </w:rPr>
        <w:t>，相对湿度</w:t>
      </w:r>
      <w:r w:rsidRPr="00CE2F30">
        <w:rPr>
          <w:szCs w:val="21"/>
        </w:rPr>
        <w:t>60%</w:t>
      </w:r>
      <w:r w:rsidRPr="00CE2F30">
        <w:rPr>
          <w:rFonts w:hint="eastAsia"/>
          <w:szCs w:val="21"/>
        </w:rPr>
        <w:t>±</w:t>
      </w:r>
      <w:r w:rsidRPr="00CE2F30">
        <w:rPr>
          <w:szCs w:val="21"/>
        </w:rPr>
        <w:t>5%</w:t>
      </w:r>
      <w:r w:rsidRPr="00CE2F30">
        <w:rPr>
          <w:rFonts w:hint="eastAsia"/>
          <w:szCs w:val="21"/>
        </w:rPr>
        <w:t>的情况下进行加速试验，时间仍为</w:t>
      </w:r>
      <w:r w:rsidRPr="00CE2F30">
        <w:rPr>
          <w:szCs w:val="21"/>
        </w:rPr>
        <w:t>6</w:t>
      </w:r>
      <w:r w:rsidRPr="00CE2F30">
        <w:rPr>
          <w:rFonts w:hint="eastAsia"/>
          <w:szCs w:val="21"/>
        </w:rPr>
        <w:t>个月。合剂、流浸膏剂、注射液等含水性介质的制剂可不要求相对湿度。加速试验，建议采用隔水式电热恒温培养箱（</w:t>
      </w:r>
      <w:r w:rsidRPr="00CE2F30">
        <w:rPr>
          <w:szCs w:val="21"/>
        </w:rPr>
        <w:t>20</w:t>
      </w:r>
      <w:r w:rsidRPr="00CE2F30">
        <w:rPr>
          <w:rFonts w:hint="eastAsia"/>
          <w:szCs w:val="21"/>
        </w:rPr>
        <w:t>～</w:t>
      </w:r>
      <w:smartTag w:uri="urn:schemas-microsoft-com:office:smarttags" w:element="chmetcnv">
        <w:smartTagPr>
          <w:attr w:name="TCSC" w:val="0"/>
          <w:attr w:name="NumberType" w:val="1"/>
          <w:attr w:name="Negative" w:val="False"/>
          <w:attr w:name="HasSpace" w:val="False"/>
          <w:attr w:name="SourceValue" w:val="60"/>
          <w:attr w:name="UnitName" w:val="℃"/>
        </w:smartTagPr>
        <w:r w:rsidRPr="00CE2F30">
          <w:rPr>
            <w:szCs w:val="21"/>
          </w:rPr>
          <w:t>60</w:t>
        </w:r>
        <w:r w:rsidRPr="00CE2F30">
          <w:rPr>
            <w:rFonts w:hint="eastAsia"/>
            <w:szCs w:val="21"/>
          </w:rPr>
          <w:t>℃</w:t>
        </w:r>
      </w:smartTag>
      <w:r w:rsidRPr="00CE2F30">
        <w:rPr>
          <w:rFonts w:hint="eastAsia"/>
          <w:szCs w:val="21"/>
        </w:rPr>
        <w:t>）。箱内放置具有一定相对湿度饱和盐溶液的干燥器，设备应能控制所需的温度，</w:t>
      </w:r>
      <w:r w:rsidRPr="00CE2F30">
        <w:rPr>
          <w:rFonts w:hint="eastAsia"/>
          <w:szCs w:val="21"/>
        </w:rPr>
        <w:lastRenderedPageBreak/>
        <w:t>且设备内各部分温度应该均匀，并适合长期使用。也可采用恒湿恒温箱或其他适宜设备。</w:t>
      </w:r>
    </w:p>
    <w:p w:rsidR="005111DF" w:rsidRPr="00CE2F30" w:rsidRDefault="005111DF" w:rsidP="005111DF">
      <w:pPr>
        <w:spacing w:beforeLines="50" w:before="156" w:line="360" w:lineRule="auto"/>
        <w:rPr>
          <w:szCs w:val="21"/>
        </w:rPr>
      </w:pPr>
      <w:r w:rsidRPr="00CE2F30">
        <w:rPr>
          <w:szCs w:val="21"/>
        </w:rPr>
        <w:t xml:space="preserve">    </w:t>
      </w:r>
      <w:r w:rsidRPr="00CE2F30">
        <w:rPr>
          <w:rFonts w:hint="eastAsia"/>
          <w:szCs w:val="21"/>
        </w:rPr>
        <w:t>对温度特别敏感的中药、天然药物制剂，预计只能在冰箱（</w:t>
      </w:r>
      <w:r w:rsidRPr="00CE2F30">
        <w:rPr>
          <w:szCs w:val="21"/>
        </w:rPr>
        <w:t>4</w:t>
      </w:r>
      <w:r w:rsidRPr="00CE2F30">
        <w:rPr>
          <w:rFonts w:hint="eastAsia"/>
          <w:szCs w:val="21"/>
        </w:rPr>
        <w:t>～</w:t>
      </w:r>
      <w:smartTag w:uri="urn:schemas-microsoft-com:office:smarttags" w:element="chmetcnv">
        <w:smartTagPr>
          <w:attr w:name="TCSC" w:val="0"/>
          <w:attr w:name="NumberType" w:val="1"/>
          <w:attr w:name="Negative" w:val="False"/>
          <w:attr w:name="HasSpace" w:val="False"/>
          <w:attr w:name="SourceValue" w:val="8"/>
          <w:attr w:name="UnitName" w:val="℃"/>
        </w:smartTagPr>
        <w:r w:rsidRPr="00CE2F30">
          <w:rPr>
            <w:szCs w:val="21"/>
          </w:rPr>
          <w:t>8</w:t>
        </w:r>
        <w:r w:rsidRPr="00CE2F30">
          <w:rPr>
            <w:rFonts w:hint="eastAsia"/>
            <w:szCs w:val="21"/>
          </w:rPr>
          <w:t>℃</w:t>
        </w:r>
      </w:smartTag>
      <w:r w:rsidRPr="00CE2F30">
        <w:rPr>
          <w:rFonts w:hint="eastAsia"/>
          <w:szCs w:val="21"/>
        </w:rPr>
        <w:t>）内保存使用，此类中药制剂的加速试验，可在温度</w:t>
      </w:r>
      <w:smartTag w:uri="urn:schemas-microsoft-com:office:smarttags" w:element="chmetcnv">
        <w:smartTagPr>
          <w:attr w:name="TCSC" w:val="0"/>
          <w:attr w:name="NumberType" w:val="1"/>
          <w:attr w:name="Negative" w:val="False"/>
          <w:attr w:name="HasSpace" w:val="False"/>
          <w:attr w:name="SourceValue" w:val="25"/>
          <w:attr w:name="UnitName" w:val="℃"/>
        </w:smartTagPr>
        <w:r w:rsidRPr="00CE2F30">
          <w:rPr>
            <w:szCs w:val="21"/>
          </w:rPr>
          <w:t>25</w:t>
        </w:r>
        <w:r w:rsidRPr="00CE2F30">
          <w:rPr>
            <w:rFonts w:hint="eastAsia"/>
            <w:szCs w:val="21"/>
          </w:rPr>
          <w:t>℃</w:t>
        </w:r>
      </w:smartTag>
      <w:r w:rsidRPr="00CE2F30">
        <w:rPr>
          <w:rFonts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CE2F30">
          <w:rPr>
            <w:szCs w:val="21"/>
          </w:rPr>
          <w:t>2</w:t>
        </w:r>
        <w:r w:rsidRPr="00CE2F30">
          <w:rPr>
            <w:rFonts w:hint="eastAsia"/>
            <w:szCs w:val="21"/>
          </w:rPr>
          <w:t>℃</w:t>
        </w:r>
      </w:smartTag>
      <w:r w:rsidRPr="00CE2F30">
        <w:rPr>
          <w:rFonts w:hint="eastAsia"/>
          <w:szCs w:val="21"/>
        </w:rPr>
        <w:t>，相对湿度</w:t>
      </w:r>
      <w:r w:rsidRPr="00CE2F30">
        <w:rPr>
          <w:szCs w:val="21"/>
        </w:rPr>
        <w:t>60%</w:t>
      </w:r>
      <w:r w:rsidRPr="00CE2F30">
        <w:rPr>
          <w:rFonts w:hint="eastAsia"/>
          <w:szCs w:val="21"/>
        </w:rPr>
        <w:t>±</w:t>
      </w:r>
      <w:r w:rsidRPr="00CE2F30">
        <w:rPr>
          <w:szCs w:val="21"/>
        </w:rPr>
        <w:t>10%</w:t>
      </w:r>
      <w:r w:rsidRPr="00CE2F30">
        <w:rPr>
          <w:rFonts w:hint="eastAsia"/>
          <w:szCs w:val="21"/>
        </w:rPr>
        <w:t>的条件下进行，时间为</w:t>
      </w:r>
      <w:r w:rsidRPr="00CE2F30">
        <w:rPr>
          <w:szCs w:val="21"/>
        </w:rPr>
        <w:t>6</w:t>
      </w:r>
      <w:r w:rsidRPr="00CE2F30">
        <w:rPr>
          <w:rFonts w:hint="eastAsia"/>
          <w:szCs w:val="21"/>
        </w:rPr>
        <w:t>个月。</w:t>
      </w:r>
    </w:p>
    <w:p w:rsidR="005111DF" w:rsidRPr="00CE2F30" w:rsidRDefault="005111DF" w:rsidP="005111DF">
      <w:pPr>
        <w:spacing w:beforeLines="50" w:before="156" w:line="360" w:lineRule="auto"/>
        <w:rPr>
          <w:szCs w:val="21"/>
        </w:rPr>
      </w:pPr>
      <w:r w:rsidRPr="00CE2F30">
        <w:rPr>
          <w:szCs w:val="21"/>
        </w:rPr>
        <w:t xml:space="preserve">    </w:t>
      </w:r>
      <w:r w:rsidRPr="00CE2F30">
        <w:rPr>
          <w:rFonts w:hint="eastAsia"/>
          <w:szCs w:val="21"/>
        </w:rPr>
        <w:t>合剂、酊剂、浸膏剂及流浸膏剂</w:t>
      </w:r>
      <w:proofErr w:type="gramStart"/>
      <w:r w:rsidRPr="00CE2F30">
        <w:rPr>
          <w:rFonts w:hint="eastAsia"/>
          <w:szCs w:val="21"/>
        </w:rPr>
        <w:t>宜直接</w:t>
      </w:r>
      <w:proofErr w:type="gramEnd"/>
      <w:r w:rsidRPr="00CE2F30">
        <w:rPr>
          <w:rFonts w:hint="eastAsia"/>
          <w:szCs w:val="21"/>
        </w:rPr>
        <w:t>采用温度</w:t>
      </w:r>
      <w:r w:rsidRPr="00CE2F30">
        <w:rPr>
          <w:szCs w:val="21"/>
        </w:rPr>
        <w:t>30</w:t>
      </w:r>
      <w:r w:rsidRPr="00CE2F30">
        <w:rPr>
          <w:rFonts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CE2F30">
          <w:rPr>
            <w:szCs w:val="21"/>
          </w:rPr>
          <w:t>2</w:t>
        </w:r>
        <w:r w:rsidRPr="00CE2F30">
          <w:rPr>
            <w:rFonts w:hint="eastAsia"/>
            <w:szCs w:val="21"/>
          </w:rPr>
          <w:t>℃</w:t>
        </w:r>
      </w:smartTag>
      <w:r w:rsidRPr="00CE2F30">
        <w:rPr>
          <w:rFonts w:hint="eastAsia"/>
          <w:szCs w:val="21"/>
        </w:rPr>
        <w:t>，相对湿度</w:t>
      </w:r>
      <w:r w:rsidRPr="00CE2F30">
        <w:rPr>
          <w:szCs w:val="21"/>
        </w:rPr>
        <w:t>60%</w:t>
      </w:r>
      <w:r w:rsidRPr="00CE2F30">
        <w:rPr>
          <w:rFonts w:hint="eastAsia"/>
          <w:szCs w:val="21"/>
        </w:rPr>
        <w:t>±</w:t>
      </w:r>
      <w:r w:rsidRPr="00CE2F30">
        <w:rPr>
          <w:szCs w:val="21"/>
        </w:rPr>
        <w:t>5%</w:t>
      </w:r>
      <w:r w:rsidRPr="00CE2F30">
        <w:rPr>
          <w:rFonts w:hint="eastAsia"/>
          <w:szCs w:val="21"/>
        </w:rPr>
        <w:t>的条件进行试验，其他要求与上述相同。</w:t>
      </w:r>
    </w:p>
    <w:p w:rsidR="005111DF" w:rsidRPr="00CE2F30" w:rsidRDefault="005111DF" w:rsidP="005111DF">
      <w:pPr>
        <w:spacing w:beforeLines="50" w:before="156" w:line="360" w:lineRule="auto"/>
        <w:ind w:firstLineChars="200" w:firstLine="420"/>
        <w:rPr>
          <w:szCs w:val="21"/>
        </w:rPr>
      </w:pPr>
      <w:r w:rsidRPr="00CE2F30">
        <w:rPr>
          <w:rFonts w:hint="eastAsia"/>
          <w:szCs w:val="21"/>
        </w:rPr>
        <w:t>对于包装在半透性容器的中药制剂，如塑料袋、塑料瓶装溶液，则应在相对湿度</w:t>
      </w:r>
      <w:r w:rsidRPr="00CE2F30">
        <w:rPr>
          <w:szCs w:val="21"/>
        </w:rPr>
        <w:t>20%</w:t>
      </w:r>
      <w:r w:rsidRPr="00CE2F30">
        <w:rPr>
          <w:rFonts w:hint="eastAsia"/>
          <w:szCs w:val="21"/>
        </w:rPr>
        <w:t>±</w:t>
      </w:r>
      <w:r w:rsidRPr="00CE2F30">
        <w:rPr>
          <w:szCs w:val="21"/>
        </w:rPr>
        <w:t>2%</w:t>
      </w:r>
      <w:r w:rsidRPr="00CE2F30">
        <w:rPr>
          <w:rFonts w:hint="eastAsia"/>
          <w:szCs w:val="21"/>
        </w:rPr>
        <w:t>的条件（可用</w:t>
      </w:r>
      <w:r w:rsidRPr="00CE2F30">
        <w:rPr>
          <w:szCs w:val="21"/>
        </w:rPr>
        <w:t>CH</w:t>
      </w:r>
      <w:r w:rsidRPr="00CE2F30">
        <w:rPr>
          <w:szCs w:val="21"/>
          <w:vertAlign w:val="subscript"/>
        </w:rPr>
        <w:t>3</w:t>
      </w:r>
      <w:r w:rsidRPr="00CE2F30">
        <w:rPr>
          <w:szCs w:val="21"/>
        </w:rPr>
        <w:t>COOH</w:t>
      </w:r>
      <w:r w:rsidRPr="00CE2F30">
        <w:rPr>
          <w:rFonts w:hint="eastAsia"/>
          <w:szCs w:val="21"/>
        </w:rPr>
        <w:t>·</w:t>
      </w:r>
      <w:r w:rsidRPr="00CE2F30">
        <w:rPr>
          <w:szCs w:val="21"/>
        </w:rPr>
        <w:t>1.5H</w:t>
      </w:r>
      <w:r w:rsidRPr="00CE2F30">
        <w:rPr>
          <w:szCs w:val="21"/>
          <w:vertAlign w:val="subscript"/>
        </w:rPr>
        <w:t>2</w:t>
      </w:r>
      <w:r w:rsidRPr="00CE2F30">
        <w:rPr>
          <w:szCs w:val="21"/>
        </w:rPr>
        <w:t>O</w:t>
      </w:r>
      <w:r w:rsidRPr="00CE2F30">
        <w:rPr>
          <w:rFonts w:hint="eastAsia"/>
          <w:szCs w:val="21"/>
        </w:rPr>
        <w:t>饱和溶液，</w:t>
      </w:r>
      <w:smartTag w:uri="urn:schemas-microsoft-com:office:smarttags" w:element="chmetcnv">
        <w:smartTagPr>
          <w:attr w:name="TCSC" w:val="0"/>
          <w:attr w:name="NumberType" w:val="1"/>
          <w:attr w:name="Negative" w:val="False"/>
          <w:attr w:name="HasSpace" w:val="False"/>
          <w:attr w:name="SourceValue" w:val="25"/>
          <w:attr w:name="UnitName" w:val="℃"/>
        </w:smartTagPr>
        <w:r w:rsidRPr="00CE2F30">
          <w:rPr>
            <w:szCs w:val="21"/>
          </w:rPr>
          <w:t>25</w:t>
        </w:r>
        <w:r w:rsidRPr="00CE2F30">
          <w:rPr>
            <w:rFonts w:hint="eastAsia"/>
            <w:szCs w:val="21"/>
          </w:rPr>
          <w:t>℃</w:t>
        </w:r>
      </w:smartTag>
      <w:r w:rsidRPr="00CE2F30">
        <w:rPr>
          <w:rFonts w:hint="eastAsia"/>
          <w:szCs w:val="21"/>
        </w:rPr>
        <w:t>，相对湿度</w:t>
      </w:r>
      <w:r w:rsidRPr="00CE2F30">
        <w:rPr>
          <w:szCs w:val="21"/>
        </w:rPr>
        <w:t>22.5%</w:t>
      </w:r>
      <w:r w:rsidRPr="00CE2F30">
        <w:rPr>
          <w:rFonts w:hint="eastAsia"/>
          <w:szCs w:val="21"/>
        </w:rPr>
        <w:t>）进行试验。</w:t>
      </w:r>
    </w:p>
    <w:p w:rsidR="005111DF" w:rsidRPr="00CE2F30" w:rsidRDefault="005111DF" w:rsidP="005111DF">
      <w:pPr>
        <w:keepNext/>
        <w:keepLines/>
        <w:spacing w:line="360" w:lineRule="auto"/>
        <w:outlineLvl w:val="2"/>
        <w:rPr>
          <w:rFonts w:ascii="黑体" w:eastAsia="黑体"/>
          <w:bCs/>
          <w:szCs w:val="21"/>
        </w:rPr>
      </w:pPr>
      <w:r w:rsidRPr="00CE2F30">
        <w:rPr>
          <w:rFonts w:ascii="黑体" w:eastAsia="黑体" w:hint="eastAsia"/>
          <w:bCs/>
          <w:szCs w:val="21"/>
        </w:rPr>
        <w:t>三、长期试验</w:t>
      </w:r>
    </w:p>
    <w:p w:rsidR="005111DF" w:rsidRPr="00CE2F30" w:rsidRDefault="005111DF" w:rsidP="005111DF">
      <w:pPr>
        <w:spacing w:beforeLines="50" w:before="156" w:line="360" w:lineRule="auto"/>
        <w:rPr>
          <w:rFonts w:hint="eastAsia"/>
          <w:szCs w:val="21"/>
        </w:rPr>
      </w:pPr>
      <w:r w:rsidRPr="00CE2F30">
        <w:rPr>
          <w:szCs w:val="21"/>
        </w:rPr>
        <w:t xml:space="preserve">    </w:t>
      </w:r>
      <w:r w:rsidRPr="00CE2F30">
        <w:rPr>
          <w:rFonts w:hint="eastAsia"/>
          <w:szCs w:val="21"/>
        </w:rPr>
        <w:t>长期试验是在接近中药、天然药物的实际贮存条件下进行，其目的是为制订中药、天然药物的有效期提供依据。</w:t>
      </w:r>
      <w:proofErr w:type="gramStart"/>
      <w:r w:rsidRPr="00CE2F30">
        <w:rPr>
          <w:rFonts w:hint="eastAsia"/>
          <w:szCs w:val="21"/>
        </w:rPr>
        <w:t>供试品三批</w:t>
      </w:r>
      <w:proofErr w:type="gramEnd"/>
      <w:r w:rsidRPr="00CE2F30">
        <w:rPr>
          <w:rFonts w:hint="eastAsia"/>
          <w:szCs w:val="21"/>
        </w:rPr>
        <w:t>，市售包装，在温度</w:t>
      </w:r>
      <w:smartTag w:uri="urn:schemas-microsoft-com:office:smarttags" w:element="chmetcnv">
        <w:smartTagPr>
          <w:attr w:name="TCSC" w:val="0"/>
          <w:attr w:name="NumberType" w:val="1"/>
          <w:attr w:name="Negative" w:val="False"/>
          <w:attr w:name="HasSpace" w:val="False"/>
          <w:attr w:name="SourceValue" w:val="25"/>
          <w:attr w:name="UnitName" w:val="℃"/>
        </w:smartTagPr>
        <w:r w:rsidRPr="00CE2F30">
          <w:rPr>
            <w:szCs w:val="21"/>
          </w:rPr>
          <w:t>25</w:t>
        </w:r>
        <w:r w:rsidRPr="00CE2F30">
          <w:rPr>
            <w:rFonts w:hint="eastAsia"/>
            <w:szCs w:val="21"/>
          </w:rPr>
          <w:t>℃</w:t>
        </w:r>
      </w:smartTag>
      <w:r w:rsidRPr="00CE2F30">
        <w:rPr>
          <w:rFonts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CE2F30">
          <w:rPr>
            <w:szCs w:val="21"/>
          </w:rPr>
          <w:t>2</w:t>
        </w:r>
        <w:r w:rsidRPr="00CE2F30">
          <w:rPr>
            <w:rFonts w:hint="eastAsia"/>
            <w:szCs w:val="21"/>
          </w:rPr>
          <w:t>℃</w:t>
        </w:r>
      </w:smartTag>
      <w:r w:rsidRPr="00CE2F30">
        <w:rPr>
          <w:rFonts w:hint="eastAsia"/>
          <w:szCs w:val="21"/>
        </w:rPr>
        <w:t>，相对湿度</w:t>
      </w:r>
      <w:r w:rsidRPr="00CE2F30">
        <w:rPr>
          <w:szCs w:val="21"/>
        </w:rPr>
        <w:t>60%</w:t>
      </w:r>
      <w:r w:rsidRPr="00CE2F30">
        <w:rPr>
          <w:rFonts w:hint="eastAsia"/>
          <w:szCs w:val="21"/>
        </w:rPr>
        <w:t>±</w:t>
      </w:r>
      <w:r w:rsidRPr="00CE2F30">
        <w:rPr>
          <w:szCs w:val="21"/>
        </w:rPr>
        <w:t>10%</w:t>
      </w:r>
      <w:r w:rsidRPr="00CE2F30">
        <w:rPr>
          <w:rFonts w:hint="eastAsia"/>
          <w:szCs w:val="21"/>
        </w:rPr>
        <w:t>的条件下放置</w:t>
      </w:r>
      <w:r w:rsidRPr="00CE2F30">
        <w:rPr>
          <w:szCs w:val="21"/>
        </w:rPr>
        <w:t>12</w:t>
      </w:r>
      <w:r w:rsidRPr="00CE2F30">
        <w:rPr>
          <w:rFonts w:hint="eastAsia"/>
          <w:szCs w:val="21"/>
        </w:rPr>
        <w:t>个月。每</w:t>
      </w:r>
      <w:r w:rsidRPr="00CE2F30">
        <w:rPr>
          <w:szCs w:val="21"/>
        </w:rPr>
        <w:t>3</w:t>
      </w:r>
      <w:r w:rsidRPr="00CE2F30">
        <w:rPr>
          <w:rFonts w:hint="eastAsia"/>
          <w:szCs w:val="21"/>
        </w:rPr>
        <w:t>个月取样一次，分别于</w:t>
      </w:r>
      <w:r w:rsidRPr="00CE2F30">
        <w:rPr>
          <w:szCs w:val="21"/>
        </w:rPr>
        <w:t>0</w:t>
      </w:r>
      <w:r w:rsidRPr="00CE2F30">
        <w:rPr>
          <w:rFonts w:hint="eastAsia"/>
          <w:szCs w:val="21"/>
        </w:rPr>
        <w:t>个月、</w:t>
      </w:r>
      <w:r w:rsidRPr="00CE2F30">
        <w:rPr>
          <w:szCs w:val="21"/>
        </w:rPr>
        <w:t>3</w:t>
      </w:r>
      <w:r w:rsidRPr="00CE2F30">
        <w:rPr>
          <w:rFonts w:hint="eastAsia"/>
          <w:szCs w:val="21"/>
        </w:rPr>
        <w:t>个月、</w:t>
      </w:r>
      <w:r w:rsidRPr="00CE2F30">
        <w:rPr>
          <w:szCs w:val="21"/>
        </w:rPr>
        <w:t>6</w:t>
      </w:r>
      <w:r w:rsidRPr="00CE2F30">
        <w:rPr>
          <w:rFonts w:hint="eastAsia"/>
          <w:szCs w:val="21"/>
        </w:rPr>
        <w:t>个月、</w:t>
      </w:r>
      <w:r w:rsidRPr="00CE2F30">
        <w:rPr>
          <w:szCs w:val="21"/>
        </w:rPr>
        <w:t>9</w:t>
      </w:r>
      <w:r w:rsidRPr="00CE2F30">
        <w:rPr>
          <w:rFonts w:hint="eastAsia"/>
          <w:szCs w:val="21"/>
        </w:rPr>
        <w:t>个月、</w:t>
      </w:r>
      <w:r w:rsidRPr="00CE2F30">
        <w:rPr>
          <w:szCs w:val="21"/>
        </w:rPr>
        <w:t>12</w:t>
      </w:r>
      <w:r w:rsidRPr="00CE2F30">
        <w:rPr>
          <w:rFonts w:hint="eastAsia"/>
          <w:szCs w:val="21"/>
        </w:rPr>
        <w:t>个月，按稳定性重点考察项目进行检测。</w:t>
      </w:r>
      <w:r w:rsidRPr="00CE2F30">
        <w:rPr>
          <w:szCs w:val="21"/>
        </w:rPr>
        <w:t>12</w:t>
      </w:r>
      <w:r w:rsidRPr="00CE2F30">
        <w:rPr>
          <w:rFonts w:hint="eastAsia"/>
          <w:szCs w:val="21"/>
        </w:rPr>
        <w:t>个月以后，仍需继续考察，分别于</w:t>
      </w:r>
      <w:r w:rsidRPr="00CE2F30">
        <w:rPr>
          <w:szCs w:val="21"/>
        </w:rPr>
        <w:t>18</w:t>
      </w:r>
      <w:r w:rsidRPr="00CE2F30">
        <w:rPr>
          <w:rFonts w:hint="eastAsia"/>
          <w:szCs w:val="21"/>
        </w:rPr>
        <w:t>个月、</w:t>
      </w:r>
      <w:r w:rsidRPr="00CE2F30">
        <w:rPr>
          <w:szCs w:val="21"/>
        </w:rPr>
        <w:t>24</w:t>
      </w:r>
      <w:r w:rsidRPr="00CE2F30">
        <w:rPr>
          <w:rFonts w:hint="eastAsia"/>
          <w:szCs w:val="21"/>
        </w:rPr>
        <w:t>个月、</w:t>
      </w:r>
      <w:r w:rsidRPr="00CE2F30">
        <w:rPr>
          <w:szCs w:val="21"/>
        </w:rPr>
        <w:t>36</w:t>
      </w:r>
      <w:r w:rsidRPr="00CE2F30">
        <w:rPr>
          <w:rFonts w:hint="eastAsia"/>
          <w:szCs w:val="21"/>
        </w:rPr>
        <w:t>个月取样进行检测。将结果与</w:t>
      </w:r>
      <w:r w:rsidRPr="00CE2F30">
        <w:rPr>
          <w:szCs w:val="21"/>
        </w:rPr>
        <w:t>0</w:t>
      </w:r>
      <w:r w:rsidRPr="00CE2F30">
        <w:rPr>
          <w:rFonts w:hint="eastAsia"/>
          <w:szCs w:val="21"/>
        </w:rPr>
        <w:t>月比较以确定药品的有效期。由于实测数据的分散性，一般应按</w:t>
      </w:r>
      <w:r w:rsidRPr="00CE2F30">
        <w:rPr>
          <w:szCs w:val="21"/>
        </w:rPr>
        <w:t>95%</w:t>
      </w:r>
      <w:r w:rsidRPr="00CE2F30">
        <w:rPr>
          <w:rFonts w:hint="eastAsia"/>
          <w:szCs w:val="21"/>
        </w:rPr>
        <w:t>可信限进行统计分析，得出合理的有效期。如三批统计分析结果差别较小，则取其平均值为有效期限；若差别较大，则取其最短的为有效期。数据表明很稳定的药品，可不作统计分析。</w:t>
      </w:r>
    </w:p>
    <w:p w:rsidR="005111DF" w:rsidRPr="00CE2F30" w:rsidRDefault="005111DF" w:rsidP="005111DF">
      <w:pPr>
        <w:spacing w:beforeLines="50" w:before="156" w:line="360" w:lineRule="auto"/>
        <w:rPr>
          <w:szCs w:val="21"/>
        </w:rPr>
      </w:pPr>
      <w:r w:rsidRPr="00CE2F30">
        <w:rPr>
          <w:szCs w:val="21"/>
        </w:rPr>
        <w:t xml:space="preserve">    </w:t>
      </w:r>
      <w:r w:rsidRPr="00CE2F30">
        <w:rPr>
          <w:rFonts w:hint="eastAsia"/>
          <w:szCs w:val="21"/>
        </w:rPr>
        <w:t>对温度特别敏感的中药、天然药物制剂，长期试验可在温度</w:t>
      </w:r>
      <w:smartTag w:uri="urn:schemas-microsoft-com:office:smarttags" w:element="chmetcnv">
        <w:smartTagPr>
          <w:attr w:name="TCSC" w:val="0"/>
          <w:attr w:name="NumberType" w:val="1"/>
          <w:attr w:name="Negative" w:val="False"/>
          <w:attr w:name="HasSpace" w:val="False"/>
          <w:attr w:name="SourceValue" w:val="6"/>
          <w:attr w:name="UnitName" w:val="℃"/>
        </w:smartTagPr>
        <w:r w:rsidRPr="00CE2F30">
          <w:rPr>
            <w:szCs w:val="21"/>
          </w:rPr>
          <w:t>6</w:t>
        </w:r>
        <w:r w:rsidRPr="00CE2F30">
          <w:rPr>
            <w:rFonts w:hint="eastAsia"/>
            <w:szCs w:val="21"/>
          </w:rPr>
          <w:t>℃</w:t>
        </w:r>
      </w:smartTag>
      <w:r w:rsidRPr="00CE2F30">
        <w:rPr>
          <w:rFonts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CE2F30">
          <w:rPr>
            <w:szCs w:val="21"/>
          </w:rPr>
          <w:t>2</w:t>
        </w:r>
        <w:r w:rsidRPr="00CE2F30">
          <w:rPr>
            <w:rFonts w:hint="eastAsia"/>
            <w:szCs w:val="21"/>
          </w:rPr>
          <w:t>℃</w:t>
        </w:r>
      </w:smartTag>
      <w:r w:rsidRPr="00CE2F30">
        <w:rPr>
          <w:rFonts w:hint="eastAsia"/>
          <w:szCs w:val="21"/>
        </w:rPr>
        <w:t>的条件下放置</w:t>
      </w:r>
      <w:r w:rsidRPr="00CE2F30">
        <w:rPr>
          <w:szCs w:val="21"/>
        </w:rPr>
        <w:t>12</w:t>
      </w:r>
      <w:r w:rsidRPr="00CE2F30">
        <w:rPr>
          <w:rFonts w:hint="eastAsia"/>
          <w:szCs w:val="21"/>
        </w:rPr>
        <w:t>个月，按上述时间要求进行检测，</w:t>
      </w:r>
      <w:r w:rsidRPr="00CE2F30">
        <w:rPr>
          <w:szCs w:val="21"/>
        </w:rPr>
        <w:t>12</w:t>
      </w:r>
      <w:r w:rsidRPr="00CE2F30">
        <w:rPr>
          <w:rFonts w:hint="eastAsia"/>
          <w:szCs w:val="21"/>
        </w:rPr>
        <w:t>个月以后，仍需按规定继续考察，制订在低温贮存条件下的有效期。</w:t>
      </w:r>
    </w:p>
    <w:p w:rsidR="005111DF" w:rsidRPr="00CE2F30" w:rsidRDefault="005111DF" w:rsidP="005111DF">
      <w:pPr>
        <w:spacing w:beforeLines="50" w:before="156" w:line="360" w:lineRule="auto"/>
        <w:rPr>
          <w:szCs w:val="21"/>
        </w:rPr>
      </w:pPr>
      <w:r w:rsidRPr="00CE2F30">
        <w:rPr>
          <w:szCs w:val="21"/>
        </w:rPr>
        <w:t xml:space="preserve">    </w:t>
      </w:r>
      <w:r w:rsidRPr="00CE2F30">
        <w:rPr>
          <w:rFonts w:hint="eastAsia"/>
          <w:szCs w:val="21"/>
        </w:rPr>
        <w:t>此外，有些中药、天然药物制剂还应考</w:t>
      </w:r>
      <w:proofErr w:type="gramStart"/>
      <w:r w:rsidRPr="00CE2F30">
        <w:rPr>
          <w:rFonts w:hint="eastAsia"/>
          <w:szCs w:val="21"/>
        </w:rPr>
        <w:t>察使用</w:t>
      </w:r>
      <w:proofErr w:type="gramEnd"/>
      <w:r w:rsidRPr="00CE2F30">
        <w:rPr>
          <w:rFonts w:hint="eastAsia"/>
          <w:szCs w:val="21"/>
        </w:rPr>
        <w:t>过程中的稳定性。</w:t>
      </w:r>
    </w:p>
    <w:p w:rsidR="005111DF" w:rsidRPr="00CE2F30" w:rsidRDefault="005111DF" w:rsidP="005111DF">
      <w:pPr>
        <w:keepNext/>
        <w:keepLines/>
        <w:spacing w:line="360" w:lineRule="auto"/>
        <w:outlineLvl w:val="2"/>
        <w:rPr>
          <w:rFonts w:ascii="黑体" w:eastAsia="黑体"/>
          <w:bCs/>
          <w:szCs w:val="21"/>
        </w:rPr>
      </w:pPr>
      <w:r w:rsidRPr="00CE2F30">
        <w:rPr>
          <w:rFonts w:ascii="黑体" w:eastAsia="黑体" w:hint="eastAsia"/>
          <w:bCs/>
          <w:szCs w:val="21"/>
        </w:rPr>
        <w:t>四、稳定性重点考察项目</w:t>
      </w:r>
    </w:p>
    <w:p w:rsidR="005111DF" w:rsidRPr="00CE2F30" w:rsidRDefault="005111DF" w:rsidP="005111DF">
      <w:pPr>
        <w:spacing w:beforeLines="50" w:before="156" w:line="360" w:lineRule="auto"/>
        <w:ind w:firstLineChars="200" w:firstLine="420"/>
        <w:rPr>
          <w:rFonts w:hint="eastAsia"/>
          <w:szCs w:val="21"/>
        </w:rPr>
      </w:pPr>
      <w:r w:rsidRPr="00CE2F30">
        <w:rPr>
          <w:rFonts w:hint="eastAsia"/>
          <w:szCs w:val="21"/>
        </w:rPr>
        <w:t>主要剂型见附表。表中未列入的剂型的考察项目，见兽药典附录剂型项下有关要求。</w:t>
      </w:r>
    </w:p>
    <w:p w:rsidR="005111DF" w:rsidRPr="00CE2F30" w:rsidRDefault="005111DF" w:rsidP="005111DF">
      <w:pPr>
        <w:spacing w:beforeLines="50" w:before="156" w:line="360" w:lineRule="auto"/>
        <w:ind w:firstLineChars="200" w:firstLine="420"/>
        <w:rPr>
          <w:rFonts w:ascii="黑体" w:eastAsia="黑体"/>
          <w:szCs w:val="21"/>
        </w:rPr>
      </w:pPr>
      <w:r w:rsidRPr="00CE2F30">
        <w:rPr>
          <w:rFonts w:ascii="黑体" w:eastAsia="黑体" w:hint="eastAsia"/>
          <w:szCs w:val="21"/>
        </w:rPr>
        <w:t>附表  中药、天然药物制剂稳定性重点考察项目</w:t>
      </w:r>
    </w:p>
    <w:tbl>
      <w:tblPr>
        <w:tblW w:w="0" w:type="auto"/>
        <w:tblInd w:w="288" w:type="dxa"/>
        <w:tblLook w:val="04A0" w:firstRow="1" w:lastRow="0" w:firstColumn="1" w:lastColumn="0" w:noHBand="0" w:noVBand="1"/>
      </w:tblPr>
      <w:tblGrid>
        <w:gridCol w:w="1844"/>
        <w:gridCol w:w="6174"/>
      </w:tblGrid>
      <w:tr w:rsidR="005111DF" w:rsidRPr="00CE2F30" w:rsidTr="00752DA2">
        <w:trPr>
          <w:trHeight w:val="340"/>
        </w:trPr>
        <w:tc>
          <w:tcPr>
            <w:tcW w:w="1877" w:type="dxa"/>
            <w:tcBorders>
              <w:top w:val="single" w:sz="4" w:space="0" w:color="auto"/>
              <w:left w:val="nil"/>
              <w:bottom w:val="single" w:sz="4" w:space="0" w:color="auto"/>
              <w:right w:val="nil"/>
            </w:tcBorders>
          </w:tcPr>
          <w:p w:rsidR="005111DF" w:rsidRPr="00CE2F30" w:rsidRDefault="005111DF" w:rsidP="00752DA2">
            <w:pPr>
              <w:spacing w:beforeLines="50" w:before="156" w:line="360" w:lineRule="auto"/>
              <w:ind w:firstLineChars="100" w:firstLine="210"/>
              <w:rPr>
                <w:szCs w:val="21"/>
              </w:rPr>
            </w:pPr>
            <w:r w:rsidRPr="00CE2F30">
              <w:rPr>
                <w:rFonts w:hint="eastAsia"/>
                <w:szCs w:val="21"/>
              </w:rPr>
              <w:t>剂</w:t>
            </w:r>
            <w:r w:rsidRPr="00CE2F30">
              <w:rPr>
                <w:szCs w:val="21"/>
              </w:rPr>
              <w:t xml:space="preserve">    </w:t>
            </w:r>
            <w:r w:rsidRPr="00CE2F30">
              <w:rPr>
                <w:rFonts w:hint="eastAsia"/>
                <w:szCs w:val="21"/>
              </w:rPr>
              <w:t>型</w:t>
            </w:r>
          </w:p>
        </w:tc>
        <w:tc>
          <w:tcPr>
            <w:tcW w:w="6357" w:type="dxa"/>
            <w:tcBorders>
              <w:top w:val="single" w:sz="4" w:space="0" w:color="auto"/>
              <w:left w:val="nil"/>
              <w:bottom w:val="single" w:sz="4" w:space="0" w:color="auto"/>
              <w:right w:val="nil"/>
            </w:tcBorders>
          </w:tcPr>
          <w:p w:rsidR="005111DF" w:rsidRPr="00CE2F30" w:rsidRDefault="005111DF" w:rsidP="00752DA2">
            <w:pPr>
              <w:spacing w:beforeLines="50" w:before="156" w:line="360" w:lineRule="auto"/>
              <w:jc w:val="center"/>
              <w:rPr>
                <w:szCs w:val="21"/>
              </w:rPr>
            </w:pPr>
            <w:r w:rsidRPr="00CE2F30">
              <w:rPr>
                <w:rFonts w:hint="eastAsia"/>
                <w:szCs w:val="21"/>
              </w:rPr>
              <w:t>稳定性重点考察项目</w:t>
            </w:r>
          </w:p>
        </w:tc>
      </w:tr>
      <w:tr w:rsidR="005111DF" w:rsidRPr="00CE2F30" w:rsidTr="00752DA2">
        <w:trPr>
          <w:trHeight w:val="340"/>
        </w:trPr>
        <w:tc>
          <w:tcPr>
            <w:tcW w:w="1877" w:type="dxa"/>
            <w:tcBorders>
              <w:top w:val="single" w:sz="4" w:space="0" w:color="auto"/>
              <w:left w:val="nil"/>
              <w:bottom w:val="nil"/>
              <w:right w:val="nil"/>
            </w:tcBorders>
          </w:tcPr>
          <w:p w:rsidR="005111DF" w:rsidRPr="00CE2F30" w:rsidRDefault="005111DF" w:rsidP="00752DA2">
            <w:pPr>
              <w:spacing w:beforeLines="50" w:before="156" w:line="360" w:lineRule="auto"/>
              <w:rPr>
                <w:szCs w:val="21"/>
              </w:rPr>
            </w:pPr>
            <w:r w:rsidRPr="00CE2F30">
              <w:rPr>
                <w:szCs w:val="21"/>
              </w:rPr>
              <w:t xml:space="preserve">1. </w:t>
            </w:r>
            <w:r w:rsidRPr="00CE2F30">
              <w:rPr>
                <w:rFonts w:hint="eastAsia"/>
                <w:szCs w:val="21"/>
              </w:rPr>
              <w:t>药材</w:t>
            </w:r>
          </w:p>
        </w:tc>
        <w:tc>
          <w:tcPr>
            <w:tcW w:w="6357" w:type="dxa"/>
            <w:tcBorders>
              <w:top w:val="single" w:sz="4" w:space="0" w:color="auto"/>
              <w:left w:val="nil"/>
              <w:bottom w:val="nil"/>
              <w:right w:val="nil"/>
            </w:tcBorders>
          </w:tcPr>
          <w:p w:rsidR="005111DF" w:rsidRPr="00CE2F30" w:rsidRDefault="005111DF" w:rsidP="00752DA2">
            <w:pPr>
              <w:spacing w:beforeLines="50" w:before="156" w:line="360" w:lineRule="auto"/>
              <w:rPr>
                <w:szCs w:val="21"/>
              </w:rPr>
            </w:pPr>
            <w:r w:rsidRPr="00CE2F30">
              <w:rPr>
                <w:rFonts w:hint="eastAsia"/>
                <w:szCs w:val="21"/>
              </w:rPr>
              <w:t>性状、鉴别、含量、浸出物、霉变、虫蛀</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lastRenderedPageBreak/>
              <w:t xml:space="preserve">2. </w:t>
            </w:r>
            <w:r w:rsidRPr="00CE2F30">
              <w:rPr>
                <w:rFonts w:hint="eastAsia"/>
                <w:szCs w:val="21"/>
              </w:rPr>
              <w:t>药材提取物</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性状、鉴别、含量、吸湿性</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3. </w:t>
            </w:r>
            <w:r w:rsidRPr="00CE2F30">
              <w:rPr>
                <w:rFonts w:hint="eastAsia"/>
                <w:szCs w:val="21"/>
              </w:rPr>
              <w:t>散剂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性状、鉴别、含量、外观均匀度、水分、粉末细度</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4. </w:t>
            </w:r>
            <w:r w:rsidRPr="00CE2F30">
              <w:rPr>
                <w:rFonts w:hint="eastAsia"/>
                <w:szCs w:val="21"/>
              </w:rPr>
              <w:t>颗粒剂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性状（吸潮、软化）、鉴别、含量、粒度、水分、粒度、溶化性</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5. </w:t>
            </w:r>
            <w:r w:rsidRPr="00CE2F30">
              <w:rPr>
                <w:rFonts w:hint="eastAsia"/>
                <w:szCs w:val="21"/>
              </w:rPr>
              <w:t>片剂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性状、鉴别、含量、崩解时限</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6. </w:t>
            </w:r>
            <w:r w:rsidRPr="00CE2F30">
              <w:rPr>
                <w:rFonts w:hint="eastAsia"/>
                <w:szCs w:val="21"/>
              </w:rPr>
              <w:t>胶剂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性状、鉴别、含量、水分、溶化性、异物、微生物限度</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7. </w:t>
            </w:r>
            <w:r w:rsidRPr="00CE2F30">
              <w:rPr>
                <w:rFonts w:hint="eastAsia"/>
                <w:szCs w:val="21"/>
              </w:rPr>
              <w:t>丸剂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w:t>
            </w:r>
            <w:proofErr w:type="gramStart"/>
            <w:r w:rsidRPr="00CE2F30">
              <w:rPr>
                <w:rFonts w:hint="eastAsia"/>
                <w:szCs w:val="21"/>
              </w:rPr>
              <w:t>溶散时限</w:t>
            </w:r>
            <w:proofErr w:type="gramEnd"/>
            <w:r w:rsidRPr="00CE2F30">
              <w:rPr>
                <w:rFonts w:hint="eastAsia"/>
                <w:szCs w:val="21"/>
              </w:rPr>
              <w:t>、水分</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8. </w:t>
            </w:r>
            <w:r w:rsidRPr="00CE2F30">
              <w:rPr>
                <w:rFonts w:hint="eastAsia"/>
                <w:szCs w:val="21"/>
              </w:rPr>
              <w:t>胶囊剂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w:t>
            </w:r>
            <w:proofErr w:type="gramStart"/>
            <w:r w:rsidRPr="00CE2F30">
              <w:rPr>
                <w:rFonts w:hint="eastAsia"/>
                <w:szCs w:val="21"/>
              </w:rPr>
              <w:t>溶散时限</w:t>
            </w:r>
            <w:proofErr w:type="gramEnd"/>
            <w:r w:rsidRPr="00CE2F30">
              <w:rPr>
                <w:rFonts w:hint="eastAsia"/>
                <w:szCs w:val="21"/>
              </w:rPr>
              <w:t>、水分</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9. </w:t>
            </w:r>
            <w:r w:rsidRPr="00CE2F30">
              <w:rPr>
                <w:rFonts w:hint="eastAsia"/>
                <w:szCs w:val="21"/>
              </w:rPr>
              <w:t>合剂（口服液）</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性状、鉴别、含量、相对密度、</w:t>
            </w:r>
            <w:r w:rsidRPr="00CE2F30">
              <w:rPr>
                <w:szCs w:val="21"/>
              </w:rPr>
              <w:t>pH</w:t>
            </w:r>
            <w:r w:rsidRPr="00CE2F30">
              <w:rPr>
                <w:rFonts w:hint="eastAsia"/>
                <w:szCs w:val="21"/>
              </w:rPr>
              <w:t>值、微生物限度</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10. </w:t>
            </w:r>
            <w:r w:rsidRPr="00CE2F30">
              <w:rPr>
                <w:rFonts w:hint="eastAsia"/>
                <w:szCs w:val="21"/>
              </w:rPr>
              <w:t>酊剂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性状、鉴别、含量、乙醇量、微生物限度</w:t>
            </w:r>
          </w:p>
        </w:tc>
      </w:tr>
      <w:tr w:rsidR="005111DF" w:rsidRPr="00CE2F30" w:rsidTr="00752DA2">
        <w:trPr>
          <w:trHeight w:val="340"/>
        </w:trPr>
        <w:tc>
          <w:tcPr>
            <w:tcW w:w="1877" w:type="dxa"/>
          </w:tcPr>
          <w:p w:rsidR="005111DF" w:rsidRPr="00CE2F30" w:rsidRDefault="005111DF" w:rsidP="00752DA2">
            <w:pPr>
              <w:spacing w:beforeLines="50" w:before="156" w:line="360" w:lineRule="auto"/>
              <w:ind w:left="220" w:hangingChars="105" w:hanging="220"/>
              <w:rPr>
                <w:szCs w:val="21"/>
              </w:rPr>
            </w:pPr>
            <w:r w:rsidRPr="00CE2F30">
              <w:rPr>
                <w:szCs w:val="21"/>
              </w:rPr>
              <w:t xml:space="preserve">11. </w:t>
            </w:r>
            <w:r w:rsidRPr="00CE2F30">
              <w:rPr>
                <w:rFonts w:hint="eastAsia"/>
                <w:szCs w:val="21"/>
              </w:rPr>
              <w:t>流浸膏剂、浸膏剂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性状、鉴别、含量、相对密度、乙醇量（流浸膏剂）、微生物限度</w:t>
            </w:r>
          </w:p>
        </w:tc>
      </w:tr>
      <w:tr w:rsidR="005111DF" w:rsidRPr="00CE2F30" w:rsidTr="00752DA2">
        <w:trPr>
          <w:trHeight w:val="340"/>
        </w:trPr>
        <w:tc>
          <w:tcPr>
            <w:tcW w:w="1877" w:type="dxa"/>
          </w:tcPr>
          <w:p w:rsidR="005111DF" w:rsidRPr="00CE2F30" w:rsidRDefault="005111DF" w:rsidP="00752DA2">
            <w:pPr>
              <w:spacing w:beforeLines="50" w:before="156" w:line="360" w:lineRule="auto"/>
              <w:rPr>
                <w:szCs w:val="21"/>
              </w:rPr>
            </w:pPr>
            <w:r w:rsidRPr="00CE2F30">
              <w:rPr>
                <w:szCs w:val="21"/>
              </w:rPr>
              <w:t xml:space="preserve">12. </w:t>
            </w:r>
            <w:r w:rsidRPr="00CE2F30">
              <w:rPr>
                <w:rFonts w:hint="eastAsia"/>
                <w:szCs w:val="21"/>
              </w:rPr>
              <w:t>注射剂</w:t>
            </w:r>
          </w:p>
        </w:tc>
        <w:tc>
          <w:tcPr>
            <w:tcW w:w="6357" w:type="dxa"/>
          </w:tcPr>
          <w:p w:rsidR="005111DF" w:rsidRPr="00CE2F30" w:rsidRDefault="005111DF" w:rsidP="00752DA2">
            <w:pPr>
              <w:spacing w:beforeLines="50" w:before="156" w:line="360" w:lineRule="auto"/>
              <w:rPr>
                <w:szCs w:val="21"/>
              </w:rPr>
            </w:pPr>
            <w:r w:rsidRPr="00CE2F30">
              <w:rPr>
                <w:rFonts w:hint="eastAsia"/>
                <w:szCs w:val="21"/>
              </w:rPr>
              <w:t>性状、鉴别、含量、澄明度、有关物质、</w:t>
            </w:r>
            <w:r w:rsidRPr="00CE2F30">
              <w:rPr>
                <w:szCs w:val="21"/>
              </w:rPr>
              <w:t>pH</w:t>
            </w:r>
            <w:r w:rsidRPr="00CE2F30">
              <w:rPr>
                <w:rFonts w:hint="eastAsia"/>
                <w:szCs w:val="21"/>
              </w:rPr>
              <w:t>值、不溶性微粒、无菌</w:t>
            </w:r>
          </w:p>
        </w:tc>
      </w:tr>
      <w:tr w:rsidR="005111DF" w:rsidRPr="00CE2F30" w:rsidTr="00752DA2">
        <w:trPr>
          <w:trHeight w:val="340"/>
        </w:trPr>
        <w:tc>
          <w:tcPr>
            <w:tcW w:w="1877" w:type="dxa"/>
            <w:tcBorders>
              <w:top w:val="nil"/>
              <w:left w:val="nil"/>
              <w:bottom w:val="single" w:sz="8" w:space="0" w:color="auto"/>
              <w:right w:val="nil"/>
            </w:tcBorders>
          </w:tcPr>
          <w:p w:rsidR="005111DF" w:rsidRPr="00CE2F30" w:rsidRDefault="005111DF" w:rsidP="00752DA2">
            <w:pPr>
              <w:spacing w:beforeLines="50" w:before="156" w:line="360" w:lineRule="auto"/>
              <w:rPr>
                <w:szCs w:val="21"/>
              </w:rPr>
            </w:pPr>
            <w:r w:rsidRPr="00CE2F30">
              <w:rPr>
                <w:szCs w:val="21"/>
              </w:rPr>
              <w:t xml:space="preserve">13. </w:t>
            </w:r>
            <w:r w:rsidRPr="00CE2F30">
              <w:rPr>
                <w:rFonts w:hint="eastAsia"/>
                <w:szCs w:val="21"/>
              </w:rPr>
              <w:t>灌注剂</w:t>
            </w:r>
          </w:p>
        </w:tc>
        <w:tc>
          <w:tcPr>
            <w:tcW w:w="6357" w:type="dxa"/>
            <w:tcBorders>
              <w:top w:val="nil"/>
              <w:left w:val="nil"/>
              <w:bottom w:val="single" w:sz="8" w:space="0" w:color="auto"/>
              <w:right w:val="nil"/>
            </w:tcBorders>
          </w:tcPr>
          <w:p w:rsidR="005111DF" w:rsidRPr="00CE2F30" w:rsidRDefault="005111DF" w:rsidP="00752DA2">
            <w:pPr>
              <w:spacing w:beforeLines="50" w:before="156" w:line="360" w:lineRule="auto"/>
              <w:rPr>
                <w:szCs w:val="21"/>
              </w:rPr>
            </w:pPr>
            <w:r w:rsidRPr="00CE2F30">
              <w:rPr>
                <w:rFonts w:hint="eastAsia"/>
                <w:szCs w:val="21"/>
              </w:rPr>
              <w:t>性状、鉴别、含量、</w:t>
            </w:r>
            <w:r w:rsidRPr="00CE2F30">
              <w:rPr>
                <w:szCs w:val="21"/>
              </w:rPr>
              <w:t>pH</w:t>
            </w:r>
            <w:r w:rsidRPr="00CE2F30">
              <w:rPr>
                <w:rFonts w:hint="eastAsia"/>
                <w:szCs w:val="21"/>
              </w:rPr>
              <w:t>值、无菌</w:t>
            </w:r>
          </w:p>
        </w:tc>
      </w:tr>
    </w:tbl>
    <w:p w:rsidR="005111DF" w:rsidRPr="00CE2F30" w:rsidRDefault="005111DF" w:rsidP="005111DF">
      <w:pPr>
        <w:spacing w:beforeLines="50" w:before="156" w:line="360" w:lineRule="auto"/>
        <w:jc w:val="center"/>
        <w:rPr>
          <w:rFonts w:ascii="黑体" w:eastAsia="黑体" w:hAnsi="Courier New" w:cs="Courier New" w:hint="eastAsia"/>
          <w:bCs/>
          <w:color w:val="000000"/>
          <w:szCs w:val="21"/>
        </w:rPr>
      </w:pPr>
    </w:p>
    <w:p w:rsidR="00751717" w:rsidRPr="005111DF" w:rsidRDefault="00751717"/>
    <w:sectPr w:rsidR="00751717" w:rsidRPr="00511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DF"/>
    <w:rsid w:val="005111DF"/>
    <w:rsid w:val="0075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CC61967D-F58F-4A32-B321-38EE77BB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1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1</cp:revision>
  <dcterms:created xsi:type="dcterms:W3CDTF">2024-03-18T07:08:00Z</dcterms:created>
  <dcterms:modified xsi:type="dcterms:W3CDTF">2024-03-18T07:09:00Z</dcterms:modified>
</cp:coreProperties>
</file>