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5B7" w:rsidRPr="004563B6" w:rsidRDefault="001435B7" w:rsidP="001435B7">
      <w:pPr>
        <w:pStyle w:val="af3"/>
        <w:spacing w:before="0" w:after="0" w:line="360" w:lineRule="auto"/>
        <w:outlineLvl w:val="1"/>
        <w:rPr>
          <w:rFonts w:ascii="Times New Roman"/>
          <w:sz w:val="36"/>
          <w:szCs w:val="36"/>
        </w:rPr>
      </w:pPr>
      <w:bookmarkStart w:id="0" w:name="_Toc308442099"/>
      <w:bookmarkStart w:id="1" w:name="_GoBack"/>
      <w:r w:rsidRPr="004563B6">
        <w:rPr>
          <w:rFonts w:ascii="Times New Roman"/>
          <w:sz w:val="36"/>
          <w:szCs w:val="36"/>
        </w:rPr>
        <w:t>兽药小鼠骨髓细胞微核试验指导原则</w:t>
      </w:r>
      <w:bookmarkEnd w:id="0"/>
    </w:p>
    <w:bookmarkEnd w:id="1"/>
    <w:p w:rsidR="001435B7" w:rsidRPr="004563B6" w:rsidRDefault="001435B7" w:rsidP="001435B7">
      <w:pPr>
        <w:pStyle w:val="af2"/>
        <w:spacing w:line="360" w:lineRule="auto"/>
        <w:ind w:firstLineChars="0" w:firstLine="0"/>
        <w:jc w:val="center"/>
        <w:outlineLvl w:val="2"/>
        <w:rPr>
          <w:rFonts w:ascii="Times New Roman" w:eastAsia="黑体"/>
          <w:sz w:val="30"/>
          <w:szCs w:val="30"/>
        </w:rPr>
      </w:pPr>
      <w:r w:rsidRPr="004563B6">
        <w:rPr>
          <w:rFonts w:ascii="Times New Roman" w:eastAsia="黑体"/>
          <w:sz w:val="30"/>
          <w:szCs w:val="30"/>
        </w:rPr>
        <w:t>一、概述</w:t>
      </w:r>
    </w:p>
    <w:p w:rsidR="001435B7" w:rsidRPr="004563B6" w:rsidRDefault="001435B7" w:rsidP="001435B7">
      <w:pPr>
        <w:pStyle w:val="af2"/>
        <w:spacing w:line="360" w:lineRule="auto"/>
        <w:ind w:firstLineChars="0" w:firstLine="0"/>
        <w:outlineLvl w:val="3"/>
        <w:rPr>
          <w:rFonts w:ascii="Times New Roman" w:eastAsia="黑体"/>
          <w:sz w:val="28"/>
          <w:szCs w:val="28"/>
        </w:rPr>
      </w:pPr>
      <w:r w:rsidRPr="004563B6">
        <w:rPr>
          <w:rFonts w:ascii="Times New Roman" w:eastAsia="黑体"/>
          <w:sz w:val="28"/>
          <w:szCs w:val="28"/>
        </w:rPr>
        <w:t>（一）定义与目的</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微核试验是通过测量微核率来评价染色体损伤的一种细胞遗传学方法。微核是在细胞的有丝分裂后期染色体有规律地进入子细胞形成细胞核时，仍然滞留在细胞质中的染色单体或染色体的无着丝粒断片或环。它在末期以后，单独形成一个或几个规则的次核，包含在细胞的胞质中，由于比核小得多故称微核。这种情况的出现往往是受到染色体断裂剂作用的结果。另外，也可能在受到纺锤体毒物的作用时，主核没有能够形成，代之以一组小核。此时小核往往比一般典型的微核稍大。</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微核可以出现在多种细胞中，但在有核细胞中较难与正常核的分叶及核突出物相区别。由于红细胞在成熟之前最后一次分离后数小时内可将主核排出，而仍保留微核于嗜多染红细胞（</w:t>
      </w:r>
      <w:r w:rsidRPr="00000D16">
        <w:rPr>
          <w:rFonts w:ascii="Times New Roman"/>
          <w:szCs w:val="21"/>
        </w:rPr>
        <w:t>PCE</w:t>
      </w:r>
      <w:r w:rsidRPr="00000D16">
        <w:rPr>
          <w:rFonts w:ascii="Times New Roman" w:hAnsi="宋体"/>
          <w:szCs w:val="21"/>
        </w:rPr>
        <w:t>）中，因此通常计数哺乳动物骨髓</w:t>
      </w:r>
      <w:r w:rsidRPr="00000D16">
        <w:rPr>
          <w:rFonts w:ascii="Times New Roman"/>
          <w:szCs w:val="21"/>
        </w:rPr>
        <w:t>PCE</w:t>
      </w:r>
      <w:r w:rsidRPr="00000D16">
        <w:rPr>
          <w:rFonts w:ascii="Times New Roman" w:hAnsi="宋体"/>
          <w:szCs w:val="21"/>
        </w:rPr>
        <w:t>的微核。</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为了确保小鼠骨髓细胞微核试验结果的真实性、可靠性和可追溯性，根据新兽药研究的规律，结合国内兽药毒理学评价的实际情况制定了本指导原则。</w:t>
      </w:r>
    </w:p>
    <w:p w:rsidR="001435B7" w:rsidRPr="004563B6" w:rsidRDefault="001435B7" w:rsidP="001435B7">
      <w:pPr>
        <w:pStyle w:val="af2"/>
        <w:spacing w:line="360" w:lineRule="auto"/>
        <w:ind w:firstLineChars="0" w:firstLine="0"/>
        <w:outlineLvl w:val="3"/>
        <w:rPr>
          <w:rFonts w:ascii="Times New Roman"/>
          <w:sz w:val="24"/>
        </w:rPr>
      </w:pPr>
      <w:r w:rsidRPr="004563B6">
        <w:rPr>
          <w:rFonts w:ascii="Times New Roman" w:eastAsia="黑体"/>
          <w:sz w:val="28"/>
          <w:szCs w:val="28"/>
        </w:rPr>
        <w:t>（二）适用范围</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本指导原则适用于兽用化学药品、中兽药、消毒剂及饲料药物添加剂的</w:t>
      </w:r>
      <w:r w:rsidRPr="00000D16">
        <w:rPr>
          <w:rFonts w:ascii="Times New Roman" w:hAnsi="宋体" w:hint="eastAsia"/>
          <w:szCs w:val="21"/>
        </w:rPr>
        <w:t>哺乳动物体</w:t>
      </w:r>
      <w:r w:rsidRPr="00000D16">
        <w:rPr>
          <w:rFonts w:ascii="Times New Roman" w:hAnsi="宋体"/>
          <w:szCs w:val="21"/>
        </w:rPr>
        <w:t>细胞遗传毒性检测。</w:t>
      </w:r>
    </w:p>
    <w:p w:rsidR="001435B7" w:rsidRPr="004563B6" w:rsidRDefault="001435B7" w:rsidP="001435B7">
      <w:pPr>
        <w:pStyle w:val="af2"/>
        <w:spacing w:line="360" w:lineRule="auto"/>
        <w:ind w:firstLineChars="0" w:firstLine="0"/>
        <w:jc w:val="center"/>
        <w:outlineLvl w:val="2"/>
        <w:rPr>
          <w:rFonts w:ascii="Times New Roman" w:eastAsia="黑体"/>
          <w:sz w:val="30"/>
          <w:szCs w:val="30"/>
        </w:rPr>
      </w:pPr>
      <w:r w:rsidRPr="004563B6">
        <w:rPr>
          <w:rFonts w:ascii="Times New Roman" w:eastAsia="黑体"/>
          <w:sz w:val="30"/>
          <w:szCs w:val="30"/>
        </w:rPr>
        <w:t>二、试验设计</w:t>
      </w:r>
    </w:p>
    <w:p w:rsidR="001435B7" w:rsidRPr="004563B6" w:rsidRDefault="001435B7" w:rsidP="001435B7">
      <w:pPr>
        <w:pStyle w:val="a7"/>
        <w:numPr>
          <w:ilvl w:val="0"/>
          <w:numId w:val="0"/>
        </w:numPr>
        <w:spacing w:beforeLines="0" w:before="0" w:afterLines="0" w:after="0" w:line="360" w:lineRule="auto"/>
        <w:outlineLvl w:val="9"/>
        <w:rPr>
          <w:rFonts w:ascii="Times New Roman" w:eastAsia="宋体"/>
          <w:b/>
          <w:sz w:val="24"/>
          <w:szCs w:val="24"/>
        </w:rPr>
      </w:pPr>
      <w:r w:rsidRPr="004563B6">
        <w:rPr>
          <w:rFonts w:ascii="Times New Roman"/>
          <w:sz w:val="28"/>
          <w:szCs w:val="28"/>
        </w:rPr>
        <w:t>（一）材料与方法</w:t>
      </w:r>
    </w:p>
    <w:p w:rsidR="001435B7" w:rsidRPr="00000D16" w:rsidRDefault="001435B7" w:rsidP="001435B7">
      <w:pPr>
        <w:pStyle w:val="a9"/>
        <w:numPr>
          <w:ilvl w:val="0"/>
          <w:numId w:val="0"/>
        </w:numPr>
        <w:spacing w:line="360" w:lineRule="auto"/>
        <w:outlineLvl w:val="9"/>
        <w:rPr>
          <w:rFonts w:eastAsia="宋体"/>
          <w:szCs w:val="21"/>
        </w:rPr>
      </w:pPr>
      <w:r w:rsidRPr="004563B6">
        <w:rPr>
          <w:b/>
          <w:noProof/>
          <w:sz w:val="24"/>
          <w:szCs w:val="24"/>
        </w:rPr>
        <w:t xml:space="preserve">    </w:t>
      </w:r>
      <w:r w:rsidRPr="00000D16">
        <w:rPr>
          <w:b/>
          <w:noProof/>
          <w:szCs w:val="21"/>
        </w:rPr>
        <w:t>1.</w:t>
      </w:r>
      <w:r w:rsidRPr="00000D16">
        <w:rPr>
          <w:szCs w:val="21"/>
        </w:rPr>
        <w:t>实验动物</w:t>
      </w:r>
    </w:p>
    <w:p w:rsidR="001435B7" w:rsidRPr="00000D16" w:rsidRDefault="001435B7" w:rsidP="001435B7">
      <w:pPr>
        <w:pStyle w:val="af2"/>
        <w:spacing w:line="360" w:lineRule="auto"/>
        <w:ind w:firstLine="420"/>
        <w:rPr>
          <w:rFonts w:ascii="Times New Roman"/>
          <w:szCs w:val="21"/>
        </w:rPr>
      </w:pPr>
      <w:r w:rsidRPr="00000D16">
        <w:rPr>
          <w:rFonts w:ascii="Times New Roman"/>
          <w:szCs w:val="21"/>
        </w:rPr>
        <w:t>SPF</w:t>
      </w:r>
      <w:r w:rsidRPr="00000D16">
        <w:rPr>
          <w:rFonts w:ascii="Times New Roman" w:hAnsi="宋体"/>
          <w:szCs w:val="21"/>
        </w:rPr>
        <w:t>小鼠，</w:t>
      </w:r>
      <w:r w:rsidRPr="00000D16">
        <w:rPr>
          <w:rFonts w:ascii="Times New Roman"/>
          <w:szCs w:val="21"/>
        </w:rPr>
        <w:t>7</w:t>
      </w:r>
      <w:r w:rsidRPr="00000D16">
        <w:rPr>
          <w:rFonts w:ascii="Times New Roman" w:hAnsi="宋体"/>
          <w:szCs w:val="21"/>
        </w:rPr>
        <w:t>～</w:t>
      </w:r>
      <w:r w:rsidRPr="00000D16">
        <w:rPr>
          <w:rFonts w:ascii="Times New Roman"/>
          <w:szCs w:val="21"/>
        </w:rPr>
        <w:t>12</w:t>
      </w:r>
      <w:r w:rsidRPr="00000D16">
        <w:rPr>
          <w:rFonts w:ascii="Times New Roman" w:hAnsi="宋体"/>
          <w:szCs w:val="21"/>
        </w:rPr>
        <w:t>周龄，体重</w:t>
      </w:r>
      <w:r w:rsidRPr="00000D16">
        <w:rPr>
          <w:rFonts w:ascii="Times New Roman"/>
          <w:szCs w:val="21"/>
        </w:rPr>
        <w:t>25</w:t>
      </w:r>
      <w:r w:rsidRPr="00000D16">
        <w:rPr>
          <w:rFonts w:ascii="Times New Roman" w:hAnsi="宋体"/>
          <w:szCs w:val="21"/>
        </w:rPr>
        <w:t>～</w:t>
      </w:r>
      <w:smartTag w:uri="urn:schemas-microsoft-com:office:smarttags" w:element="chmetcnv">
        <w:smartTagPr>
          <w:attr w:name="TCSC" w:val="0"/>
          <w:attr w:name="NumberType" w:val="1"/>
          <w:attr w:name="Negative" w:val="False"/>
          <w:attr w:name="HasSpace" w:val="False"/>
          <w:attr w:name="SourceValue" w:val="30"/>
          <w:attr w:name="UnitName" w:val="g"/>
        </w:smartTagPr>
        <w:r w:rsidRPr="00000D16">
          <w:rPr>
            <w:rFonts w:ascii="Times New Roman"/>
            <w:szCs w:val="21"/>
          </w:rPr>
          <w:t>30g</w:t>
        </w:r>
      </w:smartTag>
      <w:r w:rsidRPr="00000D16">
        <w:rPr>
          <w:rFonts w:ascii="Times New Roman" w:hAnsi="宋体"/>
          <w:szCs w:val="21"/>
        </w:rPr>
        <w:t>，</w:t>
      </w:r>
      <w:r w:rsidRPr="00000D16">
        <w:rPr>
          <w:rFonts w:ascii="Times New Roman"/>
          <w:szCs w:val="21"/>
        </w:rPr>
        <w:t>100</w:t>
      </w:r>
      <w:r w:rsidRPr="00000D16">
        <w:rPr>
          <w:rFonts w:ascii="Times New Roman" w:hAnsi="宋体"/>
          <w:szCs w:val="21"/>
        </w:rPr>
        <w:t>只左右，雌、雄各半。</w:t>
      </w:r>
    </w:p>
    <w:p w:rsidR="001435B7" w:rsidRPr="00000D16" w:rsidRDefault="001435B7" w:rsidP="001435B7">
      <w:pPr>
        <w:pStyle w:val="a9"/>
        <w:numPr>
          <w:ilvl w:val="0"/>
          <w:numId w:val="0"/>
        </w:numPr>
        <w:spacing w:line="360" w:lineRule="auto"/>
        <w:ind w:firstLineChars="200" w:firstLine="420"/>
        <w:outlineLvl w:val="9"/>
        <w:rPr>
          <w:noProof/>
          <w:szCs w:val="21"/>
        </w:rPr>
      </w:pPr>
      <w:r w:rsidRPr="00000D16">
        <w:rPr>
          <w:noProof/>
          <w:szCs w:val="21"/>
        </w:rPr>
        <w:t>2.</w:t>
      </w:r>
      <w:r w:rsidRPr="00000D16">
        <w:rPr>
          <w:noProof/>
          <w:szCs w:val="21"/>
        </w:rPr>
        <w:t>试剂</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）致突变阳性对照物</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环磷酰胺，分析纯以上，含量不低于</w:t>
      </w:r>
      <w:r w:rsidRPr="00000D16">
        <w:rPr>
          <w:rFonts w:ascii="Times New Roman"/>
          <w:szCs w:val="21"/>
        </w:rPr>
        <w:t>98.5%</w:t>
      </w:r>
      <w:r w:rsidRPr="00000D16">
        <w:rPr>
          <w:rFonts w:ascii="Times New Roman" w:hAnsi="宋体"/>
          <w:szCs w:val="21"/>
        </w:rPr>
        <w:t>。</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）其他试剂</w:t>
      </w:r>
    </w:p>
    <w:p w:rsidR="001435B7" w:rsidRPr="00000D16" w:rsidRDefault="001435B7" w:rsidP="001435B7">
      <w:pPr>
        <w:pStyle w:val="af4"/>
        <w:spacing w:line="360" w:lineRule="auto"/>
        <w:ind w:firstLineChars="200" w:firstLine="420"/>
        <w:outlineLvl w:val="9"/>
        <w:rPr>
          <w:rFonts w:eastAsia="宋体" w:hint="eastAsia"/>
          <w:szCs w:val="21"/>
        </w:rPr>
      </w:pPr>
      <w:r w:rsidRPr="00000D16">
        <w:rPr>
          <w:rFonts w:eastAsia="宋体" w:hAnsi="宋体"/>
          <w:szCs w:val="21"/>
        </w:rPr>
        <w:t>甲醇</w:t>
      </w:r>
      <w:r w:rsidRPr="00000D16">
        <w:rPr>
          <w:rFonts w:eastAsia="宋体" w:hAnsi="宋体" w:hint="eastAsia"/>
          <w:szCs w:val="21"/>
        </w:rPr>
        <w:t>：分析纯；</w:t>
      </w:r>
    </w:p>
    <w:p w:rsidR="001435B7" w:rsidRPr="00000D16" w:rsidRDefault="001435B7" w:rsidP="001435B7">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甘油</w:t>
      </w:r>
      <w:r w:rsidRPr="00000D16">
        <w:rPr>
          <w:rFonts w:eastAsia="宋体" w:hAnsi="宋体" w:hint="eastAsia"/>
          <w:szCs w:val="21"/>
        </w:rPr>
        <w:t>：分析纯；</w:t>
      </w:r>
    </w:p>
    <w:p w:rsidR="001435B7" w:rsidRPr="00000D16" w:rsidRDefault="001435B7" w:rsidP="001435B7">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磷酸二氢钾</w:t>
      </w:r>
      <w:r w:rsidRPr="00000D16">
        <w:rPr>
          <w:rFonts w:eastAsia="宋体" w:hAnsi="宋体" w:hint="eastAsia"/>
          <w:szCs w:val="21"/>
        </w:rPr>
        <w:t>：分析纯；</w:t>
      </w:r>
    </w:p>
    <w:p w:rsidR="001435B7" w:rsidRPr="00000D16" w:rsidRDefault="001435B7" w:rsidP="001435B7">
      <w:pPr>
        <w:pStyle w:val="af4"/>
        <w:spacing w:line="360" w:lineRule="auto"/>
        <w:outlineLvl w:val="9"/>
        <w:rPr>
          <w:rFonts w:eastAsia="宋体"/>
          <w:szCs w:val="21"/>
        </w:rPr>
      </w:pPr>
      <w:r w:rsidRPr="00000D16">
        <w:rPr>
          <w:rFonts w:eastAsia="宋体"/>
          <w:szCs w:val="21"/>
        </w:rPr>
        <w:lastRenderedPageBreak/>
        <w:t xml:space="preserve">    </w:t>
      </w:r>
      <w:r w:rsidRPr="00000D16">
        <w:rPr>
          <w:rFonts w:eastAsia="宋体" w:hAnsi="宋体"/>
          <w:szCs w:val="21"/>
        </w:rPr>
        <w:t>磷酸氢二钠</w:t>
      </w:r>
      <w:r w:rsidRPr="00000D16">
        <w:rPr>
          <w:rFonts w:eastAsia="宋体" w:hAnsi="宋体" w:hint="eastAsia"/>
          <w:szCs w:val="21"/>
        </w:rPr>
        <w:t>：分析纯；</w:t>
      </w:r>
    </w:p>
    <w:p w:rsidR="001435B7" w:rsidRPr="00000D16" w:rsidRDefault="001435B7" w:rsidP="001435B7">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姬姆萨（</w:t>
      </w:r>
      <w:r w:rsidRPr="00000D16">
        <w:rPr>
          <w:rFonts w:eastAsia="宋体"/>
          <w:szCs w:val="21"/>
        </w:rPr>
        <w:t>Giemsa</w:t>
      </w:r>
      <w:r w:rsidRPr="00000D16">
        <w:rPr>
          <w:rFonts w:eastAsia="宋体" w:hAnsi="宋体"/>
          <w:szCs w:val="21"/>
        </w:rPr>
        <w:t>）染料</w:t>
      </w:r>
      <w:r w:rsidRPr="00000D16">
        <w:rPr>
          <w:rFonts w:eastAsia="宋体" w:hAnsi="宋体" w:hint="eastAsia"/>
          <w:szCs w:val="21"/>
        </w:rPr>
        <w:t>：分析纯；</w:t>
      </w:r>
    </w:p>
    <w:p w:rsidR="001435B7" w:rsidRPr="00000D16" w:rsidRDefault="001435B7" w:rsidP="001435B7">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小牛血清</w:t>
      </w:r>
      <w:r w:rsidRPr="00000D16">
        <w:rPr>
          <w:rFonts w:eastAsia="宋体" w:hAnsi="宋体" w:hint="eastAsia"/>
          <w:szCs w:val="21"/>
        </w:rPr>
        <w:t>：分析纯。</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过滤除菌后放入</w:t>
      </w:r>
      <w:smartTag w:uri="urn:schemas-microsoft-com:office:smarttags" w:element="chmetcnv">
        <w:smartTagPr>
          <w:attr w:name="TCSC" w:val="0"/>
          <w:attr w:name="NumberType" w:val="1"/>
          <w:attr w:name="Negative" w:val="False"/>
          <w:attr w:name="HasSpace" w:val="False"/>
          <w:attr w:name="SourceValue" w:val="56"/>
          <w:attr w:name="UnitName" w:val="℃"/>
        </w:smartTagPr>
        <w:r w:rsidRPr="00000D16">
          <w:rPr>
            <w:rFonts w:ascii="Times New Roman"/>
            <w:szCs w:val="21"/>
          </w:rPr>
          <w:t>56</w:t>
        </w:r>
        <w:r w:rsidRPr="00000D16">
          <w:rPr>
            <w:rFonts w:ascii="Times New Roman" w:hAnsi="宋体"/>
            <w:szCs w:val="21"/>
          </w:rPr>
          <w:t>℃</w:t>
        </w:r>
      </w:smartTag>
      <w:r w:rsidRPr="00000D16">
        <w:rPr>
          <w:rFonts w:ascii="Times New Roman" w:hAnsi="宋体"/>
          <w:szCs w:val="21"/>
        </w:rPr>
        <w:t>恒温水浴中保温</w:t>
      </w:r>
      <w:r w:rsidRPr="00000D16">
        <w:rPr>
          <w:rFonts w:ascii="Times New Roman"/>
          <w:szCs w:val="21"/>
        </w:rPr>
        <w:t>1h</w:t>
      </w:r>
      <w:r w:rsidRPr="00000D16">
        <w:rPr>
          <w:rFonts w:ascii="Times New Roman" w:hAnsi="宋体"/>
          <w:szCs w:val="21"/>
        </w:rPr>
        <w:t>进行灭活。储存于</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冰箱或冰盒里备用。</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3</w:t>
      </w:r>
      <w:r w:rsidRPr="00000D16">
        <w:rPr>
          <w:rFonts w:eastAsia="宋体" w:hAnsi="宋体"/>
          <w:szCs w:val="21"/>
        </w:rPr>
        <w:t>）</w:t>
      </w:r>
      <w:r w:rsidRPr="00000D16">
        <w:rPr>
          <w:rFonts w:eastAsia="宋体"/>
          <w:szCs w:val="21"/>
        </w:rPr>
        <w:t>Giemsa</w:t>
      </w:r>
      <w:r w:rsidRPr="00000D16">
        <w:rPr>
          <w:rFonts w:eastAsia="宋体" w:hAnsi="宋体"/>
          <w:szCs w:val="21"/>
        </w:rPr>
        <w:t>贮备液配制</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称取</w:t>
      </w:r>
      <w:r w:rsidRPr="00000D16">
        <w:rPr>
          <w:rFonts w:ascii="Times New Roman"/>
          <w:szCs w:val="21"/>
        </w:rPr>
        <w:t>Giemsa</w:t>
      </w:r>
      <w:r w:rsidRPr="00000D16">
        <w:rPr>
          <w:rFonts w:ascii="Times New Roman" w:hAnsi="宋体"/>
          <w:szCs w:val="21"/>
        </w:rPr>
        <w:t>染料</w:t>
      </w:r>
      <w:smartTag w:uri="urn:schemas-microsoft-com:office:smarttags" w:element="chmetcnv">
        <w:smartTagPr>
          <w:attr w:name="TCSC" w:val="0"/>
          <w:attr w:name="NumberType" w:val="1"/>
          <w:attr w:name="Negative" w:val="False"/>
          <w:attr w:name="HasSpace" w:val="False"/>
          <w:attr w:name="SourceValue" w:val="3.8"/>
          <w:attr w:name="UnitName" w:val="g"/>
        </w:smartTagPr>
        <w:r w:rsidRPr="00000D16">
          <w:rPr>
            <w:rFonts w:ascii="Times New Roman"/>
            <w:szCs w:val="21"/>
          </w:rPr>
          <w:t>3.80g</w:t>
        </w:r>
      </w:smartTag>
      <w:r w:rsidRPr="00000D16">
        <w:rPr>
          <w:rFonts w:ascii="Times New Roman" w:hAnsi="宋体"/>
          <w:szCs w:val="21"/>
        </w:rPr>
        <w:t>于研钵中，加入</w:t>
      </w:r>
      <w:r w:rsidRPr="00000D16">
        <w:rPr>
          <w:rFonts w:ascii="Times New Roman"/>
          <w:szCs w:val="21"/>
        </w:rPr>
        <w:t>375 mL</w:t>
      </w:r>
      <w:r w:rsidRPr="00000D16">
        <w:rPr>
          <w:rFonts w:ascii="Times New Roman" w:hAnsi="宋体"/>
          <w:szCs w:val="21"/>
        </w:rPr>
        <w:t>甲醇（分析纯）一起研磨，待完全溶解后再加入</w:t>
      </w:r>
      <w:r w:rsidRPr="00000D16">
        <w:rPr>
          <w:rFonts w:ascii="Times New Roman"/>
          <w:szCs w:val="21"/>
        </w:rPr>
        <w:t>125 mL</w:t>
      </w:r>
      <w:r w:rsidRPr="00000D16">
        <w:rPr>
          <w:rFonts w:ascii="Times New Roman" w:hAnsi="宋体"/>
          <w:szCs w:val="21"/>
        </w:rPr>
        <w:t>甘油。移入试剂瓶内，置</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恒温箱保温</w:t>
      </w:r>
      <w:r w:rsidRPr="00000D16">
        <w:rPr>
          <w:rFonts w:ascii="Times New Roman"/>
          <w:szCs w:val="21"/>
        </w:rPr>
        <w:t>48h</w:t>
      </w:r>
      <w:r w:rsidRPr="00000D16">
        <w:rPr>
          <w:rFonts w:ascii="Times New Roman" w:hAnsi="宋体"/>
          <w:szCs w:val="21"/>
        </w:rPr>
        <w:t>，其间振摇数次</w:t>
      </w:r>
      <w:r w:rsidRPr="00000D16">
        <w:rPr>
          <w:rFonts w:ascii="Times New Roman"/>
          <w:szCs w:val="21"/>
        </w:rPr>
        <w:t xml:space="preserve">, </w:t>
      </w:r>
      <w:r w:rsidRPr="00000D16">
        <w:rPr>
          <w:rFonts w:ascii="Times New Roman" w:hAnsi="宋体"/>
          <w:szCs w:val="21"/>
        </w:rPr>
        <w:t>两周后过滤可用。</w:t>
      </w:r>
      <w:r w:rsidRPr="00000D16">
        <w:rPr>
          <w:rFonts w:ascii="Times New Roman"/>
          <w:szCs w:val="21"/>
        </w:rPr>
        <w:t xml:space="preserve">  </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4</w:t>
      </w:r>
      <w:r w:rsidRPr="00000D16">
        <w:rPr>
          <w:rFonts w:eastAsia="宋体" w:hAnsi="宋体"/>
          <w:szCs w:val="21"/>
        </w:rPr>
        <w:t>）</w:t>
      </w:r>
      <w:r w:rsidRPr="00000D16">
        <w:rPr>
          <w:rFonts w:eastAsia="宋体"/>
          <w:szCs w:val="21"/>
        </w:rPr>
        <w:t>1/15mo1/L</w:t>
      </w:r>
      <w:r w:rsidRPr="00000D16">
        <w:rPr>
          <w:rFonts w:eastAsia="宋体" w:hAnsi="宋体"/>
          <w:szCs w:val="21"/>
        </w:rPr>
        <w:t>磷酸盐缓冲液（</w:t>
      </w:r>
      <w:r w:rsidRPr="00000D16">
        <w:rPr>
          <w:rFonts w:eastAsia="宋体"/>
          <w:szCs w:val="21"/>
        </w:rPr>
        <w:t>pH6.8</w:t>
      </w:r>
      <w:r w:rsidRPr="00000D16">
        <w:rPr>
          <w:rFonts w:eastAsia="宋体" w:hAnsi="宋体"/>
          <w:szCs w:val="21"/>
        </w:rPr>
        <w:t>）配制</w:t>
      </w:r>
    </w:p>
    <w:p w:rsidR="001435B7" w:rsidRPr="00000D16" w:rsidRDefault="001435B7" w:rsidP="001435B7">
      <w:pPr>
        <w:pStyle w:val="af2"/>
        <w:spacing w:line="360" w:lineRule="auto"/>
        <w:ind w:firstLine="420"/>
        <w:rPr>
          <w:rStyle w:val="Char"/>
          <w:rFonts w:ascii="Times New Roman"/>
          <w:szCs w:val="21"/>
        </w:rPr>
      </w:pPr>
      <w:r w:rsidRPr="00000D16">
        <w:rPr>
          <w:rStyle w:val="Char"/>
          <w:rFonts w:ascii="Times New Roman" w:hAnsi="宋体"/>
          <w:szCs w:val="21"/>
        </w:rPr>
        <w:t>分别称取磷酸二氢钾（</w:t>
      </w:r>
      <w:r w:rsidRPr="00000D16">
        <w:rPr>
          <w:rStyle w:val="Char"/>
          <w:rFonts w:ascii="Times New Roman"/>
          <w:szCs w:val="21"/>
        </w:rPr>
        <w:t>KH</w:t>
      </w:r>
      <w:r w:rsidRPr="00000D16">
        <w:rPr>
          <w:rStyle w:val="Char"/>
          <w:rFonts w:ascii="Times New Roman"/>
          <w:szCs w:val="21"/>
          <w:vertAlign w:val="subscript"/>
        </w:rPr>
        <w:t>2</w:t>
      </w:r>
      <w:r w:rsidRPr="00000D16">
        <w:rPr>
          <w:rStyle w:val="Char"/>
          <w:rFonts w:ascii="Times New Roman"/>
          <w:szCs w:val="21"/>
        </w:rPr>
        <w:t>PO</w:t>
      </w:r>
      <w:r w:rsidRPr="00000D16">
        <w:rPr>
          <w:rStyle w:val="Char"/>
          <w:rFonts w:ascii="Times New Roman"/>
          <w:szCs w:val="21"/>
          <w:vertAlign w:val="subscript"/>
        </w:rPr>
        <w:t>4</w:t>
      </w:r>
      <w:r w:rsidRPr="00000D16">
        <w:rPr>
          <w:rStyle w:val="Char"/>
          <w:rFonts w:ascii="Times New Roman" w:hAnsi="宋体"/>
          <w:szCs w:val="21"/>
        </w:rPr>
        <w:t>）</w:t>
      </w:r>
      <w:smartTag w:uri="urn:schemas-microsoft-com:office:smarttags" w:element="chmetcnv">
        <w:smartTagPr>
          <w:attr w:name="TCSC" w:val="0"/>
          <w:attr w:name="NumberType" w:val="1"/>
          <w:attr w:name="Negative" w:val="False"/>
          <w:attr w:name="HasSpace" w:val="False"/>
          <w:attr w:name="SourceValue" w:val="9.08"/>
          <w:attr w:name="UnitName" w:val="g"/>
        </w:smartTagPr>
        <w:r w:rsidRPr="00000D16">
          <w:rPr>
            <w:rStyle w:val="Char"/>
            <w:rFonts w:ascii="Times New Roman"/>
            <w:szCs w:val="21"/>
          </w:rPr>
          <w:t>9.08g</w:t>
        </w:r>
      </w:smartTag>
      <w:r w:rsidRPr="00000D16">
        <w:rPr>
          <w:rStyle w:val="Char"/>
          <w:rFonts w:ascii="Times New Roman" w:hAnsi="宋体"/>
          <w:szCs w:val="21"/>
        </w:rPr>
        <w:t>和磷酸氢二钠（</w:t>
      </w:r>
      <w:r w:rsidRPr="00000D16">
        <w:rPr>
          <w:rStyle w:val="Char"/>
          <w:rFonts w:ascii="Times New Roman"/>
          <w:szCs w:val="21"/>
        </w:rPr>
        <w:t>Na</w:t>
      </w:r>
      <w:r w:rsidRPr="00000D16">
        <w:rPr>
          <w:rStyle w:val="Char"/>
          <w:rFonts w:ascii="Times New Roman"/>
          <w:szCs w:val="21"/>
          <w:vertAlign w:val="subscript"/>
        </w:rPr>
        <w:t>2</w:t>
      </w:r>
      <w:r w:rsidRPr="00000D16">
        <w:rPr>
          <w:rStyle w:val="Char"/>
          <w:rFonts w:ascii="Times New Roman"/>
          <w:szCs w:val="21"/>
        </w:rPr>
        <w:t>HPO</w:t>
      </w:r>
      <w:r w:rsidRPr="00000D16">
        <w:rPr>
          <w:rStyle w:val="Char"/>
          <w:rFonts w:ascii="Times New Roman"/>
          <w:szCs w:val="21"/>
          <w:vertAlign w:val="subscript"/>
        </w:rPr>
        <w:t>4</w:t>
      </w:r>
      <w:r w:rsidRPr="00000D16">
        <w:rPr>
          <w:rStyle w:val="Char"/>
          <w:rFonts w:ascii="Times New Roman"/>
          <w:szCs w:val="21"/>
        </w:rPr>
        <w:t>.12H</w:t>
      </w:r>
      <w:r w:rsidRPr="00000D16">
        <w:rPr>
          <w:rStyle w:val="Char"/>
          <w:rFonts w:ascii="Times New Roman"/>
          <w:szCs w:val="21"/>
          <w:vertAlign w:val="subscript"/>
        </w:rPr>
        <w:t>2</w:t>
      </w:r>
      <w:r w:rsidRPr="00000D16">
        <w:rPr>
          <w:rStyle w:val="Char"/>
          <w:rFonts w:ascii="Times New Roman"/>
          <w:szCs w:val="21"/>
        </w:rPr>
        <w:t>O</w:t>
      </w:r>
      <w:r w:rsidRPr="00000D16">
        <w:rPr>
          <w:rStyle w:val="Char"/>
          <w:rFonts w:ascii="Times New Roman" w:hAnsi="宋体"/>
          <w:szCs w:val="21"/>
        </w:rPr>
        <w:t>）</w:t>
      </w:r>
      <w:smartTag w:uri="urn:schemas-microsoft-com:office:smarttags" w:element="chmetcnv">
        <w:smartTagPr>
          <w:attr w:name="TCSC" w:val="0"/>
          <w:attr w:name="NumberType" w:val="1"/>
          <w:attr w:name="Negative" w:val="False"/>
          <w:attr w:name="HasSpace" w:val="False"/>
          <w:attr w:name="SourceValue" w:val="23.88"/>
          <w:attr w:name="UnitName" w:val="g"/>
        </w:smartTagPr>
        <w:r w:rsidRPr="00000D16">
          <w:rPr>
            <w:rStyle w:val="Char"/>
            <w:rFonts w:ascii="Times New Roman"/>
            <w:szCs w:val="21"/>
          </w:rPr>
          <w:t>23.88g</w:t>
        </w:r>
      </w:smartTag>
      <w:r w:rsidRPr="00000D16">
        <w:rPr>
          <w:rStyle w:val="Char"/>
          <w:rFonts w:ascii="Times New Roman" w:hAnsi="宋体"/>
          <w:szCs w:val="21"/>
        </w:rPr>
        <w:t>，加蒸馏水</w:t>
      </w:r>
      <w:r w:rsidRPr="00000D16">
        <w:rPr>
          <w:rStyle w:val="Char"/>
          <w:rFonts w:ascii="Times New Roman"/>
          <w:szCs w:val="21"/>
        </w:rPr>
        <w:t>980mL</w:t>
      </w:r>
      <w:r w:rsidRPr="00000D16">
        <w:rPr>
          <w:rStyle w:val="Char"/>
          <w:rFonts w:ascii="Times New Roman" w:hAnsi="宋体"/>
          <w:szCs w:val="21"/>
        </w:rPr>
        <w:t>溶解，用酸度计调整</w:t>
      </w:r>
      <w:r w:rsidRPr="00000D16">
        <w:rPr>
          <w:rStyle w:val="Char"/>
          <w:rFonts w:ascii="Times New Roman"/>
          <w:szCs w:val="21"/>
        </w:rPr>
        <w:t>pH</w:t>
      </w:r>
      <w:r w:rsidRPr="00000D16">
        <w:rPr>
          <w:rStyle w:val="Char"/>
          <w:rFonts w:ascii="Times New Roman" w:hAnsi="宋体"/>
          <w:szCs w:val="21"/>
        </w:rPr>
        <w:t>至</w:t>
      </w:r>
      <w:r w:rsidRPr="00000D16">
        <w:rPr>
          <w:rStyle w:val="Char"/>
          <w:rFonts w:ascii="Times New Roman"/>
          <w:szCs w:val="21"/>
        </w:rPr>
        <w:t>6.8</w:t>
      </w:r>
      <w:r w:rsidRPr="00000D16">
        <w:rPr>
          <w:rStyle w:val="Char"/>
          <w:rFonts w:ascii="Times New Roman" w:hAnsi="宋体"/>
          <w:szCs w:val="21"/>
        </w:rPr>
        <w:t>，转入</w:t>
      </w:r>
      <w:r w:rsidRPr="00000D16">
        <w:rPr>
          <w:rStyle w:val="Char"/>
          <w:rFonts w:ascii="Times New Roman"/>
          <w:szCs w:val="21"/>
        </w:rPr>
        <w:t>1000mL</w:t>
      </w:r>
      <w:r w:rsidRPr="00000D16">
        <w:rPr>
          <w:rStyle w:val="Char"/>
          <w:rFonts w:ascii="Times New Roman" w:hAnsi="宋体"/>
          <w:szCs w:val="21"/>
        </w:rPr>
        <w:t>容量瓶，用蒸馏水定容至</w:t>
      </w:r>
      <w:r w:rsidRPr="00000D16">
        <w:rPr>
          <w:rStyle w:val="Char"/>
          <w:rFonts w:ascii="Times New Roman"/>
          <w:szCs w:val="21"/>
        </w:rPr>
        <w:t>1000mL</w:t>
      </w:r>
      <w:r w:rsidRPr="00000D16">
        <w:rPr>
          <w:rStyle w:val="Char"/>
          <w:rFonts w:ascii="Times New Roman" w:hAnsi="宋体"/>
          <w:szCs w:val="21"/>
        </w:rPr>
        <w:t>。</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5</w:t>
      </w:r>
      <w:r w:rsidRPr="00000D16">
        <w:rPr>
          <w:rFonts w:eastAsia="宋体" w:hAnsi="宋体"/>
          <w:szCs w:val="21"/>
        </w:rPr>
        <w:t>）</w:t>
      </w:r>
      <w:r w:rsidRPr="00000D16">
        <w:rPr>
          <w:rFonts w:eastAsia="宋体"/>
          <w:szCs w:val="21"/>
        </w:rPr>
        <w:t>Giemsa</w:t>
      </w:r>
      <w:r w:rsidRPr="00000D16">
        <w:rPr>
          <w:rFonts w:eastAsia="宋体" w:hAnsi="宋体"/>
          <w:szCs w:val="21"/>
        </w:rPr>
        <w:t>工作液配制</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取</w:t>
      </w:r>
      <w:r w:rsidRPr="00000D16">
        <w:rPr>
          <w:rFonts w:ascii="Times New Roman"/>
          <w:szCs w:val="21"/>
        </w:rPr>
        <w:t>1</w:t>
      </w:r>
      <w:r w:rsidRPr="00000D16">
        <w:rPr>
          <w:rFonts w:ascii="Times New Roman" w:hAnsi="宋体"/>
          <w:szCs w:val="21"/>
        </w:rPr>
        <w:t>份</w:t>
      </w:r>
      <w:r w:rsidRPr="00000D16">
        <w:rPr>
          <w:rFonts w:ascii="Times New Roman"/>
          <w:szCs w:val="21"/>
        </w:rPr>
        <w:t>Giemsa</w:t>
      </w:r>
      <w:r w:rsidRPr="00000D16">
        <w:rPr>
          <w:rFonts w:ascii="Times New Roman" w:hAnsi="宋体"/>
          <w:szCs w:val="21"/>
        </w:rPr>
        <w:t>贮备液与</w:t>
      </w:r>
      <w:r w:rsidRPr="00000D16">
        <w:rPr>
          <w:rFonts w:ascii="Times New Roman"/>
          <w:szCs w:val="21"/>
        </w:rPr>
        <w:t>6</w:t>
      </w:r>
      <w:r w:rsidRPr="00000D16">
        <w:rPr>
          <w:rFonts w:ascii="Times New Roman" w:hAnsi="宋体"/>
          <w:szCs w:val="21"/>
        </w:rPr>
        <w:t>份</w:t>
      </w:r>
      <w:r w:rsidRPr="00000D16">
        <w:rPr>
          <w:rFonts w:ascii="Times New Roman"/>
          <w:szCs w:val="21"/>
        </w:rPr>
        <w:t>1/15mo1/L</w:t>
      </w:r>
      <w:r w:rsidRPr="00000D16">
        <w:rPr>
          <w:rFonts w:ascii="Times New Roman" w:hAnsi="宋体"/>
          <w:szCs w:val="21"/>
        </w:rPr>
        <w:t>磷酸盐缓冲液（</w:t>
      </w:r>
      <w:r w:rsidRPr="00000D16">
        <w:rPr>
          <w:rFonts w:ascii="Times New Roman"/>
          <w:szCs w:val="21"/>
        </w:rPr>
        <w:t>pH6.8</w:t>
      </w:r>
      <w:r w:rsidRPr="00000D16">
        <w:rPr>
          <w:rFonts w:ascii="Times New Roman" w:hAnsi="宋体"/>
          <w:szCs w:val="21"/>
        </w:rPr>
        <w:t>）混合即成，临用时配制。</w:t>
      </w:r>
    </w:p>
    <w:p w:rsidR="001435B7" w:rsidRPr="00000D16" w:rsidRDefault="001435B7" w:rsidP="001435B7">
      <w:pPr>
        <w:pStyle w:val="a9"/>
        <w:numPr>
          <w:ilvl w:val="0"/>
          <w:numId w:val="0"/>
        </w:numPr>
        <w:spacing w:line="360" w:lineRule="auto"/>
        <w:ind w:firstLineChars="200" w:firstLine="420"/>
        <w:outlineLvl w:val="9"/>
        <w:rPr>
          <w:szCs w:val="21"/>
        </w:rPr>
      </w:pPr>
      <w:r w:rsidRPr="00000D16">
        <w:rPr>
          <w:szCs w:val="21"/>
        </w:rPr>
        <w:t>3.</w:t>
      </w:r>
      <w:r w:rsidRPr="00000D16">
        <w:rPr>
          <w:szCs w:val="21"/>
        </w:rPr>
        <w:t>仪器设备</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）台式离心机</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）生物显微镜（带</w:t>
      </w:r>
      <w:r w:rsidRPr="00000D16">
        <w:rPr>
          <w:rFonts w:eastAsia="宋体"/>
          <w:szCs w:val="21"/>
        </w:rPr>
        <w:t>100×</w:t>
      </w:r>
      <w:r w:rsidRPr="00000D16">
        <w:rPr>
          <w:rFonts w:eastAsia="宋体" w:hAnsi="宋体"/>
          <w:szCs w:val="21"/>
        </w:rPr>
        <w:t>油镜头）</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3</w:t>
      </w:r>
      <w:r w:rsidRPr="00000D16">
        <w:rPr>
          <w:rFonts w:eastAsia="宋体" w:hAnsi="宋体"/>
          <w:szCs w:val="21"/>
        </w:rPr>
        <w:t>）恒温水浴（温控误差士</w:t>
      </w:r>
      <w:smartTag w:uri="urn:schemas-microsoft-com:office:smarttags" w:element="chmetcnv">
        <w:smartTagPr>
          <w:attr w:name="TCSC" w:val="0"/>
          <w:attr w:name="NumberType" w:val="1"/>
          <w:attr w:name="Negative" w:val="False"/>
          <w:attr w:name="HasSpace" w:val="False"/>
          <w:attr w:name="SourceValue" w:val=".5"/>
          <w:attr w:name="UnitName" w:val="℃"/>
        </w:smartTagPr>
        <w:r w:rsidRPr="00000D16">
          <w:rPr>
            <w:rFonts w:eastAsia="宋体"/>
            <w:szCs w:val="21"/>
          </w:rPr>
          <w:t>0.5</w:t>
        </w:r>
        <w:r w:rsidRPr="00000D16">
          <w:rPr>
            <w:rFonts w:eastAsia="宋体" w:hAnsi="宋体"/>
            <w:szCs w:val="21"/>
          </w:rPr>
          <w:t>℃</w:t>
        </w:r>
      </w:smartTag>
      <w:r w:rsidRPr="00000D16">
        <w:rPr>
          <w:rFonts w:eastAsia="宋体" w:hAnsi="宋体"/>
          <w:szCs w:val="21"/>
        </w:rPr>
        <w:t>）</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4</w:t>
      </w:r>
      <w:r w:rsidRPr="00000D16">
        <w:rPr>
          <w:rFonts w:eastAsia="宋体" w:hAnsi="宋体"/>
          <w:szCs w:val="21"/>
        </w:rPr>
        <w:t>）细胞计数器</w:t>
      </w:r>
    </w:p>
    <w:p w:rsidR="001435B7" w:rsidRPr="00000D16" w:rsidRDefault="001435B7" w:rsidP="001435B7">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5</w:t>
      </w:r>
      <w:r w:rsidRPr="00000D16">
        <w:rPr>
          <w:rFonts w:eastAsia="宋体" w:hAnsi="宋体"/>
          <w:szCs w:val="21"/>
        </w:rPr>
        <w:t>）解剖器械、载玻片、注射器、灌胃针头等实验室常用仪器设备</w:t>
      </w:r>
    </w:p>
    <w:p w:rsidR="001435B7" w:rsidRPr="004563B6" w:rsidRDefault="001435B7" w:rsidP="001435B7">
      <w:pPr>
        <w:pStyle w:val="a7"/>
        <w:numPr>
          <w:ilvl w:val="0"/>
          <w:numId w:val="0"/>
        </w:numPr>
        <w:spacing w:beforeLines="0" w:before="0" w:afterLines="0" w:after="0" w:line="360" w:lineRule="auto"/>
        <w:outlineLvl w:val="9"/>
        <w:rPr>
          <w:rFonts w:ascii="Times New Roman"/>
          <w:sz w:val="28"/>
          <w:szCs w:val="28"/>
        </w:rPr>
      </w:pPr>
      <w:r w:rsidRPr="004563B6">
        <w:rPr>
          <w:rFonts w:ascii="Times New Roman"/>
          <w:sz w:val="28"/>
          <w:szCs w:val="28"/>
        </w:rPr>
        <w:t>（二）试验步骤</w:t>
      </w:r>
    </w:p>
    <w:p w:rsidR="001435B7" w:rsidRPr="00000D16" w:rsidRDefault="001435B7" w:rsidP="001435B7">
      <w:pPr>
        <w:pStyle w:val="a9"/>
        <w:numPr>
          <w:ilvl w:val="0"/>
          <w:numId w:val="0"/>
        </w:numPr>
        <w:spacing w:line="360" w:lineRule="auto"/>
        <w:ind w:firstLineChars="200" w:firstLine="420"/>
        <w:outlineLvl w:val="9"/>
        <w:rPr>
          <w:szCs w:val="21"/>
        </w:rPr>
      </w:pPr>
      <w:r w:rsidRPr="00000D16">
        <w:rPr>
          <w:szCs w:val="21"/>
        </w:rPr>
        <w:t>1.</w:t>
      </w:r>
      <w:r w:rsidRPr="00000D16">
        <w:rPr>
          <w:szCs w:val="21"/>
        </w:rPr>
        <w:t>剂量组设计</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设</w:t>
      </w:r>
      <w:r w:rsidRPr="00000D16">
        <w:rPr>
          <w:rFonts w:ascii="Times New Roman"/>
          <w:szCs w:val="21"/>
        </w:rPr>
        <w:t>3</w:t>
      </w:r>
      <w:r w:rsidRPr="00000D16">
        <w:rPr>
          <w:rFonts w:ascii="Times New Roman" w:hAnsi="宋体"/>
          <w:szCs w:val="21"/>
        </w:rPr>
        <w:t>个剂量组，即</w:t>
      </w:r>
      <w:r w:rsidRPr="00000D16">
        <w:rPr>
          <w:rFonts w:ascii="Times New Roman"/>
          <w:szCs w:val="21"/>
        </w:rPr>
        <w:t>1/2LD</w:t>
      </w:r>
      <w:r w:rsidRPr="00000D16">
        <w:rPr>
          <w:rFonts w:ascii="Times New Roman"/>
          <w:szCs w:val="21"/>
          <w:vertAlign w:val="subscript"/>
        </w:rPr>
        <w:t>50</w:t>
      </w:r>
      <w:r w:rsidRPr="00000D16">
        <w:rPr>
          <w:rFonts w:ascii="Times New Roman"/>
          <w:szCs w:val="21"/>
        </w:rPr>
        <w:t xml:space="preserve"> </w:t>
      </w:r>
      <w:r w:rsidRPr="00000D16">
        <w:rPr>
          <w:rFonts w:ascii="Times New Roman" w:hAnsi="宋体"/>
          <w:szCs w:val="21"/>
        </w:rPr>
        <w:t>、</w:t>
      </w:r>
      <w:r w:rsidRPr="00000D16">
        <w:rPr>
          <w:rFonts w:ascii="Times New Roman"/>
          <w:szCs w:val="21"/>
        </w:rPr>
        <w:t>1/4LD</w:t>
      </w:r>
      <w:r w:rsidRPr="00000D16">
        <w:rPr>
          <w:rFonts w:ascii="Times New Roman"/>
          <w:szCs w:val="21"/>
          <w:vertAlign w:val="subscript"/>
        </w:rPr>
        <w:t>50</w:t>
      </w:r>
      <w:r w:rsidRPr="00000D16">
        <w:rPr>
          <w:rFonts w:ascii="Times New Roman" w:hAnsi="宋体"/>
          <w:szCs w:val="21"/>
        </w:rPr>
        <w:t>、</w:t>
      </w:r>
      <w:r w:rsidRPr="00000D16">
        <w:rPr>
          <w:rFonts w:ascii="Times New Roman"/>
          <w:szCs w:val="21"/>
        </w:rPr>
        <w:t>1/8LD</w:t>
      </w:r>
      <w:r w:rsidRPr="00000D16">
        <w:rPr>
          <w:rFonts w:ascii="Times New Roman"/>
          <w:szCs w:val="21"/>
          <w:vertAlign w:val="subscript"/>
        </w:rPr>
        <w:t>50</w:t>
      </w:r>
      <w:r w:rsidRPr="00000D16">
        <w:rPr>
          <w:rFonts w:ascii="Times New Roman" w:hAnsi="宋体"/>
          <w:szCs w:val="21"/>
        </w:rPr>
        <w:t>，当受试药物</w:t>
      </w:r>
      <w:r w:rsidRPr="00000D16">
        <w:rPr>
          <w:rFonts w:ascii="Times New Roman"/>
          <w:szCs w:val="21"/>
        </w:rPr>
        <w:t>LD</w:t>
      </w:r>
      <w:r w:rsidRPr="00000D16">
        <w:rPr>
          <w:rFonts w:ascii="Times New Roman"/>
          <w:szCs w:val="21"/>
          <w:vertAlign w:val="subscript"/>
        </w:rPr>
        <w:t>50</w:t>
      </w:r>
      <w:r w:rsidRPr="00000D16">
        <w:rPr>
          <w:rFonts w:ascii="Times New Roman" w:hAnsi="宋体"/>
          <w:szCs w:val="21"/>
        </w:rPr>
        <w:t>大于</w:t>
      </w:r>
      <w:r w:rsidRPr="00000D16">
        <w:rPr>
          <w:rFonts w:ascii="Times New Roman"/>
          <w:szCs w:val="21"/>
        </w:rPr>
        <w:t>5000mg/kg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）时，试验组高剂量设为</w:t>
      </w:r>
      <w:r w:rsidRPr="00000D16">
        <w:rPr>
          <w:rFonts w:ascii="Times New Roman"/>
          <w:szCs w:val="21"/>
        </w:rPr>
        <w:t>5000mg/kg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），将</w:t>
      </w:r>
      <w:r w:rsidRPr="00000D16">
        <w:rPr>
          <w:rFonts w:ascii="Times New Roman"/>
          <w:szCs w:val="21"/>
        </w:rPr>
        <w:t>2500mg/kg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）和</w:t>
      </w:r>
      <w:r w:rsidRPr="00000D16">
        <w:rPr>
          <w:rFonts w:ascii="Times New Roman"/>
          <w:szCs w:val="21"/>
        </w:rPr>
        <w:t>1250mg/kg</w:t>
      </w:r>
      <w:r w:rsidRPr="00000D16">
        <w:rPr>
          <w:rFonts w:ascii="Times New Roman" w:hAnsi="宋体"/>
          <w:szCs w:val="21"/>
        </w:rPr>
        <w:t>（或</w:t>
      </w:r>
      <w:r w:rsidRPr="00000D16">
        <w:rPr>
          <w:rFonts w:ascii="Times New Roman"/>
          <w:szCs w:val="21"/>
        </w:rPr>
        <w:t>mL /kg</w:t>
      </w:r>
      <w:r w:rsidRPr="00000D16">
        <w:rPr>
          <w:rFonts w:ascii="Times New Roman" w:hAnsi="宋体"/>
          <w:szCs w:val="21"/>
        </w:rPr>
        <w:t>）分别设为中剂量和低剂量；另外设</w:t>
      </w:r>
      <w:r w:rsidRPr="00000D16">
        <w:rPr>
          <w:rFonts w:ascii="Times New Roman"/>
          <w:szCs w:val="21"/>
        </w:rPr>
        <w:t>1</w:t>
      </w:r>
      <w:r w:rsidRPr="00000D16">
        <w:rPr>
          <w:rFonts w:ascii="Times New Roman" w:hAnsi="宋体"/>
          <w:szCs w:val="21"/>
        </w:rPr>
        <w:t>个阴性</w:t>
      </w:r>
      <w:r w:rsidRPr="00000D16">
        <w:rPr>
          <w:rFonts w:ascii="Times New Roman"/>
          <w:szCs w:val="21"/>
        </w:rPr>
        <w:t>(</w:t>
      </w:r>
      <w:r w:rsidRPr="00000D16">
        <w:rPr>
          <w:rFonts w:ascii="Times New Roman" w:hAnsi="宋体"/>
          <w:szCs w:val="21"/>
        </w:rPr>
        <w:t>溶剂</w:t>
      </w:r>
      <w:r w:rsidRPr="00000D16">
        <w:rPr>
          <w:rFonts w:ascii="Times New Roman"/>
          <w:szCs w:val="21"/>
        </w:rPr>
        <w:t>)</w:t>
      </w:r>
      <w:r w:rsidRPr="00000D16">
        <w:rPr>
          <w:rFonts w:ascii="Times New Roman" w:hAnsi="宋体"/>
          <w:szCs w:val="21"/>
        </w:rPr>
        <w:t>对照组和</w:t>
      </w:r>
      <w:r w:rsidRPr="00000D16">
        <w:rPr>
          <w:rFonts w:ascii="Times New Roman"/>
          <w:szCs w:val="21"/>
        </w:rPr>
        <w:t>1</w:t>
      </w:r>
      <w:r w:rsidRPr="00000D16">
        <w:rPr>
          <w:rFonts w:ascii="Times New Roman" w:hAnsi="宋体"/>
          <w:szCs w:val="21"/>
        </w:rPr>
        <w:t>个阳性对照组。阳性对照物可选用环磷酰胺，剂量为</w:t>
      </w:r>
      <w:r w:rsidRPr="00000D16">
        <w:rPr>
          <w:rFonts w:ascii="Times New Roman"/>
          <w:szCs w:val="21"/>
        </w:rPr>
        <w:t>40mg/kg</w:t>
      </w:r>
      <w:r w:rsidRPr="00000D16">
        <w:rPr>
          <w:rFonts w:ascii="Times New Roman" w:hAnsi="宋体"/>
          <w:szCs w:val="21"/>
        </w:rPr>
        <w:t>体重，经口给予。每组小鼠</w:t>
      </w:r>
      <w:r w:rsidRPr="00000D16">
        <w:rPr>
          <w:rFonts w:ascii="Times New Roman"/>
          <w:szCs w:val="21"/>
        </w:rPr>
        <w:t>16</w:t>
      </w:r>
      <w:r w:rsidRPr="00000D16">
        <w:rPr>
          <w:rFonts w:ascii="Times New Roman" w:hAnsi="宋体"/>
          <w:szCs w:val="21"/>
        </w:rPr>
        <w:t>只，雌、雄各半，确保</w:t>
      </w:r>
      <w:r w:rsidRPr="00000D16">
        <w:rPr>
          <w:rFonts w:ascii="Times New Roman" w:hAnsi="宋体" w:hint="eastAsia"/>
          <w:szCs w:val="21"/>
        </w:rPr>
        <w:t>给药</w:t>
      </w:r>
      <w:r w:rsidRPr="00000D16">
        <w:rPr>
          <w:rFonts w:ascii="Times New Roman" w:hAnsi="宋体"/>
          <w:szCs w:val="21"/>
        </w:rPr>
        <w:t>后雌、雄小鼠至少各存活</w:t>
      </w:r>
      <w:r w:rsidRPr="00000D16">
        <w:rPr>
          <w:rFonts w:ascii="Times New Roman"/>
          <w:szCs w:val="21"/>
        </w:rPr>
        <w:t>5</w:t>
      </w:r>
      <w:r w:rsidRPr="00000D16">
        <w:rPr>
          <w:rFonts w:ascii="Times New Roman" w:hAnsi="宋体"/>
          <w:szCs w:val="21"/>
        </w:rPr>
        <w:t>只供采样、制片。</w:t>
      </w:r>
    </w:p>
    <w:p w:rsidR="001435B7" w:rsidRPr="00000D16" w:rsidRDefault="001435B7" w:rsidP="001435B7">
      <w:pPr>
        <w:pStyle w:val="a9"/>
        <w:numPr>
          <w:ilvl w:val="0"/>
          <w:numId w:val="0"/>
        </w:numPr>
        <w:spacing w:line="360" w:lineRule="auto"/>
        <w:ind w:firstLineChars="200" w:firstLine="420"/>
        <w:outlineLvl w:val="9"/>
        <w:rPr>
          <w:szCs w:val="21"/>
        </w:rPr>
      </w:pPr>
      <w:r w:rsidRPr="00000D16">
        <w:rPr>
          <w:szCs w:val="21"/>
        </w:rPr>
        <w:t>2.</w:t>
      </w:r>
      <w:r w:rsidRPr="00000D16">
        <w:rPr>
          <w:szCs w:val="21"/>
        </w:rPr>
        <w:t>受试药物溶液配制</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根据受试药物理化性质，选定溶剂，将受试药物配制成水溶液（或乳化剂、混悬液、糊状物等）。必要时加入增溶剂或助悬剂（如吐温</w:t>
      </w:r>
      <w:r w:rsidRPr="00000D16">
        <w:rPr>
          <w:rFonts w:ascii="Times New Roman"/>
          <w:szCs w:val="21"/>
        </w:rPr>
        <w:t>-80</w:t>
      </w:r>
      <w:r w:rsidRPr="00000D16">
        <w:rPr>
          <w:rFonts w:ascii="Times New Roman" w:hAnsi="宋体"/>
          <w:szCs w:val="21"/>
        </w:rPr>
        <w:t>、淀粉、羧甲基纤维素钠等）。</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lastRenderedPageBreak/>
        <w:t>各剂量组受试药物溶液可采用</w:t>
      </w:r>
      <w:r w:rsidRPr="00000D16">
        <w:rPr>
          <w:rFonts w:ascii="Times New Roman"/>
          <w:szCs w:val="21"/>
        </w:rPr>
        <w:t>2</w:t>
      </w:r>
      <w:r w:rsidRPr="00000D16">
        <w:rPr>
          <w:rFonts w:ascii="Times New Roman" w:hAnsi="宋体"/>
          <w:szCs w:val="21"/>
        </w:rPr>
        <w:t>倍递次稀释法配制。根据受试药物的小鼠</w:t>
      </w:r>
      <w:r w:rsidRPr="00000D16">
        <w:rPr>
          <w:rFonts w:ascii="Times New Roman"/>
          <w:szCs w:val="21"/>
        </w:rPr>
        <w:t>LD</w:t>
      </w:r>
      <w:r w:rsidRPr="00000D16">
        <w:rPr>
          <w:rFonts w:ascii="Times New Roman"/>
          <w:szCs w:val="21"/>
          <w:vertAlign w:val="subscript"/>
        </w:rPr>
        <w:t>50</w:t>
      </w:r>
      <w:r w:rsidRPr="00000D16">
        <w:rPr>
          <w:rFonts w:ascii="Times New Roman" w:hAnsi="宋体"/>
          <w:szCs w:val="21"/>
        </w:rPr>
        <w:t>，按小鼠</w:t>
      </w:r>
      <w:r w:rsidRPr="00000D16">
        <w:rPr>
          <w:rFonts w:ascii="Times New Roman"/>
          <w:szCs w:val="21"/>
        </w:rPr>
        <w:t>0.1</w:t>
      </w:r>
      <w:r w:rsidRPr="00000D16">
        <w:rPr>
          <w:rFonts w:ascii="Times New Roman" w:hAnsi="宋体"/>
          <w:szCs w:val="21"/>
        </w:rPr>
        <w:t>～</w:t>
      </w:r>
      <w:r w:rsidRPr="00000D16">
        <w:rPr>
          <w:rFonts w:ascii="Times New Roman"/>
          <w:szCs w:val="21"/>
        </w:rPr>
        <w:t>0.2mL/</w:t>
      </w:r>
      <w:smartTag w:uri="urn:schemas-microsoft-com:office:smarttags" w:element="chmetcnv">
        <w:smartTagPr>
          <w:attr w:name="TCSC" w:val="0"/>
          <w:attr w:name="NumberType" w:val="1"/>
          <w:attr w:name="Negative" w:val="False"/>
          <w:attr w:name="HasSpace" w:val="False"/>
          <w:attr w:name="SourceValue" w:val="10"/>
          <w:attr w:name="UnitName" w:val="g"/>
        </w:smartTagPr>
        <w:r w:rsidRPr="00000D16">
          <w:rPr>
            <w:rFonts w:ascii="Times New Roman"/>
            <w:szCs w:val="21"/>
          </w:rPr>
          <w:t>10g</w:t>
        </w:r>
      </w:smartTag>
      <w:r w:rsidRPr="00000D16">
        <w:rPr>
          <w:rFonts w:ascii="Times New Roman" w:hAnsi="宋体"/>
          <w:szCs w:val="21"/>
        </w:rPr>
        <w:t>体重受试药物给予体积要求，先确定</w:t>
      </w:r>
      <w:r w:rsidRPr="00000D16">
        <w:rPr>
          <w:rFonts w:ascii="Times New Roman"/>
          <w:szCs w:val="21"/>
        </w:rPr>
        <w:t>1/2 LD50</w:t>
      </w:r>
      <w:r w:rsidRPr="00000D16">
        <w:rPr>
          <w:rFonts w:ascii="Times New Roman" w:hAnsi="宋体"/>
          <w:szCs w:val="21"/>
        </w:rPr>
        <w:t>剂量组（即高剂量组）受试药物溶液需配制的浓度，再确定各剂量组所需受试药物溶液体积，以及将</w:t>
      </w:r>
      <w:r w:rsidRPr="00000D16">
        <w:rPr>
          <w:rFonts w:ascii="Times New Roman"/>
          <w:szCs w:val="21"/>
        </w:rPr>
        <w:t>1/2 LD50</w:t>
      </w:r>
      <w:r w:rsidRPr="00000D16">
        <w:rPr>
          <w:rFonts w:ascii="Times New Roman" w:hAnsi="宋体"/>
          <w:szCs w:val="21"/>
        </w:rPr>
        <w:t>剂量组受试药物溶液作为初始溶液需配制的体积，计算配制溶液时需称取</w:t>
      </w:r>
      <w:r w:rsidRPr="00000D16">
        <w:rPr>
          <w:rFonts w:ascii="Times New Roman"/>
          <w:szCs w:val="21"/>
        </w:rPr>
        <w:t>/</w:t>
      </w:r>
      <w:r w:rsidRPr="00000D16">
        <w:rPr>
          <w:rFonts w:ascii="Times New Roman" w:hAnsi="宋体"/>
          <w:szCs w:val="21"/>
        </w:rPr>
        <w:t>量取受试药物的量。</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用天平或移液管，称取或量取受试药物置烧杯内，加入适量选定的溶剂溶解或稀释，转入容量瓶内，混匀并定容，即获得</w:t>
      </w:r>
      <w:r w:rsidRPr="00000D16">
        <w:rPr>
          <w:rFonts w:ascii="Times New Roman"/>
          <w:szCs w:val="21"/>
        </w:rPr>
        <w:t>1/2 LD</w:t>
      </w:r>
      <w:r w:rsidRPr="00000D16">
        <w:rPr>
          <w:rFonts w:ascii="Times New Roman"/>
          <w:szCs w:val="21"/>
          <w:vertAlign w:val="subscript"/>
        </w:rPr>
        <w:t>50</w:t>
      </w:r>
      <w:r w:rsidRPr="00000D16">
        <w:rPr>
          <w:rFonts w:ascii="Times New Roman" w:hAnsi="宋体"/>
          <w:szCs w:val="21"/>
        </w:rPr>
        <w:t>剂量组（高剂量组）所需浓度的受试药物溶液。用量筒分取</w:t>
      </w:r>
      <w:r w:rsidRPr="00000D16">
        <w:rPr>
          <w:rFonts w:ascii="Times New Roman"/>
          <w:szCs w:val="21"/>
        </w:rPr>
        <w:t>1/2</w:t>
      </w:r>
      <w:r w:rsidRPr="00000D16">
        <w:rPr>
          <w:rFonts w:ascii="Times New Roman" w:hAnsi="宋体"/>
          <w:szCs w:val="21"/>
        </w:rPr>
        <w:t>体积的溶液供</w:t>
      </w:r>
      <w:r w:rsidRPr="00000D16">
        <w:rPr>
          <w:rFonts w:ascii="Times New Roman"/>
          <w:szCs w:val="21"/>
        </w:rPr>
        <w:t>1</w:t>
      </w:r>
      <w:r w:rsidRPr="00000D16">
        <w:rPr>
          <w:rFonts w:ascii="Times New Roman" w:hAnsi="宋体"/>
          <w:szCs w:val="21"/>
        </w:rPr>
        <w:t>／</w:t>
      </w:r>
      <w:r w:rsidRPr="00000D16">
        <w:rPr>
          <w:rFonts w:ascii="Times New Roman"/>
          <w:szCs w:val="21"/>
        </w:rPr>
        <w:t>2 LD</w:t>
      </w:r>
      <w:r w:rsidRPr="00000D16">
        <w:rPr>
          <w:rFonts w:ascii="Times New Roman"/>
          <w:szCs w:val="21"/>
          <w:vertAlign w:val="subscript"/>
        </w:rPr>
        <w:t>50</w:t>
      </w:r>
      <w:r w:rsidRPr="00000D16">
        <w:rPr>
          <w:rFonts w:ascii="Times New Roman" w:hAnsi="宋体"/>
          <w:szCs w:val="21"/>
        </w:rPr>
        <w:t>剂量组</w:t>
      </w:r>
      <w:r w:rsidRPr="00000D16">
        <w:rPr>
          <w:rFonts w:ascii="Times New Roman" w:hAnsi="宋体" w:hint="eastAsia"/>
          <w:szCs w:val="21"/>
        </w:rPr>
        <w:t>给药</w:t>
      </w:r>
      <w:r w:rsidRPr="00000D16">
        <w:rPr>
          <w:rFonts w:ascii="Times New Roman" w:hAnsi="宋体"/>
          <w:szCs w:val="21"/>
        </w:rPr>
        <w:t>，向原溶液中加入同体积的溶剂，混匀后溶液正好是</w:t>
      </w:r>
      <w:r w:rsidRPr="00000D16">
        <w:rPr>
          <w:rFonts w:ascii="Times New Roman"/>
          <w:szCs w:val="21"/>
        </w:rPr>
        <w:t>1/4 LD</w:t>
      </w:r>
      <w:r w:rsidRPr="00000D16">
        <w:rPr>
          <w:rFonts w:ascii="Times New Roman"/>
          <w:szCs w:val="21"/>
          <w:vertAlign w:val="subscript"/>
        </w:rPr>
        <w:t>50</w:t>
      </w:r>
      <w:r w:rsidRPr="00000D16">
        <w:rPr>
          <w:rFonts w:ascii="Times New Roman" w:hAnsi="宋体"/>
          <w:szCs w:val="21"/>
        </w:rPr>
        <w:t>剂量组（中剂量组）所需的剂量浓度；用量筒分取</w:t>
      </w:r>
      <w:r w:rsidRPr="00000D16">
        <w:rPr>
          <w:rFonts w:ascii="Times New Roman"/>
          <w:szCs w:val="21"/>
        </w:rPr>
        <w:t>1/2</w:t>
      </w:r>
      <w:r w:rsidRPr="00000D16">
        <w:rPr>
          <w:rFonts w:ascii="Times New Roman" w:hAnsi="宋体"/>
          <w:szCs w:val="21"/>
        </w:rPr>
        <w:t>体积的溶液供</w:t>
      </w:r>
      <w:r w:rsidRPr="00000D16">
        <w:rPr>
          <w:rFonts w:ascii="Times New Roman"/>
          <w:szCs w:val="21"/>
        </w:rPr>
        <w:t>1/4 LD</w:t>
      </w:r>
      <w:r w:rsidRPr="00000D16">
        <w:rPr>
          <w:rFonts w:ascii="Times New Roman"/>
          <w:szCs w:val="21"/>
          <w:vertAlign w:val="subscript"/>
        </w:rPr>
        <w:t>50</w:t>
      </w:r>
      <w:r w:rsidRPr="00000D16">
        <w:rPr>
          <w:rFonts w:ascii="Times New Roman" w:hAnsi="宋体"/>
          <w:szCs w:val="21"/>
        </w:rPr>
        <w:t>剂量组</w:t>
      </w:r>
      <w:r w:rsidRPr="00000D16">
        <w:rPr>
          <w:rFonts w:ascii="Times New Roman" w:hAnsi="宋体" w:hint="eastAsia"/>
          <w:szCs w:val="21"/>
        </w:rPr>
        <w:t>给药</w:t>
      </w:r>
      <w:r w:rsidRPr="00000D16">
        <w:rPr>
          <w:rFonts w:ascii="Times New Roman" w:hAnsi="宋体"/>
          <w:szCs w:val="21"/>
        </w:rPr>
        <w:t>，再加入同体积的溶剂，混匀后溶液正好是</w:t>
      </w:r>
      <w:r w:rsidRPr="00000D16">
        <w:rPr>
          <w:rFonts w:ascii="Times New Roman"/>
          <w:szCs w:val="21"/>
        </w:rPr>
        <w:t>1/8LD</w:t>
      </w:r>
      <w:r w:rsidRPr="00000D16">
        <w:rPr>
          <w:rFonts w:ascii="Times New Roman"/>
          <w:szCs w:val="21"/>
          <w:vertAlign w:val="subscript"/>
        </w:rPr>
        <w:t>50</w:t>
      </w:r>
      <w:r w:rsidRPr="00000D16">
        <w:rPr>
          <w:rFonts w:ascii="Times New Roman" w:hAnsi="宋体"/>
          <w:szCs w:val="21"/>
        </w:rPr>
        <w:t>剂量组（低剂量组）所需的剂量浓度，可供其</w:t>
      </w:r>
      <w:r w:rsidRPr="00000D16">
        <w:rPr>
          <w:rFonts w:ascii="Times New Roman" w:hAnsi="宋体" w:hint="eastAsia"/>
          <w:szCs w:val="21"/>
        </w:rPr>
        <w:t>给药</w:t>
      </w:r>
      <w:r w:rsidRPr="00000D16">
        <w:rPr>
          <w:rFonts w:ascii="Times New Roman" w:hAnsi="宋体"/>
          <w:szCs w:val="21"/>
        </w:rPr>
        <w:t>。</w:t>
      </w:r>
    </w:p>
    <w:p w:rsidR="001435B7" w:rsidRPr="00000D16" w:rsidRDefault="001435B7" w:rsidP="001435B7">
      <w:pPr>
        <w:pStyle w:val="a9"/>
        <w:numPr>
          <w:ilvl w:val="0"/>
          <w:numId w:val="0"/>
        </w:numPr>
        <w:spacing w:line="360" w:lineRule="auto"/>
        <w:ind w:firstLineChars="200" w:firstLine="420"/>
        <w:outlineLvl w:val="9"/>
        <w:rPr>
          <w:szCs w:val="21"/>
        </w:rPr>
      </w:pPr>
      <w:r w:rsidRPr="00000D16">
        <w:rPr>
          <w:szCs w:val="21"/>
        </w:rPr>
        <w:t>3.</w:t>
      </w:r>
      <w:r w:rsidRPr="00000D16">
        <w:rPr>
          <w:szCs w:val="21"/>
        </w:rPr>
        <w:t>试验动物称重、标记编号和分组</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将购置的小鼠饲养观察</w:t>
      </w:r>
      <w:r w:rsidRPr="00000D16">
        <w:rPr>
          <w:rFonts w:ascii="Times New Roman"/>
          <w:szCs w:val="21"/>
        </w:rPr>
        <w:t>1</w:t>
      </w:r>
      <w:r w:rsidRPr="00000D16">
        <w:rPr>
          <w:rFonts w:ascii="Times New Roman" w:hAnsi="宋体"/>
          <w:szCs w:val="21"/>
        </w:rPr>
        <w:t>周。选择健康雌、雄小鼠各</w:t>
      </w:r>
      <w:r w:rsidRPr="00000D16">
        <w:rPr>
          <w:rFonts w:ascii="Times New Roman"/>
          <w:szCs w:val="21"/>
        </w:rPr>
        <w:t>40</w:t>
      </w:r>
      <w:r w:rsidRPr="00000D16">
        <w:rPr>
          <w:rFonts w:ascii="Times New Roman" w:hAnsi="宋体"/>
          <w:szCs w:val="21"/>
        </w:rPr>
        <w:t>只，分别进行标记编号和称重，采用完全随机法，分别将雌、雄小鼠分为</w:t>
      </w:r>
      <w:r w:rsidRPr="00000D16">
        <w:rPr>
          <w:rFonts w:ascii="Times New Roman"/>
          <w:szCs w:val="21"/>
        </w:rPr>
        <w:t>5</w:t>
      </w:r>
      <w:r w:rsidRPr="00000D16">
        <w:rPr>
          <w:rFonts w:ascii="Times New Roman" w:hAnsi="宋体"/>
          <w:szCs w:val="21"/>
        </w:rPr>
        <w:t>组，每组雌、雄各</w:t>
      </w:r>
      <w:r w:rsidRPr="00000D16">
        <w:rPr>
          <w:rFonts w:ascii="Times New Roman"/>
          <w:szCs w:val="21"/>
        </w:rPr>
        <w:t>8</w:t>
      </w:r>
      <w:r w:rsidRPr="00000D16">
        <w:rPr>
          <w:rFonts w:ascii="Times New Roman" w:hAnsi="宋体"/>
          <w:szCs w:val="21"/>
        </w:rPr>
        <w:t>只。</w:t>
      </w:r>
    </w:p>
    <w:p w:rsidR="001435B7" w:rsidRPr="00000D16" w:rsidRDefault="001435B7" w:rsidP="001435B7">
      <w:pPr>
        <w:pStyle w:val="a9"/>
        <w:numPr>
          <w:ilvl w:val="0"/>
          <w:numId w:val="0"/>
        </w:numPr>
        <w:spacing w:line="360" w:lineRule="auto"/>
        <w:ind w:firstLineChars="200" w:firstLine="420"/>
        <w:outlineLvl w:val="9"/>
        <w:rPr>
          <w:rFonts w:hint="eastAsia"/>
          <w:szCs w:val="21"/>
        </w:rPr>
      </w:pPr>
      <w:r w:rsidRPr="00000D16">
        <w:rPr>
          <w:szCs w:val="21"/>
        </w:rPr>
        <w:t>4.</w:t>
      </w:r>
      <w:r w:rsidRPr="00000D16">
        <w:rPr>
          <w:rFonts w:hint="eastAsia"/>
          <w:szCs w:val="21"/>
        </w:rPr>
        <w:t>给药</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按受试药物给予要求，采用灌胃（或注射）</w:t>
      </w:r>
      <w:r w:rsidRPr="00000D16">
        <w:rPr>
          <w:rFonts w:ascii="Times New Roman" w:hAnsi="宋体" w:hint="eastAsia"/>
          <w:szCs w:val="21"/>
        </w:rPr>
        <w:t>给药</w:t>
      </w:r>
      <w:r w:rsidRPr="00000D16">
        <w:rPr>
          <w:rFonts w:ascii="Times New Roman" w:hAnsi="宋体"/>
          <w:szCs w:val="21"/>
        </w:rPr>
        <w:t>，</w:t>
      </w:r>
      <w:r w:rsidRPr="00000D16">
        <w:rPr>
          <w:rFonts w:ascii="Times New Roman" w:hAnsi="宋体" w:hint="eastAsia"/>
          <w:szCs w:val="21"/>
        </w:rPr>
        <w:t>给药</w:t>
      </w:r>
      <w:r w:rsidRPr="00000D16">
        <w:rPr>
          <w:rFonts w:ascii="Times New Roman" w:hAnsi="宋体"/>
          <w:szCs w:val="21"/>
        </w:rPr>
        <w:t>两次，两次</w:t>
      </w:r>
      <w:r w:rsidRPr="00000D16">
        <w:rPr>
          <w:rFonts w:ascii="Times New Roman" w:hAnsi="宋体" w:hint="eastAsia"/>
          <w:szCs w:val="21"/>
        </w:rPr>
        <w:t>给药</w:t>
      </w:r>
      <w:r w:rsidRPr="00000D16">
        <w:rPr>
          <w:rFonts w:ascii="Times New Roman" w:hAnsi="宋体"/>
          <w:szCs w:val="21"/>
        </w:rPr>
        <w:t>间隔</w:t>
      </w:r>
      <w:r w:rsidRPr="00000D16">
        <w:rPr>
          <w:rFonts w:ascii="Times New Roman"/>
          <w:szCs w:val="21"/>
        </w:rPr>
        <w:t>24h</w:t>
      </w:r>
      <w:r w:rsidRPr="00000D16">
        <w:rPr>
          <w:rFonts w:ascii="Times New Roman" w:hAnsi="宋体"/>
          <w:szCs w:val="21"/>
        </w:rPr>
        <w:t>。每次</w:t>
      </w:r>
      <w:r w:rsidRPr="00000D16">
        <w:rPr>
          <w:rFonts w:ascii="Times New Roman" w:hAnsi="宋体" w:hint="eastAsia"/>
          <w:szCs w:val="21"/>
        </w:rPr>
        <w:t>给药</w:t>
      </w:r>
      <w:r w:rsidRPr="00000D16">
        <w:rPr>
          <w:rFonts w:ascii="Times New Roman" w:hAnsi="宋体"/>
          <w:szCs w:val="21"/>
        </w:rPr>
        <w:t>先称取小鼠体重，</w:t>
      </w:r>
      <w:r w:rsidRPr="00000D16">
        <w:rPr>
          <w:rFonts w:ascii="Times New Roman"/>
          <w:szCs w:val="21"/>
        </w:rPr>
        <w:t xml:space="preserve"> </w:t>
      </w:r>
      <w:r w:rsidRPr="00000D16">
        <w:rPr>
          <w:rFonts w:ascii="Times New Roman" w:hAnsi="宋体"/>
          <w:szCs w:val="21"/>
        </w:rPr>
        <w:t>按</w:t>
      </w:r>
      <w:r w:rsidRPr="00000D16">
        <w:rPr>
          <w:rFonts w:ascii="Times New Roman"/>
          <w:szCs w:val="21"/>
        </w:rPr>
        <w:t>0.1</w:t>
      </w:r>
      <w:r w:rsidRPr="00000D16">
        <w:rPr>
          <w:rFonts w:ascii="Times New Roman" w:hAnsi="宋体"/>
          <w:szCs w:val="21"/>
        </w:rPr>
        <w:t>～</w:t>
      </w:r>
      <w:r w:rsidRPr="00000D16">
        <w:rPr>
          <w:rFonts w:ascii="Times New Roman"/>
          <w:szCs w:val="21"/>
        </w:rPr>
        <w:t>0.2mL/</w:t>
      </w:r>
      <w:smartTag w:uri="urn:schemas-microsoft-com:office:smarttags" w:element="chmetcnv">
        <w:smartTagPr>
          <w:attr w:name="TCSC" w:val="0"/>
          <w:attr w:name="NumberType" w:val="1"/>
          <w:attr w:name="Negative" w:val="False"/>
          <w:attr w:name="HasSpace" w:val="False"/>
          <w:attr w:name="SourceValue" w:val="10"/>
          <w:attr w:name="UnitName" w:val="g"/>
        </w:smartTagPr>
        <w:r w:rsidRPr="00000D16">
          <w:rPr>
            <w:rFonts w:ascii="Times New Roman"/>
            <w:szCs w:val="21"/>
          </w:rPr>
          <w:t>10g</w:t>
        </w:r>
      </w:smartTag>
      <w:r w:rsidRPr="00000D16">
        <w:rPr>
          <w:rFonts w:ascii="Times New Roman" w:hAnsi="宋体"/>
          <w:szCs w:val="21"/>
        </w:rPr>
        <w:t>要求给予小鼠受试药物剂体积，用注射器吸取受试药物溶液通过灌胃（或注射）对各小鼠进行</w:t>
      </w:r>
      <w:r w:rsidRPr="00000D16">
        <w:rPr>
          <w:rFonts w:ascii="Times New Roman" w:hAnsi="宋体" w:hint="eastAsia"/>
          <w:szCs w:val="21"/>
        </w:rPr>
        <w:t>给药</w:t>
      </w:r>
      <w:r w:rsidRPr="00000D16">
        <w:rPr>
          <w:rFonts w:ascii="Times New Roman" w:hAnsi="宋体"/>
          <w:szCs w:val="21"/>
        </w:rPr>
        <w:t>。</w:t>
      </w:r>
    </w:p>
    <w:p w:rsidR="001435B7" w:rsidRPr="00000D16" w:rsidRDefault="001435B7" w:rsidP="001435B7">
      <w:pPr>
        <w:pStyle w:val="a9"/>
        <w:numPr>
          <w:ilvl w:val="0"/>
          <w:numId w:val="0"/>
        </w:numPr>
        <w:spacing w:line="360" w:lineRule="auto"/>
        <w:ind w:firstLineChars="200" w:firstLine="420"/>
        <w:outlineLvl w:val="9"/>
        <w:rPr>
          <w:szCs w:val="21"/>
        </w:rPr>
      </w:pPr>
      <w:r w:rsidRPr="00000D16">
        <w:rPr>
          <w:szCs w:val="21"/>
        </w:rPr>
        <w:t>5.</w:t>
      </w:r>
      <w:r w:rsidRPr="00000D16">
        <w:rPr>
          <w:szCs w:val="21"/>
        </w:rPr>
        <w:t>标本制备</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在第二次给予受试药物</w:t>
      </w:r>
      <w:r w:rsidRPr="00000D16">
        <w:rPr>
          <w:rFonts w:ascii="Times New Roman"/>
          <w:szCs w:val="21"/>
        </w:rPr>
        <w:t>6h</w:t>
      </w:r>
      <w:r w:rsidRPr="00000D16">
        <w:rPr>
          <w:rFonts w:ascii="Times New Roman" w:hAnsi="宋体"/>
          <w:szCs w:val="21"/>
        </w:rPr>
        <w:t>后，采用颈椎脱臼法每组各处死雌鼠和雄鼠不少于</w:t>
      </w:r>
      <w:r w:rsidRPr="00000D16">
        <w:rPr>
          <w:rFonts w:ascii="Times New Roman"/>
          <w:szCs w:val="21"/>
        </w:rPr>
        <w:t>5</w:t>
      </w:r>
      <w:r w:rsidRPr="00000D16">
        <w:rPr>
          <w:rFonts w:ascii="Times New Roman" w:hAnsi="宋体"/>
          <w:szCs w:val="21"/>
        </w:rPr>
        <w:t>只。按下列方法制片：</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1</w:t>
      </w:r>
      <w:r w:rsidRPr="00000D16">
        <w:rPr>
          <w:rFonts w:ascii="Times New Roman" w:hAnsi="宋体"/>
          <w:szCs w:val="21"/>
        </w:rPr>
        <w:t>）取下每只小鼠的两侧股骨，剔去肌肉，用滤纸或纱布擦去表面血污，剪去股骨两端。用配有</w:t>
      </w:r>
      <w:r w:rsidRPr="00000D16">
        <w:rPr>
          <w:rFonts w:ascii="Times New Roman"/>
          <w:szCs w:val="21"/>
        </w:rPr>
        <w:t>6</w:t>
      </w:r>
      <w:r w:rsidRPr="00000D16">
        <w:rPr>
          <w:rFonts w:ascii="Times New Roman" w:hAnsi="宋体"/>
          <w:szCs w:val="21"/>
        </w:rPr>
        <w:t>号针头的</w:t>
      </w:r>
      <w:r w:rsidRPr="00000D16">
        <w:rPr>
          <w:rFonts w:ascii="Times New Roman"/>
          <w:szCs w:val="21"/>
        </w:rPr>
        <w:t>1mL</w:t>
      </w:r>
      <w:r w:rsidRPr="00000D16">
        <w:rPr>
          <w:rFonts w:ascii="Times New Roman" w:hAnsi="宋体"/>
          <w:szCs w:val="21"/>
        </w:rPr>
        <w:t>注射器吸取小牛血清约</w:t>
      </w:r>
      <w:r w:rsidRPr="00000D16">
        <w:rPr>
          <w:rFonts w:ascii="Times New Roman"/>
          <w:szCs w:val="21"/>
        </w:rPr>
        <w:t>0.2</w:t>
      </w:r>
      <w:r w:rsidRPr="00000D16">
        <w:rPr>
          <w:rFonts w:ascii="Times New Roman" w:hAnsi="宋体"/>
          <w:szCs w:val="21"/>
        </w:rPr>
        <w:t>～</w:t>
      </w:r>
      <w:r w:rsidRPr="00000D16">
        <w:rPr>
          <w:rFonts w:ascii="Times New Roman"/>
          <w:szCs w:val="21"/>
        </w:rPr>
        <w:t>0.5mL</w:t>
      </w:r>
      <w:r w:rsidRPr="00000D16">
        <w:rPr>
          <w:rFonts w:ascii="Times New Roman" w:hAnsi="宋体"/>
          <w:szCs w:val="21"/>
        </w:rPr>
        <w:t>冲洗骨髓腔数次，将冲洗物滴在已对应编号的载玻片上。</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2</w:t>
      </w:r>
      <w:r w:rsidRPr="00000D16">
        <w:rPr>
          <w:rFonts w:ascii="Times New Roman" w:hAnsi="宋体"/>
          <w:szCs w:val="21"/>
        </w:rPr>
        <w:t>）将玻片上的骨髓腔冲洗物调匀后，推片，每只小鼠</w:t>
      </w:r>
      <w:r w:rsidRPr="00000D16">
        <w:rPr>
          <w:rFonts w:ascii="Times New Roman"/>
          <w:szCs w:val="21"/>
        </w:rPr>
        <w:t>2</w:t>
      </w:r>
      <w:r w:rsidRPr="00000D16">
        <w:rPr>
          <w:rFonts w:ascii="Times New Roman" w:hAnsi="宋体"/>
          <w:szCs w:val="21"/>
        </w:rPr>
        <w:t>～</w:t>
      </w:r>
      <w:r w:rsidRPr="00000D16">
        <w:rPr>
          <w:rFonts w:ascii="Times New Roman"/>
          <w:szCs w:val="21"/>
        </w:rPr>
        <w:t>3</w:t>
      </w:r>
      <w:r w:rsidRPr="00000D16">
        <w:rPr>
          <w:rFonts w:ascii="Times New Roman" w:hAnsi="宋体"/>
          <w:szCs w:val="21"/>
        </w:rPr>
        <w:t>张，迅速干燥（可在酒精灯上短时烘烤）。</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3</w:t>
      </w:r>
      <w:r w:rsidRPr="00000D16">
        <w:rPr>
          <w:rFonts w:ascii="Times New Roman" w:hAnsi="宋体"/>
          <w:szCs w:val="21"/>
        </w:rPr>
        <w:t>）将干燥的涂片置甲醇中固定</w:t>
      </w:r>
      <w:r w:rsidRPr="00000D16">
        <w:rPr>
          <w:rFonts w:ascii="Times New Roman"/>
          <w:szCs w:val="21"/>
        </w:rPr>
        <w:t>5</w:t>
      </w:r>
      <w:r w:rsidRPr="00000D16">
        <w:rPr>
          <w:rFonts w:ascii="Times New Roman" w:hAnsi="宋体"/>
          <w:szCs w:val="21"/>
        </w:rPr>
        <w:t>～</w:t>
      </w:r>
      <w:r w:rsidRPr="00000D16">
        <w:rPr>
          <w:rFonts w:ascii="Times New Roman"/>
          <w:szCs w:val="21"/>
        </w:rPr>
        <w:t>10min</w:t>
      </w:r>
      <w:r w:rsidRPr="00000D16">
        <w:rPr>
          <w:rFonts w:ascii="Times New Roman" w:hAnsi="宋体"/>
          <w:szCs w:val="21"/>
        </w:rPr>
        <w:t>，取出晾干。</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4</w:t>
      </w:r>
      <w:r w:rsidRPr="00000D16">
        <w:rPr>
          <w:rFonts w:ascii="Times New Roman" w:hAnsi="宋体"/>
          <w:szCs w:val="21"/>
        </w:rPr>
        <w:t>）固定好的涂片用吉姆萨应用液染色</w:t>
      </w:r>
      <w:r w:rsidRPr="00000D16">
        <w:rPr>
          <w:rFonts w:ascii="Times New Roman"/>
          <w:szCs w:val="21"/>
        </w:rPr>
        <w:t>15</w:t>
      </w:r>
      <w:r w:rsidRPr="00000D16">
        <w:rPr>
          <w:rFonts w:ascii="Times New Roman" w:hAnsi="宋体"/>
          <w:szCs w:val="21"/>
        </w:rPr>
        <w:t>～</w:t>
      </w:r>
      <w:r w:rsidRPr="00000D16">
        <w:rPr>
          <w:rFonts w:ascii="Times New Roman"/>
          <w:szCs w:val="21"/>
        </w:rPr>
        <w:t>30min</w:t>
      </w:r>
      <w:r w:rsidRPr="00000D16">
        <w:rPr>
          <w:rFonts w:ascii="Times New Roman" w:hAnsi="宋体"/>
          <w:szCs w:val="21"/>
        </w:rPr>
        <w:t>，蒸馏水冲洗，晾干，待检。</w:t>
      </w:r>
    </w:p>
    <w:p w:rsidR="001435B7" w:rsidRPr="00000D16" w:rsidRDefault="001435B7" w:rsidP="001435B7">
      <w:pPr>
        <w:pStyle w:val="a9"/>
        <w:numPr>
          <w:ilvl w:val="0"/>
          <w:numId w:val="0"/>
        </w:numPr>
        <w:spacing w:line="360" w:lineRule="auto"/>
        <w:ind w:firstLineChars="200" w:firstLine="420"/>
        <w:outlineLvl w:val="9"/>
        <w:rPr>
          <w:szCs w:val="21"/>
        </w:rPr>
      </w:pPr>
      <w:r w:rsidRPr="00000D16">
        <w:rPr>
          <w:szCs w:val="21"/>
        </w:rPr>
        <w:t>6.</w:t>
      </w:r>
      <w:r w:rsidRPr="00000D16">
        <w:rPr>
          <w:szCs w:val="21"/>
        </w:rPr>
        <w:t>阅片</w:t>
      </w:r>
    </w:p>
    <w:p w:rsidR="001435B7" w:rsidRPr="00000D16" w:rsidRDefault="001435B7" w:rsidP="001435B7">
      <w:pPr>
        <w:pStyle w:val="af2"/>
        <w:spacing w:line="360" w:lineRule="auto"/>
        <w:ind w:firstLine="420"/>
        <w:rPr>
          <w:rFonts w:ascii="Times New Roman"/>
          <w:szCs w:val="21"/>
        </w:rPr>
      </w:pPr>
      <w:r w:rsidRPr="00000D16">
        <w:rPr>
          <w:rFonts w:ascii="Times New Roman" w:hAnsi="宋体"/>
          <w:szCs w:val="21"/>
        </w:rPr>
        <w:t>用双盲法阅片。先用低倍镜观察涂片</w:t>
      </w:r>
      <w:r w:rsidRPr="00000D16">
        <w:rPr>
          <w:rFonts w:ascii="Times New Roman"/>
          <w:szCs w:val="21"/>
        </w:rPr>
        <w:t xml:space="preserve">, </w:t>
      </w:r>
      <w:r w:rsidRPr="00000D16">
        <w:rPr>
          <w:rFonts w:ascii="Times New Roman" w:hAnsi="宋体"/>
          <w:szCs w:val="21"/>
        </w:rPr>
        <w:t>以有核细胞形态完好作为判断制片优劣的标准。选择细胞完整、分散均匀，着色浓淡适中的区域，用油镜观察。</w:t>
      </w:r>
      <w:r w:rsidRPr="00000D16">
        <w:rPr>
          <w:rFonts w:ascii="Times New Roman"/>
          <w:szCs w:val="21"/>
        </w:rPr>
        <w:t>Giemsa</w:t>
      </w:r>
      <w:r w:rsidRPr="00000D16">
        <w:rPr>
          <w:rFonts w:ascii="Times New Roman" w:hAnsi="宋体"/>
          <w:szCs w:val="21"/>
        </w:rPr>
        <w:t>染色法嗜多染红细胞</w:t>
      </w:r>
      <w:r w:rsidRPr="00000D16">
        <w:rPr>
          <w:rFonts w:ascii="Times New Roman" w:hAnsi="宋体"/>
          <w:szCs w:val="21"/>
        </w:rPr>
        <w:lastRenderedPageBreak/>
        <w:t>（</w:t>
      </w:r>
      <w:r w:rsidRPr="00000D16">
        <w:rPr>
          <w:rFonts w:ascii="Times New Roman"/>
          <w:szCs w:val="21"/>
        </w:rPr>
        <w:t>PCE</w:t>
      </w:r>
      <w:r w:rsidRPr="00000D16">
        <w:rPr>
          <w:rFonts w:ascii="Times New Roman" w:hAnsi="宋体"/>
          <w:szCs w:val="21"/>
        </w:rPr>
        <w:t>）呈灰蓝色，成熟红细胞（</w:t>
      </w:r>
      <w:r w:rsidRPr="00000D16">
        <w:rPr>
          <w:rFonts w:ascii="Times New Roman"/>
          <w:szCs w:val="21"/>
        </w:rPr>
        <w:t>RBC</w:t>
      </w:r>
      <w:r w:rsidRPr="00000D16">
        <w:rPr>
          <w:rFonts w:ascii="Times New Roman" w:hAnsi="宋体"/>
          <w:szCs w:val="21"/>
        </w:rPr>
        <w:t>））呈粉红色。典型微核呈圆形、边缘光滑整齐，嗜色性与核质一致呈紫红色或蓝紫色，直径通常为主核的</w:t>
      </w:r>
      <w:r w:rsidRPr="00000D16">
        <w:rPr>
          <w:rFonts w:ascii="Times New Roman"/>
          <w:szCs w:val="21"/>
        </w:rPr>
        <w:t>1/20</w:t>
      </w:r>
      <w:r w:rsidRPr="00000D16">
        <w:rPr>
          <w:rFonts w:ascii="Times New Roman" w:hAnsi="宋体"/>
          <w:szCs w:val="21"/>
        </w:rPr>
        <w:t>～</w:t>
      </w:r>
      <w:r w:rsidRPr="00000D16">
        <w:rPr>
          <w:rFonts w:ascii="Times New Roman"/>
          <w:szCs w:val="21"/>
        </w:rPr>
        <w:t>1/5</w:t>
      </w:r>
      <w:r w:rsidRPr="00000D16">
        <w:rPr>
          <w:rFonts w:ascii="Times New Roman" w:hAnsi="宋体"/>
          <w:szCs w:val="21"/>
        </w:rPr>
        <w:t>。</w:t>
      </w:r>
    </w:p>
    <w:p w:rsidR="001435B7" w:rsidRPr="00000D16" w:rsidRDefault="001435B7" w:rsidP="001435B7">
      <w:pPr>
        <w:pStyle w:val="a9"/>
        <w:numPr>
          <w:ilvl w:val="0"/>
          <w:numId w:val="0"/>
        </w:numPr>
        <w:spacing w:line="360" w:lineRule="auto"/>
        <w:ind w:firstLineChars="200" w:firstLine="420"/>
        <w:outlineLvl w:val="9"/>
        <w:rPr>
          <w:rFonts w:eastAsia="宋体"/>
          <w:szCs w:val="21"/>
        </w:rPr>
      </w:pPr>
      <w:r w:rsidRPr="00000D16">
        <w:rPr>
          <w:rFonts w:eastAsia="宋体" w:hAnsi="宋体"/>
          <w:szCs w:val="21"/>
        </w:rPr>
        <w:t>每只小鼠涂片计数</w:t>
      </w:r>
      <w:r w:rsidRPr="00000D16">
        <w:rPr>
          <w:rFonts w:eastAsia="宋体"/>
          <w:szCs w:val="21"/>
        </w:rPr>
        <w:t>PCE</w:t>
      </w:r>
      <w:r w:rsidRPr="00000D16">
        <w:rPr>
          <w:rFonts w:eastAsia="宋体" w:hAnsi="宋体"/>
          <w:szCs w:val="21"/>
        </w:rPr>
        <w:t>细胞</w:t>
      </w:r>
      <w:r w:rsidRPr="00000D16">
        <w:rPr>
          <w:rFonts w:eastAsia="宋体"/>
          <w:szCs w:val="21"/>
        </w:rPr>
        <w:t>1000</w:t>
      </w:r>
      <w:r w:rsidRPr="00000D16">
        <w:rPr>
          <w:rFonts w:eastAsia="宋体" w:hAnsi="宋体"/>
          <w:szCs w:val="21"/>
        </w:rPr>
        <w:t>个以上，观察并计数其中含有微核的</w:t>
      </w:r>
      <w:r w:rsidRPr="00000D16">
        <w:rPr>
          <w:rFonts w:eastAsia="宋体"/>
          <w:szCs w:val="21"/>
        </w:rPr>
        <w:t>PCE</w:t>
      </w:r>
      <w:r w:rsidRPr="00000D16">
        <w:rPr>
          <w:rFonts w:eastAsia="宋体" w:hAnsi="宋体"/>
          <w:szCs w:val="21"/>
        </w:rPr>
        <w:t>细胞（一个</w:t>
      </w:r>
      <w:r w:rsidRPr="00000D16">
        <w:rPr>
          <w:rFonts w:eastAsia="宋体"/>
          <w:szCs w:val="21"/>
        </w:rPr>
        <w:t>PCE</w:t>
      </w:r>
      <w:r w:rsidRPr="00000D16">
        <w:rPr>
          <w:rFonts w:eastAsia="宋体" w:hAnsi="宋体"/>
          <w:szCs w:val="21"/>
        </w:rPr>
        <w:t>细胞中出现两个或多个微核时仍按一个微核细胞计算）。另外，观察计数</w:t>
      </w:r>
      <w:r w:rsidRPr="00000D16">
        <w:rPr>
          <w:rFonts w:eastAsia="宋体"/>
          <w:szCs w:val="21"/>
        </w:rPr>
        <w:t>PCE</w:t>
      </w:r>
      <w:r w:rsidRPr="00000D16">
        <w:rPr>
          <w:rFonts w:eastAsia="宋体" w:hAnsi="宋体"/>
          <w:szCs w:val="21"/>
        </w:rPr>
        <w:t>时，在同一视野下也对成熟红细胞（</w:t>
      </w:r>
      <w:r w:rsidRPr="00000D16">
        <w:rPr>
          <w:rFonts w:eastAsia="宋体"/>
          <w:szCs w:val="21"/>
        </w:rPr>
        <w:t>RBC</w:t>
      </w:r>
      <w:r w:rsidRPr="00000D16">
        <w:rPr>
          <w:rFonts w:eastAsia="宋体" w:hAnsi="宋体"/>
          <w:szCs w:val="21"/>
        </w:rPr>
        <w:t>）进行观察计数。并记录各组每只小鼠嗜多染红细胞（</w:t>
      </w:r>
      <w:r w:rsidRPr="00000D16">
        <w:rPr>
          <w:rFonts w:eastAsia="宋体"/>
          <w:szCs w:val="21"/>
        </w:rPr>
        <w:t>PCE</w:t>
      </w:r>
      <w:r w:rsidRPr="00000D16">
        <w:rPr>
          <w:rFonts w:eastAsia="宋体" w:hAnsi="宋体"/>
          <w:szCs w:val="21"/>
        </w:rPr>
        <w:t>）检查数、含微核</w:t>
      </w:r>
      <w:r w:rsidRPr="00000D16">
        <w:rPr>
          <w:rFonts w:eastAsia="宋体"/>
          <w:szCs w:val="21"/>
        </w:rPr>
        <w:t>PCE</w:t>
      </w:r>
      <w:r w:rsidRPr="00000D16">
        <w:rPr>
          <w:rFonts w:eastAsia="宋体" w:hAnsi="宋体"/>
          <w:szCs w:val="21"/>
        </w:rPr>
        <w:t>细胞数、成熟红细胞（</w:t>
      </w:r>
      <w:r w:rsidRPr="00000D16">
        <w:rPr>
          <w:rFonts w:eastAsia="宋体"/>
          <w:szCs w:val="21"/>
        </w:rPr>
        <w:t>RBC</w:t>
      </w:r>
      <w:r w:rsidRPr="00000D16">
        <w:rPr>
          <w:rFonts w:eastAsia="宋体" w:hAnsi="宋体"/>
          <w:szCs w:val="21"/>
        </w:rPr>
        <w:t>）数等。</w:t>
      </w:r>
    </w:p>
    <w:p w:rsidR="001435B7" w:rsidRPr="004563B6" w:rsidRDefault="001435B7" w:rsidP="001435B7">
      <w:pPr>
        <w:pStyle w:val="a7"/>
        <w:numPr>
          <w:ilvl w:val="0"/>
          <w:numId w:val="0"/>
        </w:numPr>
        <w:spacing w:beforeLines="0" w:before="0" w:afterLines="0" w:after="0" w:line="360" w:lineRule="auto"/>
        <w:outlineLvl w:val="9"/>
        <w:rPr>
          <w:rFonts w:ascii="Times New Roman"/>
          <w:sz w:val="28"/>
          <w:szCs w:val="28"/>
        </w:rPr>
      </w:pPr>
      <w:r w:rsidRPr="004563B6">
        <w:rPr>
          <w:rFonts w:ascii="Times New Roman"/>
          <w:sz w:val="28"/>
          <w:szCs w:val="28"/>
        </w:rPr>
        <w:t>（三）数据整理与分析</w:t>
      </w:r>
    </w:p>
    <w:p w:rsidR="001435B7" w:rsidRPr="00714C7B" w:rsidRDefault="001435B7" w:rsidP="001435B7">
      <w:pPr>
        <w:pStyle w:val="a9"/>
        <w:numPr>
          <w:ilvl w:val="0"/>
          <w:numId w:val="0"/>
        </w:numPr>
        <w:spacing w:line="360" w:lineRule="auto"/>
        <w:ind w:firstLineChars="200" w:firstLine="420"/>
        <w:outlineLvl w:val="9"/>
        <w:rPr>
          <w:rFonts w:eastAsia="宋体"/>
          <w:szCs w:val="21"/>
        </w:rPr>
      </w:pPr>
      <w:r w:rsidRPr="00714C7B">
        <w:rPr>
          <w:rFonts w:eastAsia="宋体"/>
          <w:szCs w:val="21"/>
        </w:rPr>
        <w:t>1.</w:t>
      </w:r>
      <w:r w:rsidRPr="00714C7B">
        <w:rPr>
          <w:rFonts w:eastAsia="宋体" w:hAnsi="宋体"/>
          <w:szCs w:val="21"/>
        </w:rPr>
        <w:t>分别计算雌、雄小鼠各试验组的嗜多染红细胞（</w:t>
      </w:r>
      <w:r w:rsidRPr="00714C7B">
        <w:rPr>
          <w:rFonts w:eastAsia="宋体"/>
          <w:szCs w:val="21"/>
        </w:rPr>
        <w:t>PCE</w:t>
      </w:r>
      <w:r w:rsidRPr="00714C7B">
        <w:rPr>
          <w:rFonts w:eastAsia="宋体" w:hAnsi="宋体"/>
          <w:szCs w:val="21"/>
        </w:rPr>
        <w:t>）数、含微核嗜多染红细胞数及成熟红细胞（</w:t>
      </w:r>
      <w:r w:rsidRPr="00714C7B">
        <w:rPr>
          <w:rFonts w:eastAsia="宋体"/>
          <w:szCs w:val="21"/>
        </w:rPr>
        <w:t>RBC</w:t>
      </w:r>
      <w:r w:rsidRPr="00714C7B">
        <w:rPr>
          <w:rFonts w:eastAsia="宋体" w:hAnsi="宋体"/>
          <w:szCs w:val="21"/>
        </w:rPr>
        <w:t>）数，将计算结果列入下表：</w:t>
      </w:r>
    </w:p>
    <w:tbl>
      <w:tblPr>
        <w:tblW w:w="823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916"/>
        <w:gridCol w:w="1602"/>
        <w:gridCol w:w="1994"/>
        <w:gridCol w:w="1684"/>
      </w:tblGrid>
      <w:tr w:rsidR="001435B7" w:rsidRPr="00714C7B" w:rsidTr="00752DA2">
        <w:tblPrEx>
          <w:tblCellMar>
            <w:top w:w="0" w:type="dxa"/>
            <w:bottom w:w="0" w:type="dxa"/>
          </w:tblCellMar>
        </w:tblPrEx>
        <w:tc>
          <w:tcPr>
            <w:tcW w:w="2040" w:type="dxa"/>
          </w:tcPr>
          <w:p w:rsidR="001435B7" w:rsidRPr="00714C7B" w:rsidRDefault="001435B7" w:rsidP="00752DA2">
            <w:pPr>
              <w:spacing w:line="360" w:lineRule="auto"/>
              <w:jc w:val="center"/>
              <w:rPr>
                <w:szCs w:val="21"/>
              </w:rPr>
            </w:pPr>
            <w:r w:rsidRPr="00714C7B">
              <w:rPr>
                <w:rFonts w:hAnsi="宋体"/>
                <w:szCs w:val="21"/>
              </w:rPr>
              <w:t>组别</w:t>
            </w:r>
          </w:p>
        </w:tc>
        <w:tc>
          <w:tcPr>
            <w:tcW w:w="916" w:type="dxa"/>
          </w:tcPr>
          <w:p w:rsidR="001435B7" w:rsidRPr="00714C7B" w:rsidRDefault="001435B7" w:rsidP="00752DA2">
            <w:pPr>
              <w:spacing w:line="360" w:lineRule="auto"/>
              <w:jc w:val="center"/>
              <w:rPr>
                <w:szCs w:val="21"/>
              </w:rPr>
            </w:pPr>
            <w:r w:rsidRPr="00714C7B">
              <w:rPr>
                <w:rFonts w:hAnsi="宋体"/>
                <w:szCs w:val="21"/>
              </w:rPr>
              <w:t>动物数</w:t>
            </w:r>
          </w:p>
        </w:tc>
        <w:tc>
          <w:tcPr>
            <w:tcW w:w="1602" w:type="dxa"/>
          </w:tcPr>
          <w:p w:rsidR="001435B7" w:rsidRPr="00714C7B" w:rsidRDefault="001435B7" w:rsidP="00752DA2">
            <w:pPr>
              <w:spacing w:line="360" w:lineRule="auto"/>
              <w:jc w:val="center"/>
              <w:rPr>
                <w:szCs w:val="21"/>
              </w:rPr>
            </w:pPr>
            <w:r w:rsidRPr="00714C7B">
              <w:rPr>
                <w:szCs w:val="21"/>
              </w:rPr>
              <w:t>PCE</w:t>
            </w:r>
            <w:r w:rsidRPr="00714C7B">
              <w:rPr>
                <w:rFonts w:hAnsi="宋体"/>
                <w:szCs w:val="21"/>
              </w:rPr>
              <w:t>检查数</w:t>
            </w:r>
          </w:p>
        </w:tc>
        <w:tc>
          <w:tcPr>
            <w:tcW w:w="1994" w:type="dxa"/>
          </w:tcPr>
          <w:p w:rsidR="001435B7" w:rsidRPr="00714C7B" w:rsidRDefault="001435B7" w:rsidP="00752DA2">
            <w:pPr>
              <w:spacing w:line="360" w:lineRule="auto"/>
              <w:jc w:val="center"/>
              <w:rPr>
                <w:szCs w:val="21"/>
              </w:rPr>
            </w:pPr>
            <w:r w:rsidRPr="00714C7B">
              <w:rPr>
                <w:rFonts w:hAnsi="宋体"/>
                <w:szCs w:val="21"/>
              </w:rPr>
              <w:t>含微核</w:t>
            </w:r>
            <w:r w:rsidRPr="00714C7B">
              <w:rPr>
                <w:szCs w:val="21"/>
              </w:rPr>
              <w:t>PCE</w:t>
            </w:r>
            <w:r w:rsidRPr="00714C7B">
              <w:rPr>
                <w:rFonts w:hAnsi="宋体"/>
                <w:szCs w:val="21"/>
              </w:rPr>
              <w:t>数</w:t>
            </w:r>
          </w:p>
        </w:tc>
        <w:tc>
          <w:tcPr>
            <w:tcW w:w="1684" w:type="dxa"/>
          </w:tcPr>
          <w:p w:rsidR="001435B7" w:rsidRPr="00714C7B" w:rsidRDefault="001435B7" w:rsidP="00752DA2">
            <w:pPr>
              <w:spacing w:line="360" w:lineRule="auto"/>
              <w:ind w:left="2" w:hangingChars="1" w:hanging="2"/>
              <w:jc w:val="center"/>
              <w:rPr>
                <w:szCs w:val="21"/>
              </w:rPr>
            </w:pPr>
            <w:r w:rsidRPr="00714C7B">
              <w:rPr>
                <w:szCs w:val="21"/>
              </w:rPr>
              <w:t>RBC</w:t>
            </w:r>
            <w:r w:rsidRPr="00714C7B">
              <w:rPr>
                <w:rFonts w:hAnsi="宋体"/>
                <w:szCs w:val="21"/>
              </w:rPr>
              <w:t>数</w:t>
            </w:r>
          </w:p>
        </w:tc>
      </w:tr>
      <w:tr w:rsidR="001435B7" w:rsidRPr="00714C7B" w:rsidTr="00752DA2">
        <w:tblPrEx>
          <w:tblCellMar>
            <w:top w:w="0" w:type="dxa"/>
            <w:bottom w:w="0" w:type="dxa"/>
          </w:tblCellMar>
        </w:tblPrEx>
        <w:tc>
          <w:tcPr>
            <w:tcW w:w="2040" w:type="dxa"/>
          </w:tcPr>
          <w:p w:rsidR="001435B7" w:rsidRPr="00714C7B" w:rsidRDefault="001435B7" w:rsidP="00752DA2">
            <w:pPr>
              <w:spacing w:line="360" w:lineRule="auto"/>
              <w:jc w:val="center"/>
              <w:rPr>
                <w:szCs w:val="21"/>
              </w:rPr>
            </w:pPr>
          </w:p>
        </w:tc>
        <w:tc>
          <w:tcPr>
            <w:tcW w:w="916" w:type="dxa"/>
          </w:tcPr>
          <w:p w:rsidR="001435B7" w:rsidRPr="00714C7B" w:rsidRDefault="001435B7" w:rsidP="00752DA2">
            <w:pPr>
              <w:spacing w:line="360" w:lineRule="auto"/>
              <w:jc w:val="center"/>
              <w:rPr>
                <w:szCs w:val="21"/>
              </w:rPr>
            </w:pPr>
          </w:p>
        </w:tc>
        <w:tc>
          <w:tcPr>
            <w:tcW w:w="1602" w:type="dxa"/>
          </w:tcPr>
          <w:p w:rsidR="001435B7" w:rsidRPr="00714C7B" w:rsidRDefault="001435B7" w:rsidP="00752DA2">
            <w:pPr>
              <w:spacing w:line="360" w:lineRule="auto"/>
              <w:jc w:val="center"/>
              <w:rPr>
                <w:szCs w:val="21"/>
              </w:rPr>
            </w:pPr>
          </w:p>
        </w:tc>
        <w:tc>
          <w:tcPr>
            <w:tcW w:w="1994" w:type="dxa"/>
          </w:tcPr>
          <w:p w:rsidR="001435B7" w:rsidRPr="00714C7B" w:rsidRDefault="001435B7" w:rsidP="00752DA2">
            <w:pPr>
              <w:spacing w:line="360" w:lineRule="auto"/>
              <w:jc w:val="center"/>
              <w:rPr>
                <w:szCs w:val="21"/>
              </w:rPr>
            </w:pPr>
          </w:p>
        </w:tc>
        <w:tc>
          <w:tcPr>
            <w:tcW w:w="1684" w:type="dxa"/>
          </w:tcPr>
          <w:p w:rsidR="001435B7" w:rsidRPr="00714C7B" w:rsidRDefault="001435B7" w:rsidP="00752DA2">
            <w:pPr>
              <w:spacing w:line="360" w:lineRule="auto"/>
              <w:jc w:val="center"/>
              <w:rPr>
                <w:szCs w:val="21"/>
              </w:rPr>
            </w:pPr>
          </w:p>
        </w:tc>
      </w:tr>
      <w:tr w:rsidR="001435B7" w:rsidRPr="00714C7B" w:rsidTr="00752DA2">
        <w:tblPrEx>
          <w:tblCellMar>
            <w:top w:w="0" w:type="dxa"/>
            <w:bottom w:w="0" w:type="dxa"/>
          </w:tblCellMar>
        </w:tblPrEx>
        <w:tc>
          <w:tcPr>
            <w:tcW w:w="2040" w:type="dxa"/>
          </w:tcPr>
          <w:p w:rsidR="001435B7" w:rsidRPr="00714C7B" w:rsidRDefault="001435B7" w:rsidP="00752DA2">
            <w:pPr>
              <w:spacing w:line="360" w:lineRule="auto"/>
              <w:jc w:val="center"/>
              <w:rPr>
                <w:szCs w:val="21"/>
              </w:rPr>
            </w:pPr>
          </w:p>
        </w:tc>
        <w:tc>
          <w:tcPr>
            <w:tcW w:w="916" w:type="dxa"/>
          </w:tcPr>
          <w:p w:rsidR="001435B7" w:rsidRPr="00714C7B" w:rsidRDefault="001435B7" w:rsidP="00752DA2">
            <w:pPr>
              <w:spacing w:line="360" w:lineRule="auto"/>
              <w:jc w:val="center"/>
              <w:rPr>
                <w:szCs w:val="21"/>
              </w:rPr>
            </w:pPr>
          </w:p>
        </w:tc>
        <w:tc>
          <w:tcPr>
            <w:tcW w:w="1602" w:type="dxa"/>
          </w:tcPr>
          <w:p w:rsidR="001435B7" w:rsidRPr="00714C7B" w:rsidRDefault="001435B7" w:rsidP="00752DA2">
            <w:pPr>
              <w:spacing w:line="360" w:lineRule="auto"/>
              <w:jc w:val="center"/>
              <w:rPr>
                <w:szCs w:val="21"/>
              </w:rPr>
            </w:pPr>
          </w:p>
        </w:tc>
        <w:tc>
          <w:tcPr>
            <w:tcW w:w="1994" w:type="dxa"/>
          </w:tcPr>
          <w:p w:rsidR="001435B7" w:rsidRPr="00714C7B" w:rsidRDefault="001435B7" w:rsidP="00752DA2">
            <w:pPr>
              <w:spacing w:line="360" w:lineRule="auto"/>
              <w:jc w:val="center"/>
              <w:rPr>
                <w:szCs w:val="21"/>
              </w:rPr>
            </w:pPr>
          </w:p>
        </w:tc>
        <w:tc>
          <w:tcPr>
            <w:tcW w:w="1684" w:type="dxa"/>
          </w:tcPr>
          <w:p w:rsidR="001435B7" w:rsidRPr="00714C7B" w:rsidRDefault="001435B7" w:rsidP="00752DA2">
            <w:pPr>
              <w:spacing w:line="360" w:lineRule="auto"/>
              <w:jc w:val="center"/>
              <w:rPr>
                <w:szCs w:val="21"/>
              </w:rPr>
            </w:pPr>
          </w:p>
        </w:tc>
      </w:tr>
      <w:tr w:rsidR="001435B7" w:rsidRPr="00714C7B" w:rsidTr="00752DA2">
        <w:tblPrEx>
          <w:tblCellMar>
            <w:top w:w="0" w:type="dxa"/>
            <w:bottom w:w="0" w:type="dxa"/>
          </w:tblCellMar>
        </w:tblPrEx>
        <w:tc>
          <w:tcPr>
            <w:tcW w:w="2040" w:type="dxa"/>
          </w:tcPr>
          <w:p w:rsidR="001435B7" w:rsidRPr="00714C7B" w:rsidRDefault="001435B7" w:rsidP="00752DA2">
            <w:pPr>
              <w:spacing w:line="360" w:lineRule="auto"/>
              <w:jc w:val="center"/>
              <w:rPr>
                <w:szCs w:val="21"/>
              </w:rPr>
            </w:pPr>
          </w:p>
        </w:tc>
        <w:tc>
          <w:tcPr>
            <w:tcW w:w="916" w:type="dxa"/>
          </w:tcPr>
          <w:p w:rsidR="001435B7" w:rsidRPr="00714C7B" w:rsidRDefault="001435B7" w:rsidP="00752DA2">
            <w:pPr>
              <w:spacing w:line="360" w:lineRule="auto"/>
              <w:jc w:val="center"/>
              <w:rPr>
                <w:szCs w:val="21"/>
              </w:rPr>
            </w:pPr>
          </w:p>
        </w:tc>
        <w:tc>
          <w:tcPr>
            <w:tcW w:w="1602" w:type="dxa"/>
          </w:tcPr>
          <w:p w:rsidR="001435B7" w:rsidRPr="00714C7B" w:rsidRDefault="001435B7" w:rsidP="00752DA2">
            <w:pPr>
              <w:spacing w:line="360" w:lineRule="auto"/>
              <w:jc w:val="center"/>
              <w:rPr>
                <w:szCs w:val="21"/>
              </w:rPr>
            </w:pPr>
          </w:p>
        </w:tc>
        <w:tc>
          <w:tcPr>
            <w:tcW w:w="1994" w:type="dxa"/>
          </w:tcPr>
          <w:p w:rsidR="001435B7" w:rsidRPr="00714C7B" w:rsidRDefault="001435B7" w:rsidP="00752DA2">
            <w:pPr>
              <w:spacing w:line="360" w:lineRule="auto"/>
              <w:jc w:val="center"/>
              <w:rPr>
                <w:szCs w:val="21"/>
              </w:rPr>
            </w:pPr>
          </w:p>
        </w:tc>
        <w:tc>
          <w:tcPr>
            <w:tcW w:w="1684" w:type="dxa"/>
          </w:tcPr>
          <w:p w:rsidR="001435B7" w:rsidRPr="00714C7B" w:rsidRDefault="001435B7" w:rsidP="00752DA2">
            <w:pPr>
              <w:spacing w:line="360" w:lineRule="auto"/>
              <w:jc w:val="center"/>
              <w:rPr>
                <w:szCs w:val="21"/>
              </w:rPr>
            </w:pPr>
          </w:p>
        </w:tc>
      </w:tr>
      <w:tr w:rsidR="001435B7" w:rsidRPr="00714C7B" w:rsidTr="00752DA2">
        <w:tblPrEx>
          <w:tblCellMar>
            <w:top w:w="0" w:type="dxa"/>
            <w:bottom w:w="0" w:type="dxa"/>
          </w:tblCellMar>
        </w:tblPrEx>
        <w:tc>
          <w:tcPr>
            <w:tcW w:w="2040" w:type="dxa"/>
          </w:tcPr>
          <w:p w:rsidR="001435B7" w:rsidRPr="00714C7B" w:rsidRDefault="001435B7" w:rsidP="00752DA2">
            <w:pPr>
              <w:spacing w:line="360" w:lineRule="auto"/>
              <w:jc w:val="center"/>
              <w:rPr>
                <w:szCs w:val="21"/>
              </w:rPr>
            </w:pPr>
            <w:r w:rsidRPr="00714C7B">
              <w:rPr>
                <w:rFonts w:hAnsi="宋体"/>
                <w:szCs w:val="21"/>
              </w:rPr>
              <w:t>阴性（溶剂）对照</w:t>
            </w:r>
          </w:p>
        </w:tc>
        <w:tc>
          <w:tcPr>
            <w:tcW w:w="916" w:type="dxa"/>
          </w:tcPr>
          <w:p w:rsidR="001435B7" w:rsidRPr="00714C7B" w:rsidRDefault="001435B7" w:rsidP="00752DA2">
            <w:pPr>
              <w:spacing w:line="360" w:lineRule="auto"/>
              <w:jc w:val="center"/>
              <w:rPr>
                <w:szCs w:val="21"/>
              </w:rPr>
            </w:pPr>
          </w:p>
        </w:tc>
        <w:tc>
          <w:tcPr>
            <w:tcW w:w="1602" w:type="dxa"/>
          </w:tcPr>
          <w:p w:rsidR="001435B7" w:rsidRPr="00714C7B" w:rsidRDefault="001435B7" w:rsidP="00752DA2">
            <w:pPr>
              <w:spacing w:line="360" w:lineRule="auto"/>
              <w:jc w:val="center"/>
              <w:rPr>
                <w:szCs w:val="21"/>
              </w:rPr>
            </w:pPr>
          </w:p>
        </w:tc>
        <w:tc>
          <w:tcPr>
            <w:tcW w:w="1994" w:type="dxa"/>
          </w:tcPr>
          <w:p w:rsidR="001435B7" w:rsidRPr="00714C7B" w:rsidRDefault="001435B7" w:rsidP="00752DA2">
            <w:pPr>
              <w:spacing w:line="360" w:lineRule="auto"/>
              <w:jc w:val="center"/>
              <w:rPr>
                <w:szCs w:val="21"/>
              </w:rPr>
            </w:pPr>
          </w:p>
        </w:tc>
        <w:tc>
          <w:tcPr>
            <w:tcW w:w="1684" w:type="dxa"/>
          </w:tcPr>
          <w:p w:rsidR="001435B7" w:rsidRPr="00714C7B" w:rsidRDefault="001435B7" w:rsidP="00752DA2">
            <w:pPr>
              <w:spacing w:line="360" w:lineRule="auto"/>
              <w:jc w:val="center"/>
              <w:rPr>
                <w:szCs w:val="21"/>
              </w:rPr>
            </w:pPr>
          </w:p>
        </w:tc>
      </w:tr>
      <w:tr w:rsidR="001435B7" w:rsidRPr="00714C7B" w:rsidTr="00752DA2">
        <w:tblPrEx>
          <w:tblCellMar>
            <w:top w:w="0" w:type="dxa"/>
            <w:bottom w:w="0" w:type="dxa"/>
          </w:tblCellMar>
        </w:tblPrEx>
        <w:tc>
          <w:tcPr>
            <w:tcW w:w="2040" w:type="dxa"/>
          </w:tcPr>
          <w:p w:rsidR="001435B7" w:rsidRPr="00714C7B" w:rsidRDefault="001435B7" w:rsidP="00752DA2">
            <w:pPr>
              <w:spacing w:line="360" w:lineRule="auto"/>
              <w:jc w:val="center"/>
              <w:rPr>
                <w:szCs w:val="21"/>
              </w:rPr>
            </w:pPr>
            <w:r w:rsidRPr="00714C7B">
              <w:rPr>
                <w:rFonts w:hAnsi="宋体"/>
                <w:szCs w:val="21"/>
              </w:rPr>
              <w:t>阳性对照</w:t>
            </w:r>
          </w:p>
        </w:tc>
        <w:tc>
          <w:tcPr>
            <w:tcW w:w="916" w:type="dxa"/>
          </w:tcPr>
          <w:p w:rsidR="001435B7" w:rsidRPr="00714C7B" w:rsidRDefault="001435B7" w:rsidP="00752DA2">
            <w:pPr>
              <w:spacing w:line="360" w:lineRule="auto"/>
              <w:jc w:val="center"/>
              <w:rPr>
                <w:szCs w:val="21"/>
              </w:rPr>
            </w:pPr>
          </w:p>
        </w:tc>
        <w:tc>
          <w:tcPr>
            <w:tcW w:w="1602" w:type="dxa"/>
          </w:tcPr>
          <w:p w:rsidR="001435B7" w:rsidRPr="00714C7B" w:rsidRDefault="001435B7" w:rsidP="00752DA2">
            <w:pPr>
              <w:spacing w:line="360" w:lineRule="auto"/>
              <w:jc w:val="center"/>
              <w:rPr>
                <w:szCs w:val="21"/>
              </w:rPr>
            </w:pPr>
          </w:p>
        </w:tc>
        <w:tc>
          <w:tcPr>
            <w:tcW w:w="1994" w:type="dxa"/>
          </w:tcPr>
          <w:p w:rsidR="001435B7" w:rsidRPr="00714C7B" w:rsidRDefault="001435B7" w:rsidP="00752DA2">
            <w:pPr>
              <w:spacing w:line="360" w:lineRule="auto"/>
              <w:jc w:val="center"/>
              <w:rPr>
                <w:szCs w:val="21"/>
              </w:rPr>
            </w:pPr>
          </w:p>
        </w:tc>
        <w:tc>
          <w:tcPr>
            <w:tcW w:w="1684" w:type="dxa"/>
          </w:tcPr>
          <w:p w:rsidR="001435B7" w:rsidRPr="00714C7B" w:rsidRDefault="001435B7" w:rsidP="00752DA2">
            <w:pPr>
              <w:spacing w:line="360" w:lineRule="auto"/>
              <w:jc w:val="center"/>
              <w:rPr>
                <w:szCs w:val="21"/>
              </w:rPr>
            </w:pPr>
          </w:p>
        </w:tc>
      </w:tr>
    </w:tbl>
    <w:p w:rsidR="001435B7" w:rsidRPr="00714C7B" w:rsidRDefault="001435B7" w:rsidP="001435B7">
      <w:pPr>
        <w:pStyle w:val="a9"/>
        <w:numPr>
          <w:ilvl w:val="0"/>
          <w:numId w:val="0"/>
        </w:numPr>
        <w:spacing w:line="360" w:lineRule="auto"/>
        <w:ind w:firstLineChars="200" w:firstLine="420"/>
        <w:outlineLvl w:val="9"/>
        <w:rPr>
          <w:rFonts w:eastAsia="宋体"/>
          <w:szCs w:val="21"/>
        </w:rPr>
      </w:pPr>
      <w:r w:rsidRPr="00714C7B">
        <w:rPr>
          <w:rFonts w:eastAsia="宋体"/>
          <w:kern w:val="2"/>
          <w:szCs w:val="21"/>
        </w:rPr>
        <w:t>2.</w:t>
      </w:r>
      <w:r w:rsidRPr="00714C7B">
        <w:rPr>
          <w:rFonts w:eastAsia="宋体" w:hAnsi="宋体"/>
          <w:szCs w:val="21"/>
        </w:rPr>
        <w:t>按下列公式计算雌、雄小鼠各试验组的</w:t>
      </w:r>
      <w:r w:rsidRPr="00714C7B">
        <w:rPr>
          <w:rFonts w:eastAsia="宋体"/>
          <w:szCs w:val="21"/>
        </w:rPr>
        <w:t>PCE</w:t>
      </w:r>
      <w:r w:rsidRPr="00714C7B">
        <w:rPr>
          <w:rFonts w:eastAsia="宋体" w:hAnsi="宋体"/>
          <w:szCs w:val="21"/>
        </w:rPr>
        <w:t>微核率和</w:t>
      </w:r>
      <w:r w:rsidRPr="00714C7B">
        <w:rPr>
          <w:rFonts w:eastAsia="宋体"/>
          <w:szCs w:val="21"/>
        </w:rPr>
        <w:t>PCE/RBC</w:t>
      </w:r>
      <w:r w:rsidRPr="00714C7B">
        <w:rPr>
          <w:rFonts w:eastAsia="宋体" w:hAnsi="宋体"/>
          <w:szCs w:val="21"/>
        </w:rPr>
        <w:t>值，同时计算各自的标准差，将结果列入下表中：</w:t>
      </w:r>
    </w:p>
    <w:p w:rsidR="001435B7" w:rsidRPr="00714C7B" w:rsidRDefault="001435B7" w:rsidP="001435B7">
      <w:pPr>
        <w:pStyle w:val="af2"/>
        <w:spacing w:line="360" w:lineRule="auto"/>
        <w:ind w:firstLine="420"/>
        <w:rPr>
          <w:rFonts w:ascii="Times New Roman"/>
          <w:szCs w:val="21"/>
        </w:rPr>
      </w:pPr>
      <w:r w:rsidRPr="00714C7B">
        <w:rPr>
          <w:rFonts w:ascii="Times New Roman" w:hAnsi="宋体"/>
          <w:szCs w:val="21"/>
        </w:rPr>
        <w:t>嗜多染红细胞微核率＝</w:t>
      </w:r>
      <w:r w:rsidRPr="00714C7B">
        <w:rPr>
          <w:rFonts w:ascii="Times New Roman"/>
          <w:position w:val="-26"/>
          <w:szCs w:val="21"/>
        </w:rPr>
        <w:object w:dxaOrig="15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76pt;height:33pt" o:ole="">
            <v:imagedata r:id="rId5" o:title=""/>
          </v:shape>
          <o:OLEObject Type="Embed" ProgID="Equation.3" ShapeID="_x0000_i1061" DrawAspect="Content" ObjectID="_1772286395" r:id="rId6"/>
        </w:object>
      </w:r>
      <w:r w:rsidRPr="00714C7B">
        <w:rPr>
          <w:rFonts w:ascii="Times New Roman"/>
          <w:szCs w:val="21"/>
        </w:rPr>
        <w:t>×1000‰</w:t>
      </w:r>
    </w:p>
    <w:p w:rsidR="001435B7" w:rsidRPr="00714C7B" w:rsidRDefault="001435B7" w:rsidP="001435B7">
      <w:pPr>
        <w:pStyle w:val="af2"/>
        <w:spacing w:line="360" w:lineRule="auto"/>
        <w:ind w:firstLine="420"/>
        <w:rPr>
          <w:rFonts w:ascii="Times New Roman" w:hint="eastAsia"/>
          <w:szCs w:val="21"/>
        </w:rPr>
      </w:pPr>
      <w:r w:rsidRPr="00714C7B">
        <w:rPr>
          <w:rFonts w:ascii="Times New Roman"/>
          <w:szCs w:val="21"/>
        </w:rPr>
        <w:t>PCE/RBC</w:t>
      </w:r>
      <w:r w:rsidRPr="00714C7B">
        <w:rPr>
          <w:rFonts w:ascii="Times New Roman" w:hAnsi="宋体"/>
          <w:szCs w:val="21"/>
        </w:rPr>
        <w:t>比值＝</w:t>
      </w:r>
      <w:r w:rsidRPr="00714C7B">
        <w:rPr>
          <w:rFonts w:ascii="Times New Roman"/>
          <w:position w:val="-26"/>
          <w:szCs w:val="21"/>
        </w:rPr>
        <w:object w:dxaOrig="1300" w:dyaOrig="660">
          <v:shape id="_x0000_i1062" type="#_x0000_t75" style="width:65pt;height:33pt" o:ole="">
            <v:imagedata r:id="rId7" o:title=""/>
          </v:shape>
          <o:OLEObject Type="Embed" ProgID="Equation.3" ShapeID="_x0000_i1062" DrawAspect="Content" ObjectID="_1772286396" r:id="rId8"/>
        </w:object>
      </w:r>
    </w:p>
    <w:p w:rsidR="001435B7" w:rsidRPr="00714C7B" w:rsidRDefault="001435B7" w:rsidP="001435B7">
      <w:pPr>
        <w:pStyle w:val="af2"/>
        <w:spacing w:line="360" w:lineRule="auto"/>
        <w:ind w:firstLine="420"/>
        <w:rPr>
          <w:rFonts w:ascii="Times New Roman"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2386"/>
        <w:gridCol w:w="846"/>
        <w:gridCol w:w="1080"/>
        <w:gridCol w:w="1284"/>
        <w:gridCol w:w="846"/>
      </w:tblGrid>
      <w:tr w:rsidR="001435B7" w:rsidRPr="00714C7B" w:rsidTr="00752DA2">
        <w:tblPrEx>
          <w:tblCellMar>
            <w:top w:w="0" w:type="dxa"/>
            <w:bottom w:w="0" w:type="dxa"/>
          </w:tblCellMar>
        </w:tblPrEx>
        <w:trPr>
          <w:trHeight w:val="763"/>
          <w:jc w:val="center"/>
        </w:trPr>
        <w:tc>
          <w:tcPr>
            <w:tcW w:w="1317" w:type="dxa"/>
            <w:vAlign w:val="center"/>
          </w:tcPr>
          <w:p w:rsidR="001435B7" w:rsidRPr="00714C7B" w:rsidRDefault="001435B7" w:rsidP="00752DA2">
            <w:pPr>
              <w:spacing w:line="360" w:lineRule="auto"/>
              <w:jc w:val="center"/>
              <w:rPr>
                <w:szCs w:val="21"/>
              </w:rPr>
            </w:pPr>
            <w:r w:rsidRPr="00714C7B">
              <w:rPr>
                <w:rFonts w:hAnsi="宋体"/>
                <w:szCs w:val="21"/>
              </w:rPr>
              <w:t>组别</w:t>
            </w:r>
          </w:p>
        </w:tc>
        <w:tc>
          <w:tcPr>
            <w:tcW w:w="2386" w:type="dxa"/>
            <w:vAlign w:val="center"/>
          </w:tcPr>
          <w:p w:rsidR="001435B7" w:rsidRPr="00714C7B" w:rsidRDefault="001435B7" w:rsidP="00752DA2">
            <w:pPr>
              <w:spacing w:line="360" w:lineRule="auto"/>
              <w:jc w:val="center"/>
              <w:rPr>
                <w:szCs w:val="21"/>
              </w:rPr>
            </w:pPr>
            <w:r w:rsidRPr="00714C7B">
              <w:rPr>
                <w:rFonts w:hAnsi="宋体"/>
                <w:szCs w:val="21"/>
              </w:rPr>
              <w:t>剂量</w:t>
            </w:r>
          </w:p>
          <w:p w:rsidR="001435B7" w:rsidRPr="00714C7B" w:rsidRDefault="001435B7" w:rsidP="00752DA2">
            <w:pPr>
              <w:spacing w:line="360" w:lineRule="auto"/>
              <w:jc w:val="center"/>
              <w:rPr>
                <w:szCs w:val="21"/>
              </w:rPr>
            </w:pPr>
            <w:r w:rsidRPr="00714C7B">
              <w:rPr>
                <w:rFonts w:hAnsi="宋体"/>
                <w:kern w:val="0"/>
                <w:szCs w:val="21"/>
              </w:rPr>
              <w:t>（</w:t>
            </w:r>
            <w:r w:rsidRPr="00714C7B">
              <w:rPr>
                <w:kern w:val="0"/>
                <w:szCs w:val="21"/>
              </w:rPr>
              <w:t>mg/kg</w:t>
            </w:r>
            <w:r w:rsidRPr="00714C7B">
              <w:rPr>
                <w:rFonts w:hAnsi="宋体"/>
                <w:kern w:val="0"/>
                <w:szCs w:val="21"/>
              </w:rPr>
              <w:t>或</w:t>
            </w:r>
            <w:r w:rsidRPr="00714C7B">
              <w:rPr>
                <w:kern w:val="0"/>
                <w:szCs w:val="21"/>
              </w:rPr>
              <w:t>mL/kg</w:t>
            </w:r>
            <w:r w:rsidRPr="00714C7B">
              <w:rPr>
                <w:rFonts w:hAnsi="宋体"/>
                <w:kern w:val="0"/>
                <w:szCs w:val="21"/>
              </w:rPr>
              <w:t>）</w:t>
            </w:r>
          </w:p>
        </w:tc>
        <w:tc>
          <w:tcPr>
            <w:tcW w:w="0" w:type="auto"/>
            <w:vAlign w:val="center"/>
          </w:tcPr>
          <w:p w:rsidR="001435B7" w:rsidRPr="00714C7B" w:rsidRDefault="001435B7" w:rsidP="00752DA2">
            <w:pPr>
              <w:spacing w:line="360" w:lineRule="auto"/>
              <w:jc w:val="center"/>
              <w:rPr>
                <w:szCs w:val="21"/>
              </w:rPr>
            </w:pPr>
            <w:r w:rsidRPr="00714C7B">
              <w:rPr>
                <w:rFonts w:hAnsi="宋体"/>
                <w:szCs w:val="21"/>
              </w:rPr>
              <w:t>动物数</w:t>
            </w:r>
          </w:p>
        </w:tc>
        <w:tc>
          <w:tcPr>
            <w:tcW w:w="0" w:type="auto"/>
            <w:vAlign w:val="center"/>
          </w:tcPr>
          <w:p w:rsidR="001435B7" w:rsidRPr="00714C7B" w:rsidRDefault="001435B7" w:rsidP="00752DA2">
            <w:pPr>
              <w:spacing w:line="360" w:lineRule="auto"/>
              <w:jc w:val="center"/>
              <w:rPr>
                <w:rFonts w:hint="eastAsia"/>
                <w:szCs w:val="21"/>
              </w:rPr>
            </w:pPr>
            <w:r w:rsidRPr="00714C7B">
              <w:rPr>
                <w:szCs w:val="21"/>
              </w:rPr>
              <w:t>PCE/RBC</w:t>
            </w:r>
          </w:p>
          <w:p w:rsidR="001435B7" w:rsidRPr="00714C7B" w:rsidRDefault="001435B7" w:rsidP="00752DA2">
            <w:pPr>
              <w:spacing w:line="360" w:lineRule="auto"/>
              <w:jc w:val="center"/>
              <w:rPr>
                <w:szCs w:val="21"/>
              </w:rPr>
            </w:pPr>
            <w:r w:rsidRPr="00714C7B">
              <w:rPr>
                <w:rFonts w:hAnsi="宋体"/>
                <w:szCs w:val="21"/>
              </w:rPr>
              <w:t>比值</w:t>
            </w:r>
          </w:p>
        </w:tc>
        <w:tc>
          <w:tcPr>
            <w:tcW w:w="0" w:type="auto"/>
            <w:vAlign w:val="center"/>
          </w:tcPr>
          <w:p w:rsidR="001435B7" w:rsidRPr="00714C7B" w:rsidRDefault="001435B7" w:rsidP="00752DA2">
            <w:pPr>
              <w:spacing w:line="360" w:lineRule="auto"/>
              <w:ind w:left="2" w:hangingChars="1" w:hanging="2"/>
              <w:jc w:val="center"/>
              <w:rPr>
                <w:rFonts w:hAnsi="宋体" w:hint="eastAsia"/>
                <w:szCs w:val="21"/>
              </w:rPr>
            </w:pPr>
            <w:r w:rsidRPr="00714C7B">
              <w:rPr>
                <w:szCs w:val="21"/>
              </w:rPr>
              <w:t>PCE</w:t>
            </w:r>
            <w:r w:rsidRPr="00714C7B">
              <w:rPr>
                <w:rFonts w:hAnsi="宋体"/>
                <w:szCs w:val="21"/>
              </w:rPr>
              <w:t>微核率</w:t>
            </w:r>
          </w:p>
          <w:p w:rsidR="001435B7" w:rsidRPr="00714C7B" w:rsidRDefault="001435B7" w:rsidP="00752DA2">
            <w:pPr>
              <w:spacing w:line="360" w:lineRule="auto"/>
              <w:ind w:left="2" w:hangingChars="1" w:hanging="2"/>
              <w:jc w:val="center"/>
              <w:rPr>
                <w:szCs w:val="21"/>
              </w:rPr>
            </w:pPr>
            <w:r w:rsidRPr="00714C7B">
              <w:rPr>
                <w:rFonts w:hAnsi="宋体"/>
                <w:szCs w:val="21"/>
              </w:rPr>
              <w:t>（</w:t>
            </w:r>
            <w:r w:rsidRPr="00714C7B">
              <w:rPr>
                <w:szCs w:val="21"/>
              </w:rPr>
              <w:t>‰</w:t>
            </w:r>
            <w:r w:rsidRPr="00714C7B">
              <w:rPr>
                <w:rFonts w:hAnsi="宋体"/>
                <w:szCs w:val="21"/>
              </w:rPr>
              <w:t>）</w:t>
            </w:r>
          </w:p>
        </w:tc>
        <w:tc>
          <w:tcPr>
            <w:tcW w:w="0" w:type="auto"/>
            <w:vAlign w:val="center"/>
          </w:tcPr>
          <w:p w:rsidR="001435B7" w:rsidRPr="00714C7B" w:rsidRDefault="001435B7" w:rsidP="00752DA2">
            <w:pPr>
              <w:spacing w:line="360" w:lineRule="auto"/>
              <w:ind w:left="2" w:hangingChars="1" w:hanging="2"/>
              <w:jc w:val="center"/>
              <w:rPr>
                <w:rFonts w:hAnsi="宋体" w:hint="eastAsia"/>
                <w:szCs w:val="21"/>
              </w:rPr>
            </w:pPr>
            <w:r w:rsidRPr="00714C7B">
              <w:rPr>
                <w:rFonts w:hAnsi="宋体"/>
                <w:szCs w:val="21"/>
              </w:rPr>
              <w:t>差异显</w:t>
            </w:r>
          </w:p>
          <w:p w:rsidR="001435B7" w:rsidRPr="00714C7B" w:rsidRDefault="001435B7" w:rsidP="00752DA2">
            <w:pPr>
              <w:spacing w:line="360" w:lineRule="auto"/>
              <w:ind w:left="2" w:hangingChars="1" w:hanging="2"/>
              <w:jc w:val="center"/>
              <w:rPr>
                <w:szCs w:val="21"/>
              </w:rPr>
            </w:pPr>
            <w:r w:rsidRPr="00714C7B">
              <w:rPr>
                <w:rFonts w:hAnsi="宋体"/>
                <w:szCs w:val="21"/>
              </w:rPr>
              <w:t>著性</w:t>
            </w:r>
          </w:p>
        </w:tc>
      </w:tr>
      <w:tr w:rsidR="001435B7" w:rsidRPr="00714C7B" w:rsidTr="00752DA2">
        <w:tblPrEx>
          <w:tblCellMar>
            <w:top w:w="0" w:type="dxa"/>
            <w:bottom w:w="0" w:type="dxa"/>
          </w:tblCellMar>
        </w:tblPrEx>
        <w:trPr>
          <w:jc w:val="center"/>
        </w:trPr>
        <w:tc>
          <w:tcPr>
            <w:tcW w:w="1317" w:type="dxa"/>
            <w:vAlign w:val="center"/>
          </w:tcPr>
          <w:p w:rsidR="001435B7" w:rsidRPr="00714C7B" w:rsidRDefault="001435B7" w:rsidP="00752DA2">
            <w:pPr>
              <w:spacing w:line="360" w:lineRule="auto"/>
              <w:jc w:val="center"/>
              <w:rPr>
                <w:szCs w:val="21"/>
              </w:rPr>
            </w:pPr>
          </w:p>
        </w:tc>
        <w:tc>
          <w:tcPr>
            <w:tcW w:w="2386" w:type="dxa"/>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r>
      <w:tr w:rsidR="001435B7" w:rsidRPr="00714C7B" w:rsidTr="00752DA2">
        <w:tblPrEx>
          <w:tblCellMar>
            <w:top w:w="0" w:type="dxa"/>
            <w:bottom w:w="0" w:type="dxa"/>
          </w:tblCellMar>
        </w:tblPrEx>
        <w:trPr>
          <w:jc w:val="center"/>
        </w:trPr>
        <w:tc>
          <w:tcPr>
            <w:tcW w:w="1317" w:type="dxa"/>
            <w:vAlign w:val="center"/>
          </w:tcPr>
          <w:p w:rsidR="001435B7" w:rsidRPr="00714C7B" w:rsidRDefault="001435B7" w:rsidP="00752DA2">
            <w:pPr>
              <w:spacing w:line="360" w:lineRule="auto"/>
              <w:jc w:val="center"/>
              <w:rPr>
                <w:rFonts w:hint="eastAsia"/>
                <w:szCs w:val="21"/>
              </w:rPr>
            </w:pPr>
            <w:r w:rsidRPr="00714C7B">
              <w:rPr>
                <w:szCs w:val="21"/>
              </w:rPr>
              <w:t>…</w:t>
            </w:r>
            <w:r w:rsidRPr="00714C7B">
              <w:rPr>
                <w:rFonts w:hint="eastAsia"/>
                <w:szCs w:val="21"/>
              </w:rPr>
              <w:t>...</w:t>
            </w:r>
          </w:p>
        </w:tc>
        <w:tc>
          <w:tcPr>
            <w:tcW w:w="2386" w:type="dxa"/>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r>
      <w:tr w:rsidR="001435B7" w:rsidRPr="00714C7B" w:rsidTr="00752DA2">
        <w:tblPrEx>
          <w:tblCellMar>
            <w:top w:w="0" w:type="dxa"/>
            <w:bottom w:w="0" w:type="dxa"/>
          </w:tblCellMar>
        </w:tblPrEx>
        <w:trPr>
          <w:jc w:val="center"/>
        </w:trPr>
        <w:tc>
          <w:tcPr>
            <w:tcW w:w="1317" w:type="dxa"/>
            <w:vAlign w:val="center"/>
          </w:tcPr>
          <w:p w:rsidR="001435B7" w:rsidRPr="00714C7B" w:rsidRDefault="001435B7" w:rsidP="00752DA2">
            <w:pPr>
              <w:spacing w:line="360" w:lineRule="auto"/>
              <w:jc w:val="center"/>
              <w:rPr>
                <w:szCs w:val="21"/>
              </w:rPr>
            </w:pPr>
            <w:r w:rsidRPr="00714C7B">
              <w:rPr>
                <w:rFonts w:hAnsi="宋体"/>
                <w:szCs w:val="21"/>
              </w:rPr>
              <w:t>阴性（溶剂）对照</w:t>
            </w:r>
          </w:p>
        </w:tc>
        <w:tc>
          <w:tcPr>
            <w:tcW w:w="2386" w:type="dxa"/>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r>
      <w:tr w:rsidR="001435B7" w:rsidRPr="00714C7B" w:rsidTr="00752DA2">
        <w:tblPrEx>
          <w:tblCellMar>
            <w:top w:w="0" w:type="dxa"/>
            <w:bottom w:w="0" w:type="dxa"/>
          </w:tblCellMar>
        </w:tblPrEx>
        <w:trPr>
          <w:jc w:val="center"/>
        </w:trPr>
        <w:tc>
          <w:tcPr>
            <w:tcW w:w="1317" w:type="dxa"/>
            <w:vAlign w:val="center"/>
          </w:tcPr>
          <w:p w:rsidR="001435B7" w:rsidRPr="00714C7B" w:rsidRDefault="001435B7" w:rsidP="00752DA2">
            <w:pPr>
              <w:spacing w:line="360" w:lineRule="auto"/>
              <w:jc w:val="center"/>
              <w:rPr>
                <w:szCs w:val="21"/>
              </w:rPr>
            </w:pPr>
            <w:r w:rsidRPr="00714C7B">
              <w:rPr>
                <w:rFonts w:hAnsi="宋体"/>
                <w:szCs w:val="21"/>
              </w:rPr>
              <w:t>阳性对照</w:t>
            </w:r>
          </w:p>
        </w:tc>
        <w:tc>
          <w:tcPr>
            <w:tcW w:w="2386" w:type="dxa"/>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c>
          <w:tcPr>
            <w:tcW w:w="0" w:type="auto"/>
            <w:vAlign w:val="center"/>
          </w:tcPr>
          <w:p w:rsidR="001435B7" w:rsidRPr="00714C7B" w:rsidRDefault="001435B7" w:rsidP="00752DA2">
            <w:pPr>
              <w:spacing w:line="360" w:lineRule="auto"/>
              <w:jc w:val="center"/>
              <w:rPr>
                <w:szCs w:val="21"/>
              </w:rPr>
            </w:pPr>
          </w:p>
        </w:tc>
      </w:tr>
    </w:tbl>
    <w:p w:rsidR="001435B7" w:rsidRPr="00714C7B" w:rsidRDefault="001435B7" w:rsidP="001435B7">
      <w:pPr>
        <w:pStyle w:val="a9"/>
        <w:numPr>
          <w:ilvl w:val="0"/>
          <w:numId w:val="0"/>
        </w:numPr>
        <w:spacing w:line="360" w:lineRule="auto"/>
        <w:outlineLvl w:val="9"/>
        <w:rPr>
          <w:rFonts w:eastAsia="宋体"/>
          <w:szCs w:val="21"/>
        </w:rPr>
      </w:pPr>
    </w:p>
    <w:p w:rsidR="001435B7" w:rsidRPr="00714C7B" w:rsidRDefault="001435B7" w:rsidP="001435B7">
      <w:pPr>
        <w:pStyle w:val="a9"/>
        <w:numPr>
          <w:ilvl w:val="0"/>
          <w:numId w:val="0"/>
        </w:numPr>
        <w:spacing w:line="360" w:lineRule="auto"/>
        <w:ind w:firstLineChars="200" w:firstLine="420"/>
        <w:outlineLvl w:val="9"/>
        <w:rPr>
          <w:rFonts w:eastAsia="宋体"/>
          <w:szCs w:val="21"/>
        </w:rPr>
      </w:pPr>
      <w:r w:rsidRPr="00714C7B">
        <w:rPr>
          <w:rFonts w:eastAsia="宋体"/>
          <w:szCs w:val="21"/>
        </w:rPr>
        <w:t>3.</w:t>
      </w:r>
      <w:r w:rsidRPr="00714C7B">
        <w:rPr>
          <w:rFonts w:eastAsia="宋体" w:hAnsi="宋体"/>
          <w:szCs w:val="21"/>
        </w:rPr>
        <w:t>利用卡方检验分析致突变阳性对照组以及</w:t>
      </w:r>
      <w:r w:rsidRPr="00714C7B">
        <w:rPr>
          <w:rFonts w:eastAsia="宋体"/>
          <w:szCs w:val="21"/>
        </w:rPr>
        <w:t>3</w:t>
      </w:r>
      <w:r w:rsidRPr="00714C7B">
        <w:rPr>
          <w:rFonts w:eastAsia="宋体" w:hAnsi="宋体"/>
          <w:szCs w:val="21"/>
        </w:rPr>
        <w:t>个试验组小鼠</w:t>
      </w:r>
      <w:r w:rsidRPr="00714C7B">
        <w:rPr>
          <w:rFonts w:eastAsia="宋体"/>
          <w:szCs w:val="21"/>
        </w:rPr>
        <w:t>PCE</w:t>
      </w:r>
      <w:r w:rsidRPr="00714C7B">
        <w:rPr>
          <w:rFonts w:eastAsia="宋体" w:hAnsi="宋体"/>
          <w:szCs w:val="21"/>
        </w:rPr>
        <w:t>微核率与阴性（溶剂）对照组结果的差异显著性。</w:t>
      </w:r>
    </w:p>
    <w:p w:rsidR="001435B7" w:rsidRPr="004563B6" w:rsidRDefault="001435B7" w:rsidP="001435B7">
      <w:pPr>
        <w:pStyle w:val="a7"/>
        <w:numPr>
          <w:ilvl w:val="0"/>
          <w:numId w:val="0"/>
        </w:numPr>
        <w:spacing w:beforeLines="0" w:before="0" w:afterLines="0" w:after="0" w:line="360" w:lineRule="auto"/>
        <w:outlineLvl w:val="9"/>
        <w:rPr>
          <w:rFonts w:ascii="Times New Roman"/>
          <w:sz w:val="28"/>
          <w:szCs w:val="28"/>
        </w:rPr>
      </w:pPr>
      <w:r w:rsidRPr="004563B6">
        <w:rPr>
          <w:rFonts w:ascii="Times New Roman"/>
          <w:sz w:val="28"/>
          <w:szCs w:val="28"/>
        </w:rPr>
        <w:t>（四）结果评价</w:t>
      </w:r>
    </w:p>
    <w:p w:rsidR="001435B7" w:rsidRPr="00714C7B" w:rsidRDefault="001435B7" w:rsidP="001435B7">
      <w:pPr>
        <w:pStyle w:val="a9"/>
        <w:numPr>
          <w:ilvl w:val="0"/>
          <w:numId w:val="0"/>
        </w:numPr>
        <w:spacing w:line="360" w:lineRule="auto"/>
        <w:ind w:firstLineChars="200" w:firstLine="420"/>
        <w:outlineLvl w:val="9"/>
        <w:rPr>
          <w:rFonts w:eastAsia="宋体"/>
          <w:szCs w:val="21"/>
        </w:rPr>
      </w:pPr>
      <w:r w:rsidRPr="00714C7B">
        <w:rPr>
          <w:rFonts w:eastAsia="宋体"/>
          <w:szCs w:val="21"/>
        </w:rPr>
        <w:t>1.</w:t>
      </w:r>
      <w:r w:rsidRPr="00714C7B">
        <w:rPr>
          <w:rFonts w:eastAsia="宋体" w:hAnsi="宋体"/>
          <w:szCs w:val="21"/>
        </w:rPr>
        <w:t>小鼠的正常</w:t>
      </w:r>
      <w:r w:rsidRPr="00714C7B">
        <w:rPr>
          <w:rFonts w:eastAsia="宋体"/>
          <w:szCs w:val="21"/>
        </w:rPr>
        <w:t>PCE/RBC</w:t>
      </w:r>
      <w:r w:rsidRPr="00714C7B">
        <w:rPr>
          <w:rFonts w:eastAsia="宋体" w:hAnsi="宋体"/>
          <w:szCs w:val="21"/>
        </w:rPr>
        <w:t>值约等于</w:t>
      </w:r>
      <w:r w:rsidRPr="00714C7B">
        <w:rPr>
          <w:rFonts w:eastAsia="宋体"/>
          <w:szCs w:val="21"/>
        </w:rPr>
        <w:t>1</w:t>
      </w:r>
      <w:r w:rsidRPr="00714C7B">
        <w:rPr>
          <w:rFonts w:eastAsia="宋体" w:hAnsi="宋体"/>
          <w:szCs w:val="21"/>
        </w:rPr>
        <w:t>，正常范围为</w:t>
      </w:r>
      <w:r w:rsidRPr="00714C7B">
        <w:rPr>
          <w:rFonts w:eastAsia="宋体"/>
          <w:szCs w:val="21"/>
        </w:rPr>
        <w:t>0.6</w:t>
      </w:r>
      <w:r w:rsidRPr="00714C7B">
        <w:rPr>
          <w:rFonts w:eastAsia="宋体" w:hAnsi="宋体"/>
          <w:szCs w:val="21"/>
        </w:rPr>
        <w:t>～</w:t>
      </w:r>
      <w:r w:rsidRPr="00714C7B">
        <w:rPr>
          <w:rFonts w:eastAsia="宋体"/>
          <w:szCs w:val="21"/>
        </w:rPr>
        <w:t>1.2</w:t>
      </w:r>
      <w:r w:rsidRPr="00714C7B">
        <w:rPr>
          <w:rFonts w:eastAsia="宋体" w:hAnsi="宋体"/>
          <w:szCs w:val="21"/>
        </w:rPr>
        <w:t>。如果比值小于</w:t>
      </w:r>
      <w:r w:rsidRPr="00714C7B">
        <w:rPr>
          <w:rFonts w:eastAsia="宋体"/>
          <w:szCs w:val="21"/>
        </w:rPr>
        <w:t>0.1</w:t>
      </w:r>
      <w:r w:rsidRPr="00714C7B">
        <w:rPr>
          <w:rFonts w:eastAsia="宋体" w:hAnsi="宋体"/>
          <w:szCs w:val="21"/>
        </w:rPr>
        <w:t>，则表示</w:t>
      </w:r>
      <w:r w:rsidRPr="00714C7B">
        <w:rPr>
          <w:rFonts w:eastAsia="宋体"/>
          <w:szCs w:val="21"/>
        </w:rPr>
        <w:t>PCE</w:t>
      </w:r>
      <w:r w:rsidRPr="00714C7B">
        <w:rPr>
          <w:rFonts w:eastAsia="宋体" w:hAnsi="宋体"/>
          <w:szCs w:val="21"/>
        </w:rPr>
        <w:t>形成受到严重抑制；如比值小于</w:t>
      </w:r>
      <w:r w:rsidRPr="00714C7B">
        <w:rPr>
          <w:rFonts w:eastAsia="宋体"/>
          <w:szCs w:val="21"/>
        </w:rPr>
        <w:t>0.05</w:t>
      </w:r>
      <w:r w:rsidRPr="00714C7B">
        <w:rPr>
          <w:rFonts w:eastAsia="宋体" w:hAnsi="宋体"/>
          <w:szCs w:val="21"/>
        </w:rPr>
        <w:t>，则表示受试药物的剂量过大，试验结果不可靠，须重新设计剂量进行试验。</w:t>
      </w:r>
    </w:p>
    <w:p w:rsidR="001435B7" w:rsidRPr="00714C7B" w:rsidRDefault="001435B7" w:rsidP="001435B7">
      <w:pPr>
        <w:pStyle w:val="a9"/>
        <w:numPr>
          <w:ilvl w:val="0"/>
          <w:numId w:val="0"/>
        </w:numPr>
        <w:spacing w:line="360" w:lineRule="auto"/>
        <w:ind w:firstLineChars="200" w:firstLine="420"/>
        <w:outlineLvl w:val="9"/>
        <w:rPr>
          <w:rFonts w:eastAsia="宋体"/>
          <w:szCs w:val="21"/>
        </w:rPr>
      </w:pPr>
      <w:r w:rsidRPr="00714C7B">
        <w:rPr>
          <w:rFonts w:eastAsia="宋体"/>
          <w:szCs w:val="21"/>
        </w:rPr>
        <w:t>2.</w:t>
      </w:r>
      <w:r w:rsidRPr="00714C7B">
        <w:rPr>
          <w:rFonts w:eastAsia="宋体" w:hAnsi="宋体"/>
          <w:szCs w:val="21"/>
        </w:rPr>
        <w:t>阴性对照组和阳性对照组小鼠嗜多染红细胞的微核率应与试验所用阳性对照物、动物种属品系的文献报道或者与本实验室研究的历史数据相一致。一般阴性对照组的微核率小于</w:t>
      </w:r>
      <w:r w:rsidRPr="00714C7B">
        <w:rPr>
          <w:rFonts w:eastAsia="宋体"/>
          <w:szCs w:val="21"/>
        </w:rPr>
        <w:t>5‰</w:t>
      </w:r>
      <w:r w:rsidRPr="00714C7B">
        <w:rPr>
          <w:rFonts w:eastAsia="宋体" w:hAnsi="宋体"/>
          <w:szCs w:val="21"/>
        </w:rPr>
        <w:t>。</w:t>
      </w:r>
    </w:p>
    <w:p w:rsidR="001435B7" w:rsidRPr="00714C7B" w:rsidRDefault="001435B7" w:rsidP="001435B7">
      <w:pPr>
        <w:pStyle w:val="a9"/>
        <w:numPr>
          <w:ilvl w:val="0"/>
          <w:numId w:val="0"/>
        </w:numPr>
        <w:spacing w:line="360" w:lineRule="auto"/>
        <w:ind w:firstLineChars="200" w:firstLine="420"/>
        <w:outlineLvl w:val="9"/>
        <w:rPr>
          <w:rFonts w:eastAsia="宋体"/>
          <w:szCs w:val="21"/>
        </w:rPr>
      </w:pPr>
      <w:r w:rsidRPr="00714C7B">
        <w:rPr>
          <w:rFonts w:eastAsia="宋体"/>
          <w:szCs w:val="21"/>
        </w:rPr>
        <w:t>3.</w:t>
      </w:r>
      <w:r w:rsidRPr="00714C7B">
        <w:rPr>
          <w:rFonts w:eastAsia="宋体" w:hAnsi="宋体"/>
          <w:szCs w:val="21"/>
        </w:rPr>
        <w:t>试验组与对照组相比，如试验组小鼠嗜多染红细胞的微核率与阴性（溶剂）对照组结果比较有显著性差别，并且呈现剂量</w:t>
      </w:r>
      <w:r w:rsidRPr="00714C7B">
        <w:rPr>
          <w:rFonts w:eastAsia="宋体"/>
          <w:szCs w:val="21"/>
        </w:rPr>
        <w:t>-</w:t>
      </w:r>
      <w:r w:rsidRPr="00714C7B">
        <w:rPr>
          <w:rFonts w:eastAsia="宋体" w:hAnsi="宋体"/>
          <w:szCs w:val="21"/>
        </w:rPr>
        <w:t>反应关系，即可判定受试药物微核试验结果阳性，即受试药物有致突变；</w:t>
      </w:r>
      <w:r w:rsidRPr="00714C7B">
        <w:rPr>
          <w:rFonts w:eastAsia="宋体"/>
          <w:szCs w:val="21"/>
        </w:rPr>
        <w:t xml:space="preserve"> </w:t>
      </w:r>
      <w:r w:rsidRPr="00714C7B">
        <w:rPr>
          <w:rFonts w:eastAsia="宋体" w:hAnsi="宋体"/>
          <w:szCs w:val="21"/>
        </w:rPr>
        <w:t>若统计学上虽有显著性差别，但无剂量反应关系，则须进行重复试验。如试验结果能重复，则也判断为阳性。</w:t>
      </w:r>
    </w:p>
    <w:p w:rsidR="001435B7" w:rsidRPr="004563B6" w:rsidRDefault="001435B7" w:rsidP="001435B7">
      <w:pPr>
        <w:pStyle w:val="a7"/>
        <w:numPr>
          <w:ilvl w:val="0"/>
          <w:numId w:val="0"/>
        </w:numPr>
        <w:spacing w:beforeLines="0" w:before="0" w:afterLines="0" w:after="0" w:line="360" w:lineRule="auto"/>
        <w:outlineLvl w:val="9"/>
        <w:rPr>
          <w:rFonts w:ascii="Times New Roman"/>
          <w:sz w:val="28"/>
          <w:szCs w:val="28"/>
        </w:rPr>
      </w:pPr>
      <w:r w:rsidRPr="004563B6">
        <w:rPr>
          <w:rFonts w:ascii="Times New Roman"/>
          <w:sz w:val="28"/>
          <w:szCs w:val="28"/>
        </w:rPr>
        <w:t>（五）注意事项</w:t>
      </w:r>
    </w:p>
    <w:p w:rsidR="001435B7" w:rsidRPr="00714C7B" w:rsidRDefault="001435B7" w:rsidP="001435B7">
      <w:pPr>
        <w:pStyle w:val="a9"/>
        <w:numPr>
          <w:ilvl w:val="0"/>
          <w:numId w:val="0"/>
        </w:numPr>
        <w:spacing w:line="360" w:lineRule="auto"/>
        <w:ind w:firstLineChars="200" w:firstLine="420"/>
        <w:outlineLvl w:val="9"/>
        <w:rPr>
          <w:rFonts w:eastAsia="宋体"/>
          <w:szCs w:val="21"/>
        </w:rPr>
      </w:pPr>
      <w:r w:rsidRPr="00714C7B">
        <w:rPr>
          <w:rFonts w:eastAsia="宋体"/>
          <w:szCs w:val="21"/>
        </w:rPr>
        <w:t>1.</w:t>
      </w:r>
      <w:r w:rsidRPr="00714C7B">
        <w:rPr>
          <w:rFonts w:eastAsia="宋体" w:hAnsi="宋体"/>
          <w:szCs w:val="21"/>
        </w:rPr>
        <w:t>除特别注明外，试验用水为蒸馏水，试剂为分析纯试剂，动物为</w:t>
      </w:r>
      <w:r w:rsidRPr="00714C7B">
        <w:rPr>
          <w:rFonts w:eastAsia="宋体"/>
          <w:szCs w:val="21"/>
        </w:rPr>
        <w:t>SPF</w:t>
      </w:r>
      <w:r w:rsidRPr="00714C7B">
        <w:rPr>
          <w:rFonts w:eastAsia="宋体" w:hAnsi="宋体"/>
          <w:szCs w:val="21"/>
        </w:rPr>
        <w:t>实验动物。</w:t>
      </w:r>
    </w:p>
    <w:p w:rsidR="001435B7" w:rsidRPr="00714C7B" w:rsidRDefault="001435B7" w:rsidP="001435B7">
      <w:pPr>
        <w:pStyle w:val="a9"/>
        <w:numPr>
          <w:ilvl w:val="0"/>
          <w:numId w:val="0"/>
        </w:numPr>
        <w:spacing w:line="360" w:lineRule="auto"/>
        <w:ind w:firstLineChars="200" w:firstLine="420"/>
        <w:outlineLvl w:val="9"/>
        <w:rPr>
          <w:rFonts w:eastAsia="宋体"/>
          <w:szCs w:val="21"/>
        </w:rPr>
      </w:pPr>
      <w:r w:rsidRPr="00714C7B">
        <w:rPr>
          <w:rFonts w:eastAsia="宋体"/>
          <w:szCs w:val="21"/>
        </w:rPr>
        <w:t>2.</w:t>
      </w:r>
      <w:r w:rsidRPr="00714C7B">
        <w:rPr>
          <w:rFonts w:eastAsia="宋体" w:hAnsi="宋体"/>
          <w:szCs w:val="21"/>
        </w:rPr>
        <w:t>实验动物饲养环境要求达到</w:t>
      </w:r>
      <w:r w:rsidRPr="00714C7B">
        <w:rPr>
          <w:rFonts w:eastAsia="宋体"/>
          <w:szCs w:val="21"/>
        </w:rPr>
        <w:t>SPF</w:t>
      </w:r>
      <w:r w:rsidRPr="00714C7B">
        <w:rPr>
          <w:rFonts w:eastAsia="宋体" w:hAnsi="宋体"/>
          <w:szCs w:val="21"/>
        </w:rPr>
        <w:t>级。</w:t>
      </w:r>
    </w:p>
    <w:p w:rsidR="001435B7" w:rsidRPr="00182270" w:rsidRDefault="001435B7" w:rsidP="001435B7">
      <w:pPr>
        <w:spacing w:line="360" w:lineRule="auto"/>
        <w:jc w:val="center"/>
        <w:outlineLvl w:val="2"/>
        <w:rPr>
          <w:rFonts w:eastAsia="黑体"/>
          <w:bCs/>
          <w:sz w:val="30"/>
          <w:szCs w:val="30"/>
        </w:rPr>
      </w:pPr>
      <w:r w:rsidRPr="00182270">
        <w:rPr>
          <w:rFonts w:eastAsia="黑体"/>
          <w:bCs/>
          <w:sz w:val="30"/>
          <w:szCs w:val="30"/>
        </w:rPr>
        <w:t>三、试验报告</w:t>
      </w:r>
    </w:p>
    <w:p w:rsidR="001435B7" w:rsidRPr="00714C7B" w:rsidRDefault="001435B7" w:rsidP="001435B7">
      <w:pPr>
        <w:pStyle w:val="af0"/>
        <w:spacing w:line="360" w:lineRule="auto"/>
        <w:ind w:firstLineChars="200" w:firstLine="420"/>
        <w:rPr>
          <w:rFonts w:ascii="Times New Roman" w:hAnsi="Times New Roman"/>
        </w:rPr>
      </w:pPr>
      <w:r w:rsidRPr="00714C7B">
        <w:rPr>
          <w:rFonts w:ascii="Times New Roman" w:hAnsi="Times New Roman"/>
        </w:rPr>
        <w:t>为公正、科学地评价药物的</w:t>
      </w:r>
      <w:r w:rsidRPr="00714C7B">
        <w:rPr>
          <w:rFonts w:ascii="Times New Roman" w:hAnsi="Times New Roman" w:hint="eastAsia"/>
        </w:rPr>
        <w:t>特殊</w:t>
      </w:r>
      <w:r w:rsidRPr="00714C7B">
        <w:rPr>
          <w:rFonts w:ascii="Times New Roman" w:hAnsi="Times New Roman"/>
        </w:rPr>
        <w:t>毒性，对试验报告内容做如下要求：</w:t>
      </w:r>
    </w:p>
    <w:p w:rsidR="001435B7" w:rsidRPr="00714C7B" w:rsidRDefault="001435B7" w:rsidP="001435B7">
      <w:pPr>
        <w:pStyle w:val="af0"/>
        <w:spacing w:line="360" w:lineRule="auto"/>
        <w:ind w:firstLineChars="200" w:firstLine="420"/>
        <w:rPr>
          <w:rFonts w:ascii="Times New Roman" w:hAnsi="Times New Roman"/>
        </w:rPr>
      </w:pPr>
      <w:r w:rsidRPr="00714C7B">
        <w:rPr>
          <w:rFonts w:ascii="Times New Roman" w:hAnsi="Times New Roman"/>
        </w:rPr>
        <w:t>1.</w:t>
      </w:r>
      <w:r w:rsidRPr="00714C7B">
        <w:rPr>
          <w:rFonts w:ascii="Times New Roman" w:hAnsi="Times New Roman"/>
        </w:rPr>
        <w:t>试验目的。</w:t>
      </w:r>
    </w:p>
    <w:p w:rsidR="001435B7" w:rsidRPr="00714C7B" w:rsidRDefault="001435B7" w:rsidP="001435B7">
      <w:pPr>
        <w:pStyle w:val="af0"/>
        <w:spacing w:line="360" w:lineRule="auto"/>
        <w:ind w:firstLineChars="200" w:firstLine="420"/>
        <w:rPr>
          <w:rFonts w:ascii="Times New Roman" w:hAnsi="Times New Roman"/>
        </w:rPr>
      </w:pPr>
      <w:r w:rsidRPr="00714C7B">
        <w:rPr>
          <w:rFonts w:ascii="Times New Roman" w:hAnsi="Times New Roman"/>
        </w:rPr>
        <w:t>2.</w:t>
      </w:r>
      <w:r w:rsidRPr="00714C7B">
        <w:rPr>
          <w:rFonts w:ascii="Times New Roman" w:hAnsi="Times New Roman"/>
        </w:rPr>
        <w:t>试验时间与地点。</w:t>
      </w:r>
    </w:p>
    <w:p w:rsidR="001435B7" w:rsidRPr="00714C7B" w:rsidRDefault="001435B7" w:rsidP="001435B7">
      <w:pPr>
        <w:pStyle w:val="af0"/>
        <w:spacing w:line="360" w:lineRule="auto"/>
        <w:ind w:firstLineChars="200" w:firstLine="420"/>
        <w:rPr>
          <w:rFonts w:ascii="Times New Roman" w:hAnsi="Times New Roman"/>
        </w:rPr>
      </w:pPr>
      <w:r w:rsidRPr="00714C7B">
        <w:rPr>
          <w:rFonts w:ascii="Times New Roman" w:hAnsi="Times New Roman"/>
        </w:rPr>
        <w:t>3.</w:t>
      </w:r>
      <w:r w:rsidRPr="00714C7B">
        <w:rPr>
          <w:rFonts w:ascii="Times New Roman" w:hAnsi="Times New Roman"/>
        </w:rPr>
        <w:t>试验设计者、负责人、参加者及电子邮箱。</w:t>
      </w:r>
    </w:p>
    <w:p w:rsidR="001435B7" w:rsidRPr="00714C7B" w:rsidRDefault="001435B7" w:rsidP="001435B7">
      <w:pPr>
        <w:pStyle w:val="af0"/>
        <w:spacing w:line="360" w:lineRule="auto"/>
        <w:ind w:firstLineChars="200" w:firstLine="420"/>
        <w:rPr>
          <w:rFonts w:ascii="Times New Roman" w:hAnsi="Times New Roman"/>
        </w:rPr>
      </w:pPr>
      <w:r w:rsidRPr="00714C7B">
        <w:rPr>
          <w:rFonts w:ascii="Times New Roman" w:hAnsi="Times New Roman"/>
        </w:rPr>
        <w:t>4.</w:t>
      </w:r>
      <w:r w:rsidRPr="00714C7B">
        <w:rPr>
          <w:rFonts w:ascii="Times New Roman" w:hAnsi="Times New Roman"/>
        </w:rPr>
        <w:t>受试药物需注明兽药名称、生产厂家、规格、生产批号及用法与用量。</w:t>
      </w:r>
    </w:p>
    <w:p w:rsidR="001435B7" w:rsidRPr="00714C7B" w:rsidRDefault="001435B7" w:rsidP="001435B7">
      <w:pPr>
        <w:pStyle w:val="af0"/>
        <w:spacing w:line="360" w:lineRule="auto"/>
        <w:ind w:firstLineChars="200" w:firstLine="420"/>
        <w:rPr>
          <w:rFonts w:ascii="Times New Roman" w:hAnsi="Times New Roman" w:hint="eastAsia"/>
        </w:rPr>
      </w:pPr>
      <w:r w:rsidRPr="00714C7B">
        <w:rPr>
          <w:rFonts w:ascii="Times New Roman" w:hAnsi="Times New Roman"/>
        </w:rPr>
        <w:t>5.</w:t>
      </w:r>
      <w:r w:rsidRPr="00714C7B">
        <w:rPr>
          <w:rFonts w:ascii="Times New Roman" w:hAnsi="Times New Roman"/>
        </w:rPr>
        <w:t>试验动物的品种与品系、体重、日龄或月龄、健康状况、检疫情况等</w:t>
      </w:r>
      <w:r w:rsidRPr="00714C7B">
        <w:rPr>
          <w:rFonts w:ascii="Times New Roman" w:hAnsi="Times New Roman" w:hint="eastAsia"/>
        </w:rPr>
        <w:t>。</w:t>
      </w:r>
    </w:p>
    <w:p w:rsidR="001435B7" w:rsidRPr="00714C7B" w:rsidRDefault="001435B7" w:rsidP="001435B7">
      <w:pPr>
        <w:pStyle w:val="af0"/>
        <w:spacing w:line="360" w:lineRule="auto"/>
        <w:ind w:firstLineChars="200" w:firstLine="420"/>
        <w:rPr>
          <w:rFonts w:ascii="Times New Roman" w:hAnsi="Times New Roman" w:hint="eastAsia"/>
        </w:rPr>
      </w:pPr>
      <w:r w:rsidRPr="00714C7B">
        <w:rPr>
          <w:rFonts w:ascii="Times New Roman" w:hAnsi="Times New Roman"/>
        </w:rPr>
        <w:t>6.</w:t>
      </w:r>
      <w:r w:rsidRPr="00714C7B">
        <w:rPr>
          <w:rFonts w:ascii="Times New Roman" w:hAnsi="Times New Roman"/>
        </w:rPr>
        <w:t>归纳总结该药物的试验结果，评价受试药物</w:t>
      </w:r>
      <w:r w:rsidRPr="00714C7B">
        <w:rPr>
          <w:rFonts w:ascii="Times New Roman" w:hAnsi="Times New Roman" w:hint="eastAsia"/>
        </w:rPr>
        <w:t>的</w:t>
      </w:r>
      <w:r w:rsidRPr="00714C7B">
        <w:rPr>
          <w:rFonts w:ascii="Times New Roman" w:hAnsi="Times New Roman"/>
        </w:rPr>
        <w:t>致突变作用</w:t>
      </w:r>
      <w:r w:rsidRPr="00714C7B">
        <w:rPr>
          <w:rFonts w:ascii="Times New Roman" w:hAnsi="Times New Roman" w:hint="eastAsia"/>
        </w:rPr>
        <w:t>。</w:t>
      </w:r>
    </w:p>
    <w:p w:rsidR="001435B7" w:rsidRPr="00714C7B" w:rsidRDefault="001435B7" w:rsidP="001435B7">
      <w:pPr>
        <w:pStyle w:val="af0"/>
        <w:spacing w:line="360" w:lineRule="auto"/>
        <w:ind w:firstLineChars="200" w:firstLine="420"/>
        <w:rPr>
          <w:rFonts w:ascii="Times New Roman" w:hAnsi="Times New Roman" w:hint="eastAsia"/>
        </w:rPr>
      </w:pPr>
      <w:r w:rsidRPr="00714C7B">
        <w:rPr>
          <w:rFonts w:ascii="Times New Roman" w:hAnsi="Times New Roman"/>
        </w:rPr>
        <w:t>7.</w:t>
      </w:r>
      <w:r w:rsidRPr="00714C7B">
        <w:rPr>
          <w:rFonts w:ascii="Times New Roman" w:hAnsi="Times New Roman"/>
        </w:rPr>
        <w:t>参考文献</w:t>
      </w:r>
      <w:r w:rsidRPr="00714C7B">
        <w:rPr>
          <w:rFonts w:ascii="Times New Roman" w:hAnsi="Times New Roman" w:hint="eastAsia"/>
        </w:rPr>
        <w:t>。</w:t>
      </w:r>
    </w:p>
    <w:p w:rsidR="001435B7" w:rsidRPr="00714C7B" w:rsidRDefault="001435B7" w:rsidP="001435B7">
      <w:pPr>
        <w:pStyle w:val="af0"/>
        <w:spacing w:line="360" w:lineRule="auto"/>
        <w:ind w:firstLineChars="200" w:firstLine="420"/>
        <w:rPr>
          <w:rFonts w:ascii="Times New Roman" w:hAnsi="Times New Roman"/>
        </w:rPr>
      </w:pPr>
      <w:r w:rsidRPr="00714C7B">
        <w:rPr>
          <w:rFonts w:ascii="Times New Roman" w:hAnsi="Times New Roman"/>
        </w:rPr>
        <w:t>8.</w:t>
      </w:r>
      <w:r w:rsidRPr="00714C7B">
        <w:rPr>
          <w:rFonts w:ascii="Times New Roman" w:hAnsi="Times New Roman"/>
        </w:rPr>
        <w:t>试验数据，应有详细的试验原始记录。原始资料保存处、联系人、电话。</w:t>
      </w:r>
    </w:p>
    <w:p w:rsidR="001435B7" w:rsidRPr="00714C7B" w:rsidRDefault="001435B7" w:rsidP="001435B7">
      <w:pPr>
        <w:pStyle w:val="af0"/>
        <w:spacing w:line="360" w:lineRule="auto"/>
        <w:ind w:firstLineChars="200" w:firstLine="420"/>
        <w:rPr>
          <w:rFonts w:ascii="Times New Roman" w:hAnsi="Times New Roman"/>
        </w:rPr>
      </w:pPr>
      <w:r w:rsidRPr="00714C7B">
        <w:rPr>
          <w:rFonts w:ascii="Times New Roman" w:hAnsi="Times New Roman"/>
        </w:rPr>
        <w:t>9.</w:t>
      </w:r>
      <w:r w:rsidRPr="00714C7B">
        <w:rPr>
          <w:rFonts w:ascii="Times New Roman" w:hAnsi="Times New Roman"/>
        </w:rPr>
        <w:t>试验单位（加盖公章）。</w:t>
      </w:r>
    </w:p>
    <w:p w:rsidR="00751717" w:rsidRPr="001435B7" w:rsidRDefault="00751717" w:rsidP="001435B7"/>
    <w:sectPr w:rsidR="00751717" w:rsidRPr="001435B7">
      <w:footerReference w:type="even" r:id="rId9"/>
      <w:footerReference w:type="defaul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1435B7"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1435B7"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1435B7"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1435B7"/>
    <w:rsid w:val="002A4617"/>
    <w:rsid w:val="00347420"/>
    <w:rsid w:val="004A3691"/>
    <w:rsid w:val="00542223"/>
    <w:rsid w:val="00733551"/>
    <w:rsid w:val="00751717"/>
    <w:rsid w:val="008E7B66"/>
    <w:rsid w:val="008F0423"/>
    <w:rsid w:val="008F2F08"/>
    <w:rsid w:val="00972BE8"/>
    <w:rsid w:val="00A916FA"/>
    <w:rsid w:val="00AB23AD"/>
    <w:rsid w:val="00B40DAE"/>
    <w:rsid w:val="00DC3765"/>
    <w:rsid w:val="00EC33AC"/>
    <w:rsid w:val="00E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2024-03-18T09:00:00Z</dcterms:created>
  <dcterms:modified xsi:type="dcterms:W3CDTF">2024-03-18T09:00:00Z</dcterms:modified>
</cp:coreProperties>
</file>