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AE" w:rsidRPr="001F33C7" w:rsidRDefault="00B40DAE" w:rsidP="00B40DAE">
      <w:pPr>
        <w:pStyle w:val="af3"/>
        <w:spacing w:before="0" w:after="0" w:line="360" w:lineRule="auto"/>
        <w:outlineLvl w:val="1"/>
        <w:rPr>
          <w:rFonts w:ascii="Times New Roman"/>
          <w:sz w:val="36"/>
          <w:szCs w:val="36"/>
        </w:rPr>
      </w:pPr>
      <w:bookmarkStart w:id="0" w:name="_Toc308442097"/>
      <w:bookmarkStart w:id="1" w:name="_GoBack"/>
      <w:r w:rsidRPr="001F33C7">
        <w:rPr>
          <w:rFonts w:ascii="Times New Roman"/>
          <w:sz w:val="36"/>
          <w:szCs w:val="36"/>
        </w:rPr>
        <w:t>兽药小鼠骨髓细胞染色体畸变试验指导原则</w:t>
      </w:r>
      <w:bookmarkEnd w:id="0"/>
    </w:p>
    <w:bookmarkEnd w:id="1"/>
    <w:p w:rsidR="00B40DAE" w:rsidRPr="001F33C7" w:rsidRDefault="00B40DAE" w:rsidP="00B40DAE">
      <w:pPr>
        <w:pStyle w:val="af2"/>
        <w:spacing w:line="360" w:lineRule="auto"/>
        <w:ind w:firstLineChars="0" w:firstLine="0"/>
        <w:jc w:val="center"/>
        <w:outlineLvl w:val="2"/>
        <w:rPr>
          <w:rFonts w:ascii="Times New Roman" w:eastAsia="黑体"/>
          <w:sz w:val="30"/>
          <w:szCs w:val="30"/>
        </w:rPr>
      </w:pPr>
      <w:r w:rsidRPr="001F33C7">
        <w:rPr>
          <w:rFonts w:ascii="Times New Roman" w:eastAsia="黑体"/>
          <w:sz w:val="30"/>
          <w:szCs w:val="30"/>
        </w:rPr>
        <w:t>一、概述</w:t>
      </w:r>
    </w:p>
    <w:p w:rsidR="00B40DAE" w:rsidRPr="001F33C7" w:rsidRDefault="00B40DAE" w:rsidP="00B40DAE">
      <w:pPr>
        <w:pStyle w:val="af2"/>
        <w:spacing w:line="360" w:lineRule="auto"/>
        <w:ind w:firstLineChars="0" w:firstLine="0"/>
        <w:outlineLvl w:val="3"/>
        <w:rPr>
          <w:rFonts w:ascii="Times New Roman" w:eastAsia="黑体"/>
          <w:sz w:val="28"/>
          <w:szCs w:val="28"/>
        </w:rPr>
      </w:pPr>
      <w:r w:rsidRPr="001F33C7">
        <w:rPr>
          <w:rFonts w:ascii="Times New Roman" w:eastAsia="黑体"/>
          <w:sz w:val="28"/>
          <w:szCs w:val="28"/>
        </w:rPr>
        <w:t>（一）定义与目的</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染色体畸变试验是利用哺乳动物的培养细胞检测受试药物对染色体畸变诱发性及其程度的特殊毒理试验评价方法。染色体是细胞核中具有特殊结构和遗传功能的小体，当化学物质作用于细胞周期</w:t>
      </w:r>
      <w:r w:rsidRPr="00000D16">
        <w:rPr>
          <w:rFonts w:ascii="Times New Roman"/>
          <w:szCs w:val="21"/>
        </w:rPr>
        <w:t>G1</w:t>
      </w:r>
      <w:r w:rsidRPr="00000D16">
        <w:rPr>
          <w:rFonts w:ascii="Times New Roman" w:hAnsi="宋体"/>
          <w:szCs w:val="21"/>
        </w:rPr>
        <w:t>期和</w:t>
      </w:r>
      <w:r w:rsidRPr="00000D16">
        <w:rPr>
          <w:rFonts w:ascii="Times New Roman"/>
          <w:szCs w:val="21"/>
        </w:rPr>
        <w:t>S</w:t>
      </w:r>
      <w:r w:rsidRPr="00000D16">
        <w:rPr>
          <w:rFonts w:ascii="Times New Roman" w:hAnsi="宋体"/>
          <w:szCs w:val="21"/>
        </w:rPr>
        <w:t>期时，诱发染色体型畸变，而作用于</w:t>
      </w:r>
      <w:r w:rsidRPr="00000D16">
        <w:rPr>
          <w:rFonts w:ascii="Times New Roman"/>
          <w:szCs w:val="21"/>
        </w:rPr>
        <w:t>G2</w:t>
      </w:r>
      <w:r w:rsidRPr="00000D16">
        <w:rPr>
          <w:rFonts w:ascii="Times New Roman" w:hAnsi="宋体"/>
          <w:szCs w:val="21"/>
        </w:rPr>
        <w:t>期时则诱发染色体单体型畸变。给试验的大、小鼠腹腔注射秋水仙素，抑制细胞分裂时纺锤体的形成，以便增加中期分裂相细胞的比例，并使染色体丝缩短、分散，轮廓清晰。在显微镜下观察染色体数目和形态。</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为了确保小鼠骨髓细胞染色体畸变试验结果的真实性、可靠性和可追溯性，根据新兽药研究的规律，结合国内兽药毒理学评价的实际情况制定了本指导原则。</w:t>
      </w:r>
    </w:p>
    <w:p w:rsidR="00B40DAE" w:rsidRPr="001F33C7" w:rsidRDefault="00B40DAE" w:rsidP="00B40DAE">
      <w:pPr>
        <w:pStyle w:val="af2"/>
        <w:spacing w:line="360" w:lineRule="auto"/>
        <w:ind w:firstLineChars="0" w:firstLine="0"/>
        <w:outlineLvl w:val="3"/>
        <w:rPr>
          <w:rFonts w:ascii="Times New Roman" w:eastAsia="黑体"/>
          <w:sz w:val="28"/>
          <w:szCs w:val="28"/>
        </w:rPr>
      </w:pPr>
      <w:r w:rsidRPr="001F33C7">
        <w:rPr>
          <w:rFonts w:ascii="Times New Roman" w:eastAsia="黑体"/>
          <w:sz w:val="28"/>
          <w:szCs w:val="28"/>
        </w:rPr>
        <w:t>（二）适用范围</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本指导原则适用于兽用化学药品、中兽药、消毒剂及饲料药物添加剂的</w:t>
      </w:r>
      <w:r w:rsidRPr="00000D16">
        <w:rPr>
          <w:rFonts w:ascii="Times New Roman" w:hAnsi="宋体" w:hint="eastAsia"/>
          <w:szCs w:val="21"/>
        </w:rPr>
        <w:t>哺乳动物体</w:t>
      </w:r>
      <w:r w:rsidRPr="00000D16">
        <w:rPr>
          <w:rFonts w:ascii="Times New Roman" w:hAnsi="宋体"/>
          <w:szCs w:val="21"/>
        </w:rPr>
        <w:t>细胞遗传毒性检测。</w:t>
      </w:r>
    </w:p>
    <w:p w:rsidR="00B40DAE" w:rsidRPr="001F33C7" w:rsidRDefault="00B40DAE" w:rsidP="00B40DAE">
      <w:pPr>
        <w:pStyle w:val="af2"/>
        <w:spacing w:line="360" w:lineRule="auto"/>
        <w:ind w:firstLineChars="0" w:firstLine="0"/>
        <w:jc w:val="center"/>
        <w:outlineLvl w:val="2"/>
        <w:rPr>
          <w:rFonts w:ascii="Times New Roman" w:eastAsia="黑体"/>
          <w:sz w:val="30"/>
          <w:szCs w:val="30"/>
        </w:rPr>
      </w:pPr>
      <w:r w:rsidRPr="001F33C7">
        <w:rPr>
          <w:rFonts w:ascii="Times New Roman" w:eastAsia="黑体"/>
          <w:sz w:val="30"/>
          <w:szCs w:val="30"/>
        </w:rPr>
        <w:t>二、试验设计</w:t>
      </w:r>
    </w:p>
    <w:p w:rsidR="00B40DAE" w:rsidRPr="001F33C7" w:rsidRDefault="00B40DAE" w:rsidP="00B40DAE">
      <w:pPr>
        <w:pStyle w:val="af2"/>
        <w:spacing w:line="360" w:lineRule="auto"/>
        <w:ind w:firstLineChars="0" w:firstLine="0"/>
        <w:outlineLvl w:val="3"/>
        <w:rPr>
          <w:rFonts w:ascii="Times New Roman" w:eastAsia="黑体"/>
          <w:sz w:val="28"/>
          <w:szCs w:val="28"/>
        </w:rPr>
      </w:pPr>
      <w:r w:rsidRPr="001F33C7">
        <w:rPr>
          <w:rFonts w:ascii="Times New Roman" w:eastAsia="黑体"/>
          <w:sz w:val="28"/>
          <w:szCs w:val="28"/>
        </w:rPr>
        <w:t>（一）材料与方法</w:t>
      </w:r>
    </w:p>
    <w:p w:rsidR="00B40DAE" w:rsidRPr="00000D16" w:rsidRDefault="00B40DAE" w:rsidP="00B40DAE">
      <w:pPr>
        <w:pStyle w:val="a9"/>
        <w:numPr>
          <w:ilvl w:val="0"/>
          <w:numId w:val="0"/>
        </w:numPr>
        <w:spacing w:line="360" w:lineRule="auto"/>
        <w:outlineLvl w:val="9"/>
        <w:rPr>
          <w:szCs w:val="21"/>
        </w:rPr>
      </w:pPr>
      <w:r w:rsidRPr="001F33C7">
        <w:rPr>
          <w:noProof/>
          <w:sz w:val="24"/>
          <w:szCs w:val="24"/>
        </w:rPr>
        <w:t xml:space="preserve">    </w:t>
      </w:r>
      <w:r w:rsidRPr="00000D16">
        <w:rPr>
          <w:b/>
          <w:noProof/>
          <w:szCs w:val="21"/>
        </w:rPr>
        <w:t>1.</w:t>
      </w:r>
      <w:r w:rsidRPr="00000D16">
        <w:rPr>
          <w:szCs w:val="21"/>
        </w:rPr>
        <w:t>实验动物</w:t>
      </w:r>
    </w:p>
    <w:p w:rsidR="00B40DAE" w:rsidRPr="00000D16" w:rsidRDefault="00B40DAE" w:rsidP="00B40DAE">
      <w:pPr>
        <w:pStyle w:val="af2"/>
        <w:spacing w:line="360" w:lineRule="auto"/>
        <w:ind w:firstLine="420"/>
        <w:rPr>
          <w:rFonts w:ascii="Times New Roman"/>
          <w:szCs w:val="21"/>
        </w:rPr>
      </w:pPr>
      <w:r w:rsidRPr="00000D16">
        <w:rPr>
          <w:rFonts w:ascii="Times New Roman"/>
          <w:szCs w:val="21"/>
        </w:rPr>
        <w:t>SPF</w:t>
      </w:r>
      <w:r w:rsidRPr="00000D16">
        <w:rPr>
          <w:rFonts w:ascii="Times New Roman" w:hAnsi="宋体"/>
          <w:szCs w:val="21"/>
        </w:rPr>
        <w:t>小鼠，健康成年，体重为</w:t>
      </w:r>
      <w:r w:rsidRPr="00000D16">
        <w:rPr>
          <w:rFonts w:ascii="Times New Roman"/>
          <w:szCs w:val="21"/>
        </w:rPr>
        <w:t>18</w:t>
      </w:r>
      <w:r w:rsidRPr="00000D16">
        <w:rP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22"/>
          <w:attr w:name="UnitName" w:val="g"/>
        </w:smartTagPr>
        <w:r w:rsidRPr="00000D16">
          <w:rPr>
            <w:rFonts w:ascii="Times New Roman"/>
            <w:szCs w:val="21"/>
          </w:rPr>
          <w:t>22g</w:t>
        </w:r>
      </w:smartTag>
      <w:r w:rsidRPr="00000D16">
        <w:rPr>
          <w:rFonts w:ascii="Times New Roman" w:hAnsi="宋体"/>
          <w:szCs w:val="21"/>
        </w:rPr>
        <w:t>，数量</w:t>
      </w:r>
      <w:r w:rsidRPr="00000D16">
        <w:rPr>
          <w:rFonts w:ascii="Times New Roman"/>
          <w:szCs w:val="21"/>
        </w:rPr>
        <w:t>100</w:t>
      </w:r>
      <w:r w:rsidRPr="00000D16">
        <w:rPr>
          <w:rFonts w:ascii="Times New Roman" w:hAnsi="宋体"/>
          <w:szCs w:val="21"/>
        </w:rPr>
        <w:t>只左右，雌雄各半。</w:t>
      </w:r>
    </w:p>
    <w:p w:rsidR="00B40DAE" w:rsidRPr="00000D16" w:rsidRDefault="00B40DAE" w:rsidP="00B40DAE">
      <w:pPr>
        <w:pStyle w:val="a9"/>
        <w:numPr>
          <w:ilvl w:val="0"/>
          <w:numId w:val="0"/>
        </w:numPr>
        <w:spacing w:line="360" w:lineRule="auto"/>
        <w:ind w:firstLineChars="200" w:firstLine="420"/>
        <w:outlineLvl w:val="9"/>
        <w:rPr>
          <w:noProof/>
          <w:szCs w:val="21"/>
        </w:rPr>
      </w:pPr>
      <w:r w:rsidRPr="00000D16">
        <w:rPr>
          <w:noProof/>
          <w:szCs w:val="21"/>
        </w:rPr>
        <w:t>2.</w:t>
      </w:r>
      <w:r w:rsidRPr="00000D16">
        <w:rPr>
          <w:noProof/>
          <w:szCs w:val="21"/>
        </w:rPr>
        <w:t>试剂</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环磷酰胺</w:t>
      </w:r>
      <w:r w:rsidRPr="00000D16">
        <w:rPr>
          <w:rFonts w:eastAsia="宋体" w:hint="eastAsia"/>
          <w:szCs w:val="21"/>
        </w:rPr>
        <w:t>，</w:t>
      </w:r>
      <w:r w:rsidRPr="00000D16">
        <w:rPr>
          <w:rFonts w:eastAsia="宋体" w:hAnsi="宋体"/>
          <w:szCs w:val="21"/>
        </w:rPr>
        <w:t>含量不低于</w:t>
      </w:r>
      <w:r w:rsidRPr="00000D16">
        <w:rPr>
          <w:rFonts w:eastAsia="宋体"/>
          <w:szCs w:val="21"/>
        </w:rPr>
        <w:t>98.5%</w:t>
      </w:r>
      <w:r w:rsidRPr="00000D16">
        <w:rPr>
          <w:rFonts w:eastAsia="宋体" w:hAnsi="宋体"/>
          <w:szCs w:val="21"/>
        </w:rPr>
        <w:t>。</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秋水仙素</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氯化钾</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甲醇</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冰醋酸</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吉姆萨（</w:t>
      </w:r>
      <w:r w:rsidRPr="00000D16">
        <w:rPr>
          <w:rFonts w:eastAsia="宋体"/>
          <w:szCs w:val="21"/>
        </w:rPr>
        <w:t>Giemsa</w:t>
      </w:r>
      <w:r w:rsidRPr="00000D16">
        <w:rPr>
          <w:rFonts w:eastAsia="宋体" w:hAnsi="宋体"/>
          <w:szCs w:val="21"/>
        </w:rPr>
        <w:t>）染料</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磷酸氢二钠</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磷酸二氢钾</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柠檬酸钠</w:t>
      </w:r>
      <w:r w:rsidRPr="00000D16">
        <w:rPr>
          <w:rFonts w:eastAsia="宋体" w:hAnsi="宋体" w:hint="eastAsia"/>
          <w:szCs w:val="21"/>
        </w:rPr>
        <w:t>：分析纯；</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纯甘油</w:t>
      </w:r>
      <w:r w:rsidRPr="00000D16">
        <w:rPr>
          <w:rFonts w:eastAsia="宋体" w:hAnsi="宋体" w:hint="eastAsia"/>
          <w:szCs w:val="21"/>
        </w:rPr>
        <w:t>。</w:t>
      </w:r>
    </w:p>
    <w:p w:rsidR="00B40DAE" w:rsidRPr="00000D16" w:rsidRDefault="00B40DAE" w:rsidP="00B40DAE">
      <w:pPr>
        <w:pStyle w:val="a9"/>
        <w:numPr>
          <w:ilvl w:val="0"/>
          <w:numId w:val="0"/>
        </w:numPr>
        <w:spacing w:line="360" w:lineRule="auto"/>
        <w:ind w:firstLineChars="200" w:firstLine="420"/>
        <w:outlineLvl w:val="9"/>
        <w:rPr>
          <w:noProof/>
          <w:szCs w:val="21"/>
        </w:rPr>
      </w:pPr>
      <w:r w:rsidRPr="00000D16">
        <w:rPr>
          <w:noProof/>
          <w:szCs w:val="21"/>
        </w:rPr>
        <w:t>3.</w:t>
      </w:r>
      <w:r w:rsidRPr="00000D16">
        <w:rPr>
          <w:noProof/>
          <w:szCs w:val="21"/>
        </w:rPr>
        <w:t>仪器</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生物显微镜</w:t>
      </w:r>
      <w:r w:rsidRPr="00000D16">
        <w:rPr>
          <w:rFonts w:eastAsia="宋体"/>
          <w:szCs w:val="21"/>
        </w:rPr>
        <w:t>(</w:t>
      </w:r>
      <w:r w:rsidRPr="00000D16">
        <w:rPr>
          <w:rFonts w:eastAsia="宋体" w:hAnsi="宋体"/>
          <w:szCs w:val="21"/>
        </w:rPr>
        <w:t>具</w:t>
      </w:r>
      <w:r w:rsidRPr="00000D16">
        <w:rPr>
          <w:rFonts w:eastAsia="宋体"/>
          <w:szCs w:val="21"/>
        </w:rPr>
        <w:t>100×</w:t>
      </w:r>
      <w:r w:rsidRPr="00000D16">
        <w:rPr>
          <w:rFonts w:eastAsia="宋体" w:hAnsi="宋体"/>
          <w:szCs w:val="21"/>
        </w:rPr>
        <w:t>油镜头</w:t>
      </w:r>
      <w:r w:rsidRPr="00000D16">
        <w:rPr>
          <w:rFonts w:eastAsia="宋体"/>
          <w:szCs w:val="21"/>
        </w:rPr>
        <w:t>)</w:t>
      </w:r>
    </w:p>
    <w:p w:rsidR="00B40DAE" w:rsidRPr="00000D16" w:rsidRDefault="00B40DAE" w:rsidP="00B40DAE">
      <w:pPr>
        <w:pStyle w:val="af4"/>
        <w:spacing w:line="360" w:lineRule="auto"/>
        <w:outlineLvl w:val="9"/>
        <w:rPr>
          <w:rFonts w:eastAsia="宋体"/>
          <w:szCs w:val="21"/>
        </w:rPr>
      </w:pPr>
      <w:r w:rsidRPr="00000D16">
        <w:rPr>
          <w:rFonts w:eastAsia="宋体"/>
          <w:szCs w:val="21"/>
        </w:rPr>
        <w:lastRenderedPageBreak/>
        <w:t xml:space="preserve">    </w:t>
      </w:r>
      <w:r w:rsidRPr="00000D16">
        <w:rPr>
          <w:rFonts w:eastAsia="宋体" w:hAnsi="宋体"/>
          <w:szCs w:val="21"/>
        </w:rPr>
        <w:t>离心机</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恒温水浴（控温：</w:t>
      </w:r>
      <w:r w:rsidRPr="00000D16">
        <w:rPr>
          <w:rFonts w:eastAsia="宋体"/>
          <w:szCs w:val="21"/>
        </w:rPr>
        <w:t>37</w:t>
      </w:r>
      <w:r w:rsidRPr="00000D16">
        <w:rPr>
          <w:rFonts w:eastAsia="宋体" w:hAnsi="宋体"/>
          <w:szCs w:val="21"/>
        </w:rPr>
        <w:t>士</w:t>
      </w:r>
      <w:smartTag w:uri="urn:schemas-microsoft-com:office:smarttags" w:element="chmetcnv">
        <w:smartTagPr>
          <w:attr w:name="TCSC" w:val="0"/>
          <w:attr w:name="NumberType" w:val="1"/>
          <w:attr w:name="Negative" w:val="False"/>
          <w:attr w:name="HasSpace" w:val="False"/>
          <w:attr w:name="SourceValue" w:val=".5"/>
          <w:attr w:name="UnitName" w:val="℃"/>
        </w:smartTagPr>
        <w:r w:rsidRPr="00000D16">
          <w:rPr>
            <w:rFonts w:eastAsia="宋体"/>
            <w:szCs w:val="21"/>
          </w:rPr>
          <w:t>0.5</w:t>
        </w:r>
        <w:r w:rsidRPr="00000D16">
          <w:rPr>
            <w:rFonts w:eastAsia="宋体" w:hAnsi="宋体"/>
            <w:szCs w:val="21"/>
          </w:rPr>
          <w:t>℃</w:t>
        </w:r>
      </w:smartTag>
      <w:r w:rsidRPr="00000D16">
        <w:rPr>
          <w:rFonts w:eastAsia="宋体" w:hAnsi="宋体"/>
          <w:szCs w:val="21"/>
        </w:rPr>
        <w:t>）</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其它实验室常用仪器</w:t>
      </w:r>
    </w:p>
    <w:p w:rsidR="00B40DAE" w:rsidRPr="00000D16" w:rsidRDefault="00B40DAE" w:rsidP="00B40DAE">
      <w:pPr>
        <w:pStyle w:val="a9"/>
        <w:numPr>
          <w:ilvl w:val="0"/>
          <w:numId w:val="0"/>
        </w:numPr>
        <w:spacing w:line="360" w:lineRule="auto"/>
        <w:ind w:firstLineChars="200" w:firstLine="420"/>
        <w:outlineLvl w:val="9"/>
        <w:rPr>
          <w:noProof/>
          <w:szCs w:val="21"/>
        </w:rPr>
      </w:pPr>
      <w:r w:rsidRPr="00000D16">
        <w:rPr>
          <w:noProof/>
          <w:szCs w:val="21"/>
        </w:rPr>
        <w:t>4.</w:t>
      </w:r>
      <w:r w:rsidRPr="00000D16">
        <w:rPr>
          <w:noProof/>
          <w:szCs w:val="21"/>
        </w:rPr>
        <w:t>试剂的配制</w:t>
      </w:r>
    </w:p>
    <w:p w:rsidR="00B40DAE" w:rsidRPr="00000D16" w:rsidRDefault="00B40DAE" w:rsidP="00B40DAE">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w:t>
      </w:r>
      <w:r w:rsidRPr="00000D16">
        <w:rPr>
          <w:rFonts w:eastAsia="宋体"/>
          <w:szCs w:val="21"/>
        </w:rPr>
        <w:t>0.04%</w:t>
      </w:r>
      <w:r w:rsidRPr="00000D16">
        <w:rPr>
          <w:rFonts w:eastAsia="宋体" w:hAnsi="宋体"/>
          <w:szCs w:val="21"/>
        </w:rPr>
        <w:t>秋水仙素：称取</w:t>
      </w:r>
      <w:r w:rsidRPr="00000D16">
        <w:rPr>
          <w:rFonts w:eastAsia="宋体"/>
          <w:szCs w:val="21"/>
        </w:rPr>
        <w:t>40mg</w:t>
      </w:r>
      <w:r w:rsidRPr="00000D16">
        <w:rPr>
          <w:rFonts w:eastAsia="宋体" w:hAnsi="宋体"/>
          <w:szCs w:val="21"/>
        </w:rPr>
        <w:t>秋水仙素，加</w:t>
      </w:r>
      <w:r w:rsidRPr="00000D16">
        <w:rPr>
          <w:rFonts w:eastAsia="宋体"/>
          <w:szCs w:val="21"/>
        </w:rPr>
        <w:t>100mL</w:t>
      </w:r>
      <w:r w:rsidRPr="00000D16">
        <w:rPr>
          <w:rFonts w:eastAsia="宋体" w:hAnsi="宋体"/>
          <w:szCs w:val="21"/>
        </w:rPr>
        <w:t>蒸馏水溶解</w:t>
      </w:r>
      <w:r w:rsidRPr="00000D16">
        <w:rPr>
          <w:rFonts w:eastAsia="宋体"/>
          <w:szCs w:val="21"/>
        </w:rPr>
        <w:t xml:space="preserve">, </w:t>
      </w:r>
      <w:r w:rsidRPr="00000D16">
        <w:rPr>
          <w:rFonts w:eastAsia="宋体" w:hAnsi="宋体"/>
          <w:szCs w:val="21"/>
        </w:rPr>
        <w:t>过滤除菌，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eastAsia="宋体"/>
            <w:szCs w:val="21"/>
          </w:rPr>
          <w:t>4</w:t>
        </w:r>
        <w:r w:rsidRPr="00000D16">
          <w:rPr>
            <w:rFonts w:eastAsia="宋体" w:hAnsi="宋体"/>
            <w:szCs w:val="21"/>
          </w:rPr>
          <w:t>℃</w:t>
        </w:r>
      </w:smartTag>
      <w:r w:rsidRPr="00000D16">
        <w:rPr>
          <w:rFonts w:eastAsia="宋体" w:hAnsi="宋体"/>
          <w:szCs w:val="21"/>
        </w:rPr>
        <w:t>冰箱保存备用。</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w:t>
      </w:r>
      <w:r w:rsidRPr="00000D16">
        <w:rPr>
          <w:rFonts w:eastAsia="宋体"/>
          <w:szCs w:val="21"/>
        </w:rPr>
        <w:t>2</w:t>
      </w:r>
      <w:r w:rsidRPr="00000D16">
        <w:rPr>
          <w:rFonts w:eastAsia="宋体" w:hAnsi="宋体"/>
          <w:szCs w:val="21"/>
        </w:rPr>
        <w:t>）</w:t>
      </w:r>
      <w:r w:rsidRPr="00000D16">
        <w:rPr>
          <w:rFonts w:eastAsia="宋体"/>
          <w:szCs w:val="21"/>
        </w:rPr>
        <w:t>2.2%</w:t>
      </w:r>
      <w:r w:rsidRPr="00000D16">
        <w:rPr>
          <w:rFonts w:eastAsia="宋体" w:hAnsi="宋体"/>
          <w:szCs w:val="21"/>
        </w:rPr>
        <w:t>柠檬酸钠溶液：称取柠檬酸钠</w:t>
      </w:r>
      <w:smartTag w:uri="urn:schemas-microsoft-com:office:smarttags" w:element="chmetcnv">
        <w:smartTagPr>
          <w:attr w:name="TCSC" w:val="0"/>
          <w:attr w:name="NumberType" w:val="1"/>
          <w:attr w:name="Negative" w:val="False"/>
          <w:attr w:name="HasSpace" w:val="False"/>
          <w:attr w:name="SourceValue" w:val="2.2"/>
          <w:attr w:name="UnitName" w:val="g"/>
        </w:smartTagPr>
        <w:r w:rsidRPr="00000D16">
          <w:rPr>
            <w:rFonts w:eastAsia="宋体"/>
            <w:szCs w:val="21"/>
          </w:rPr>
          <w:t>2.20g</w:t>
        </w:r>
      </w:smartTag>
      <w:r w:rsidRPr="00000D16">
        <w:rPr>
          <w:rFonts w:eastAsia="宋体" w:hAnsi="宋体"/>
          <w:szCs w:val="21"/>
        </w:rPr>
        <w:t>，溶于</w:t>
      </w:r>
      <w:r w:rsidRPr="00000D16">
        <w:rPr>
          <w:rFonts w:eastAsia="宋体"/>
          <w:szCs w:val="21"/>
        </w:rPr>
        <w:t>100mL</w:t>
      </w:r>
      <w:r w:rsidRPr="00000D16">
        <w:rPr>
          <w:rFonts w:eastAsia="宋体" w:hAnsi="宋体"/>
          <w:szCs w:val="21"/>
        </w:rPr>
        <w:t>蒸馏水中，保存备用。</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w:t>
      </w:r>
      <w:r w:rsidRPr="00000D16">
        <w:rPr>
          <w:rFonts w:eastAsia="宋体"/>
          <w:szCs w:val="21"/>
        </w:rPr>
        <w:t>3</w:t>
      </w:r>
      <w:r w:rsidRPr="00000D16">
        <w:rPr>
          <w:rFonts w:eastAsia="宋体" w:hAnsi="宋体"/>
          <w:szCs w:val="21"/>
        </w:rPr>
        <w:t>）</w:t>
      </w:r>
      <w:r w:rsidRPr="00000D16">
        <w:rPr>
          <w:rFonts w:eastAsia="宋体"/>
          <w:szCs w:val="21"/>
        </w:rPr>
        <w:t>pH7.4</w:t>
      </w:r>
      <w:r w:rsidRPr="00000D16">
        <w:rPr>
          <w:rFonts w:eastAsia="宋体" w:hAnsi="宋体"/>
          <w:szCs w:val="21"/>
        </w:rPr>
        <w:t>磷酸盐缓冲液：</w:t>
      </w:r>
    </w:p>
    <w:p w:rsidR="00B40DAE" w:rsidRPr="00000D16" w:rsidRDefault="00B40DAE" w:rsidP="00B40DAE">
      <w:pPr>
        <w:pStyle w:val="af5"/>
        <w:spacing w:line="360" w:lineRule="auto"/>
        <w:outlineLvl w:val="9"/>
        <w:rPr>
          <w:rFonts w:eastAsia="宋体"/>
          <w:szCs w:val="21"/>
        </w:rPr>
      </w:pPr>
      <w:r w:rsidRPr="00000D16">
        <w:rPr>
          <w:rFonts w:eastAsia="宋体"/>
          <w:szCs w:val="21"/>
        </w:rPr>
        <w:t xml:space="preserve">    1/15mo1/L</w:t>
      </w:r>
      <w:r w:rsidRPr="00000D16">
        <w:rPr>
          <w:rFonts w:eastAsia="宋体" w:hAnsi="宋体"/>
          <w:szCs w:val="21"/>
        </w:rPr>
        <w:t>磷酸氢二钠溶液：称取磷酸氢二钠</w:t>
      </w:r>
      <w:smartTag w:uri="urn:schemas-microsoft-com:office:smarttags" w:element="chmetcnv">
        <w:smartTagPr>
          <w:attr w:name="TCSC" w:val="0"/>
          <w:attr w:name="NumberType" w:val="1"/>
          <w:attr w:name="Negative" w:val="False"/>
          <w:attr w:name="HasSpace" w:val="False"/>
          <w:attr w:name="SourceValue" w:val="9.47"/>
          <w:attr w:name="UnitName" w:val="g"/>
        </w:smartTagPr>
        <w:r w:rsidRPr="00000D16">
          <w:rPr>
            <w:rFonts w:eastAsia="宋体"/>
            <w:szCs w:val="21"/>
          </w:rPr>
          <w:t>9.47g</w:t>
        </w:r>
      </w:smartTag>
      <w:r w:rsidRPr="00000D16">
        <w:rPr>
          <w:rFonts w:eastAsia="宋体" w:hAnsi="宋体"/>
          <w:szCs w:val="21"/>
        </w:rPr>
        <w:t>溶于</w:t>
      </w:r>
      <w:r w:rsidRPr="00000D16">
        <w:rPr>
          <w:rFonts w:eastAsia="宋体"/>
          <w:szCs w:val="21"/>
        </w:rPr>
        <w:t>1000mL</w:t>
      </w:r>
      <w:r w:rsidRPr="00000D16">
        <w:rPr>
          <w:rFonts w:eastAsia="宋体" w:hAnsi="宋体"/>
          <w:szCs w:val="21"/>
        </w:rPr>
        <w:t>蒸馏水中。</w:t>
      </w:r>
    </w:p>
    <w:p w:rsidR="00B40DAE" w:rsidRPr="00000D16" w:rsidRDefault="00B40DAE" w:rsidP="00B40DAE">
      <w:pPr>
        <w:pStyle w:val="af5"/>
        <w:spacing w:line="360" w:lineRule="auto"/>
        <w:outlineLvl w:val="9"/>
        <w:rPr>
          <w:rFonts w:eastAsia="宋体"/>
          <w:szCs w:val="21"/>
        </w:rPr>
      </w:pPr>
      <w:r w:rsidRPr="00000D16">
        <w:rPr>
          <w:rFonts w:eastAsia="宋体"/>
          <w:szCs w:val="21"/>
        </w:rPr>
        <w:t xml:space="preserve">    1/15mol/L</w:t>
      </w:r>
      <w:r w:rsidRPr="00000D16">
        <w:rPr>
          <w:rFonts w:eastAsia="宋体" w:hAnsi="宋体"/>
          <w:szCs w:val="21"/>
        </w:rPr>
        <w:t>磷酸二氢钾溶液：称取磷酸二氢钾</w:t>
      </w:r>
      <w:smartTag w:uri="urn:schemas-microsoft-com:office:smarttags" w:element="chmetcnv">
        <w:smartTagPr>
          <w:attr w:name="TCSC" w:val="0"/>
          <w:attr w:name="NumberType" w:val="1"/>
          <w:attr w:name="Negative" w:val="False"/>
          <w:attr w:name="HasSpace" w:val="False"/>
          <w:attr w:name="SourceValue" w:val="9.07"/>
          <w:attr w:name="UnitName" w:val="g"/>
        </w:smartTagPr>
        <w:r w:rsidRPr="00000D16">
          <w:rPr>
            <w:rFonts w:eastAsia="宋体"/>
            <w:szCs w:val="21"/>
          </w:rPr>
          <w:t>9.07g</w:t>
        </w:r>
      </w:smartTag>
      <w:r w:rsidRPr="00000D16">
        <w:rPr>
          <w:rFonts w:eastAsia="宋体" w:hAnsi="宋体"/>
          <w:szCs w:val="21"/>
        </w:rPr>
        <w:t>溶于</w:t>
      </w:r>
      <w:r w:rsidRPr="00000D16">
        <w:rPr>
          <w:rFonts w:eastAsia="宋体"/>
          <w:szCs w:val="21"/>
        </w:rPr>
        <w:t>1000mL</w:t>
      </w:r>
      <w:r w:rsidRPr="00000D16">
        <w:rPr>
          <w:rFonts w:eastAsia="宋体" w:hAnsi="宋体"/>
          <w:szCs w:val="21"/>
        </w:rPr>
        <w:t>蒸馏水中。</w:t>
      </w:r>
    </w:p>
    <w:p w:rsidR="00B40DAE" w:rsidRPr="00000D16" w:rsidRDefault="00B40DAE" w:rsidP="00B40DAE">
      <w:pPr>
        <w:pStyle w:val="af5"/>
        <w:spacing w:line="360" w:lineRule="auto"/>
        <w:outlineLvl w:val="9"/>
        <w:rPr>
          <w:rFonts w:eastAsia="宋体"/>
          <w:szCs w:val="21"/>
        </w:rPr>
      </w:pPr>
      <w:r w:rsidRPr="00000D16">
        <w:rPr>
          <w:rFonts w:eastAsia="宋体"/>
          <w:szCs w:val="21"/>
        </w:rPr>
        <w:t xml:space="preserve">    </w:t>
      </w:r>
      <w:r w:rsidRPr="00000D16">
        <w:rPr>
          <w:rFonts w:eastAsia="宋体" w:hAnsi="宋体"/>
          <w:szCs w:val="21"/>
        </w:rPr>
        <w:t>将磷酸氢二钠溶液</w:t>
      </w:r>
      <w:r w:rsidRPr="00000D16">
        <w:rPr>
          <w:rFonts w:eastAsia="宋体"/>
          <w:szCs w:val="21"/>
        </w:rPr>
        <w:t>80mL</w:t>
      </w:r>
      <w:r w:rsidRPr="00000D16">
        <w:rPr>
          <w:rFonts w:eastAsia="宋体" w:hAnsi="宋体"/>
          <w:szCs w:val="21"/>
        </w:rPr>
        <w:t>与磷酸二氢钾溶液</w:t>
      </w:r>
      <w:r w:rsidRPr="00000D16">
        <w:rPr>
          <w:rFonts w:eastAsia="宋体"/>
          <w:szCs w:val="21"/>
        </w:rPr>
        <w:t>20mL</w:t>
      </w:r>
      <w:r w:rsidRPr="00000D16">
        <w:rPr>
          <w:rFonts w:eastAsia="宋体" w:hAnsi="宋体"/>
          <w:szCs w:val="21"/>
        </w:rPr>
        <w:t>混合，用酸度计调节</w:t>
      </w:r>
      <w:r w:rsidRPr="00000D16">
        <w:rPr>
          <w:rFonts w:eastAsia="宋体"/>
          <w:szCs w:val="21"/>
        </w:rPr>
        <w:t>pH</w:t>
      </w:r>
      <w:r w:rsidRPr="00000D16">
        <w:rPr>
          <w:rFonts w:eastAsia="宋体" w:hAnsi="宋体"/>
          <w:szCs w:val="21"/>
        </w:rPr>
        <w:t>至</w:t>
      </w:r>
      <w:r w:rsidRPr="00000D16">
        <w:rPr>
          <w:rFonts w:eastAsia="宋体"/>
          <w:szCs w:val="21"/>
        </w:rPr>
        <w:t>7.4</w:t>
      </w:r>
      <w:r w:rsidRPr="00000D16">
        <w:rPr>
          <w:rFonts w:eastAsia="宋体" w:hAnsi="宋体"/>
          <w:szCs w:val="21"/>
        </w:rPr>
        <w:t>，即配制成磷酸盐缓冲液。</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w:t>
      </w:r>
      <w:r w:rsidRPr="00000D16">
        <w:rPr>
          <w:rFonts w:eastAsia="宋体"/>
          <w:szCs w:val="21"/>
        </w:rPr>
        <w:t>4</w:t>
      </w:r>
      <w:r w:rsidRPr="00000D16">
        <w:rPr>
          <w:rFonts w:eastAsia="宋体" w:hAnsi="宋体"/>
          <w:szCs w:val="21"/>
        </w:rPr>
        <w:t>）</w:t>
      </w:r>
      <w:r w:rsidRPr="00000D16">
        <w:rPr>
          <w:rFonts w:eastAsia="宋体"/>
          <w:szCs w:val="21"/>
        </w:rPr>
        <w:t>0.075mo1</w:t>
      </w:r>
      <w:r w:rsidRPr="00000D16">
        <w:rPr>
          <w:rFonts w:eastAsia="宋体" w:hAnsi="宋体"/>
          <w:szCs w:val="21"/>
        </w:rPr>
        <w:t>／</w:t>
      </w:r>
      <w:r w:rsidRPr="00000D16">
        <w:rPr>
          <w:rFonts w:eastAsia="宋体"/>
          <w:szCs w:val="21"/>
        </w:rPr>
        <w:t>L</w:t>
      </w:r>
      <w:r w:rsidRPr="00000D16">
        <w:rPr>
          <w:rFonts w:eastAsia="宋体" w:hAnsi="宋体"/>
          <w:szCs w:val="21"/>
        </w:rPr>
        <w:t>氯化钾溶液：称取</w:t>
      </w:r>
      <w:smartTag w:uri="urn:schemas-microsoft-com:office:smarttags" w:element="chmetcnv">
        <w:smartTagPr>
          <w:attr w:name="TCSC" w:val="0"/>
          <w:attr w:name="NumberType" w:val="1"/>
          <w:attr w:name="Negative" w:val="False"/>
          <w:attr w:name="HasSpace" w:val="False"/>
          <w:attr w:name="SourceValue" w:val="5.59"/>
          <w:attr w:name="UnitName" w:val="g"/>
        </w:smartTagPr>
        <w:r w:rsidRPr="00000D16">
          <w:rPr>
            <w:rFonts w:eastAsia="宋体"/>
            <w:szCs w:val="21"/>
          </w:rPr>
          <w:t>5.59g</w:t>
        </w:r>
      </w:smartTag>
      <w:r w:rsidRPr="00000D16">
        <w:rPr>
          <w:rFonts w:eastAsia="宋体" w:hAnsi="宋体"/>
          <w:szCs w:val="21"/>
        </w:rPr>
        <w:t>氯化钾</w:t>
      </w:r>
      <w:r w:rsidRPr="00000D16">
        <w:rPr>
          <w:rFonts w:eastAsia="宋体"/>
          <w:szCs w:val="21"/>
        </w:rPr>
        <w:t xml:space="preserve">, </w:t>
      </w:r>
      <w:r w:rsidRPr="00000D16">
        <w:rPr>
          <w:rFonts w:eastAsia="宋体" w:hAnsi="宋体"/>
          <w:szCs w:val="21"/>
        </w:rPr>
        <w:t>溶于</w:t>
      </w:r>
      <w:r w:rsidRPr="00000D16">
        <w:rPr>
          <w:rFonts w:eastAsia="宋体"/>
          <w:szCs w:val="21"/>
        </w:rPr>
        <w:t>1000mL</w:t>
      </w:r>
      <w:r w:rsidRPr="00000D16">
        <w:rPr>
          <w:rFonts w:eastAsia="宋体" w:hAnsi="宋体"/>
          <w:szCs w:val="21"/>
        </w:rPr>
        <w:t>蒸馏水中。</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w:t>
      </w:r>
      <w:r w:rsidRPr="00000D16">
        <w:rPr>
          <w:rFonts w:eastAsia="宋体"/>
          <w:szCs w:val="21"/>
        </w:rPr>
        <w:t>5</w:t>
      </w:r>
      <w:r w:rsidRPr="00000D16">
        <w:rPr>
          <w:rFonts w:eastAsia="宋体" w:hAnsi="宋体"/>
          <w:szCs w:val="21"/>
        </w:rPr>
        <w:t>）固定液：甲醇</w:t>
      </w:r>
      <w:r w:rsidRPr="00000D16">
        <w:rPr>
          <w:rFonts w:eastAsia="宋体"/>
          <w:szCs w:val="21"/>
        </w:rPr>
        <w:t>3</w:t>
      </w:r>
      <w:r w:rsidRPr="00000D16">
        <w:rPr>
          <w:rFonts w:eastAsia="宋体" w:hAnsi="宋体"/>
          <w:szCs w:val="21"/>
        </w:rPr>
        <w:t>份，冰醋酸</w:t>
      </w:r>
      <w:r w:rsidRPr="00000D16">
        <w:rPr>
          <w:rFonts w:eastAsia="宋体"/>
          <w:szCs w:val="21"/>
        </w:rPr>
        <w:t>1</w:t>
      </w:r>
      <w:r w:rsidRPr="00000D16">
        <w:rPr>
          <w:rFonts w:eastAsia="宋体" w:hAnsi="宋体"/>
          <w:szCs w:val="21"/>
        </w:rPr>
        <w:t>份，混匀，临用时配制。</w:t>
      </w:r>
    </w:p>
    <w:p w:rsidR="00B40DAE" w:rsidRPr="00000D16" w:rsidRDefault="00B40DAE" w:rsidP="00B40DAE">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w:t>
      </w:r>
      <w:r w:rsidRPr="00000D16">
        <w:rPr>
          <w:rFonts w:eastAsia="宋体"/>
          <w:szCs w:val="21"/>
        </w:rPr>
        <w:t>6</w:t>
      </w:r>
      <w:r w:rsidRPr="00000D16">
        <w:rPr>
          <w:rFonts w:eastAsia="宋体" w:hAnsi="宋体"/>
          <w:szCs w:val="21"/>
        </w:rPr>
        <w:t>）</w:t>
      </w:r>
      <w:r w:rsidRPr="00000D16">
        <w:rPr>
          <w:rFonts w:eastAsia="宋体"/>
          <w:szCs w:val="21"/>
        </w:rPr>
        <w:t>Giemsa</w:t>
      </w:r>
      <w:r w:rsidRPr="00000D16">
        <w:rPr>
          <w:rFonts w:eastAsia="宋体" w:hAnsi="宋体"/>
          <w:szCs w:val="21"/>
        </w:rPr>
        <w:t>储备液：取吉姆萨染料</w:t>
      </w:r>
      <w:smartTag w:uri="urn:schemas-microsoft-com:office:smarttags" w:element="chmetcnv">
        <w:smartTagPr>
          <w:attr w:name="TCSC" w:val="0"/>
          <w:attr w:name="NumberType" w:val="1"/>
          <w:attr w:name="Negative" w:val="False"/>
          <w:attr w:name="HasSpace" w:val="False"/>
          <w:attr w:name="SourceValue" w:val="3.8"/>
          <w:attr w:name="UnitName" w:val="g"/>
        </w:smartTagPr>
        <w:r w:rsidRPr="00000D16">
          <w:rPr>
            <w:rFonts w:eastAsia="宋体"/>
            <w:szCs w:val="21"/>
          </w:rPr>
          <w:t>3.80g</w:t>
        </w:r>
      </w:smartTag>
      <w:r w:rsidRPr="00000D16">
        <w:rPr>
          <w:rFonts w:eastAsia="宋体" w:hAnsi="宋体"/>
          <w:szCs w:val="21"/>
        </w:rPr>
        <w:t>，置乳钵中，加少量甲醇研磨，</w:t>
      </w:r>
      <w:r w:rsidRPr="00000D16">
        <w:rPr>
          <w:rFonts w:eastAsia="宋体"/>
          <w:szCs w:val="21"/>
        </w:rPr>
        <w:t xml:space="preserve"> </w:t>
      </w:r>
      <w:r w:rsidRPr="00000D16">
        <w:rPr>
          <w:rFonts w:eastAsia="宋体" w:hAnsi="宋体"/>
          <w:szCs w:val="21"/>
        </w:rPr>
        <w:t>逐渐加甲醇至</w:t>
      </w:r>
      <w:r w:rsidRPr="00000D16">
        <w:rPr>
          <w:rFonts w:eastAsia="宋体"/>
          <w:szCs w:val="21"/>
        </w:rPr>
        <w:t>375mL</w:t>
      </w:r>
      <w:r w:rsidRPr="00000D16">
        <w:rPr>
          <w:rFonts w:eastAsia="宋体" w:hAnsi="宋体"/>
          <w:szCs w:val="21"/>
        </w:rPr>
        <w:t>，溶解后再加</w:t>
      </w:r>
      <w:r w:rsidRPr="00000D16">
        <w:rPr>
          <w:rFonts w:eastAsia="宋体"/>
          <w:szCs w:val="21"/>
        </w:rPr>
        <w:t>125mL</w:t>
      </w:r>
      <w:r w:rsidRPr="00000D16">
        <w:rPr>
          <w:rFonts w:eastAsia="宋体" w:hAnsi="宋体"/>
          <w:szCs w:val="21"/>
        </w:rPr>
        <w:t>纯甘油，于</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eastAsia="宋体"/>
            <w:szCs w:val="21"/>
          </w:rPr>
          <w:t>37</w:t>
        </w:r>
        <w:r w:rsidRPr="00000D16">
          <w:rPr>
            <w:rFonts w:eastAsia="宋体" w:hAnsi="宋体"/>
            <w:szCs w:val="21"/>
          </w:rPr>
          <w:t>℃</w:t>
        </w:r>
      </w:smartTag>
      <w:r w:rsidRPr="00000D16">
        <w:rPr>
          <w:rFonts w:eastAsia="宋体" w:hAnsi="宋体"/>
          <w:szCs w:val="21"/>
        </w:rPr>
        <w:t>温箱保温</w:t>
      </w:r>
      <w:r w:rsidRPr="00000D16">
        <w:rPr>
          <w:rFonts w:eastAsia="宋体"/>
          <w:szCs w:val="21"/>
        </w:rPr>
        <w:t>48h</w:t>
      </w:r>
      <w:r w:rsidRPr="00000D16">
        <w:rPr>
          <w:rFonts w:eastAsia="宋体" w:hAnsi="宋体"/>
          <w:szCs w:val="21"/>
        </w:rPr>
        <w:t>，在此期间摇动数次，放置</w:t>
      </w:r>
      <w:r w:rsidRPr="00000D16">
        <w:rPr>
          <w:rFonts w:eastAsia="宋体"/>
          <w:szCs w:val="21"/>
        </w:rPr>
        <w:t>1</w:t>
      </w:r>
      <w:r w:rsidRPr="00000D16">
        <w:rPr>
          <w:rFonts w:eastAsia="宋体" w:hAnsi="宋体"/>
          <w:szCs w:val="21"/>
        </w:rPr>
        <w:t>～</w:t>
      </w:r>
      <w:r w:rsidRPr="00000D16">
        <w:rPr>
          <w:rFonts w:eastAsia="宋体"/>
          <w:szCs w:val="21"/>
        </w:rPr>
        <w:t>2</w:t>
      </w:r>
      <w:r w:rsidRPr="00000D16">
        <w:rPr>
          <w:rFonts w:eastAsia="宋体" w:hAnsi="宋体"/>
          <w:szCs w:val="21"/>
        </w:rPr>
        <w:t>周后过滤备用。</w:t>
      </w:r>
    </w:p>
    <w:p w:rsidR="00B40DAE" w:rsidRPr="00000D16" w:rsidRDefault="00B40DAE" w:rsidP="00B40DAE">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7</w:t>
      </w:r>
      <w:r w:rsidRPr="00000D16">
        <w:rPr>
          <w:rFonts w:eastAsia="宋体" w:hAnsi="宋体"/>
          <w:szCs w:val="21"/>
        </w:rPr>
        <w:t>）</w:t>
      </w:r>
      <w:r w:rsidRPr="00000D16">
        <w:rPr>
          <w:rFonts w:eastAsia="宋体"/>
          <w:szCs w:val="21"/>
        </w:rPr>
        <w:t>Giemsa</w:t>
      </w:r>
      <w:r w:rsidRPr="00000D16">
        <w:rPr>
          <w:rFonts w:eastAsia="宋体" w:hAnsi="宋体"/>
          <w:szCs w:val="21"/>
        </w:rPr>
        <w:t>工作液：取</w:t>
      </w:r>
      <w:r w:rsidRPr="00000D16">
        <w:rPr>
          <w:rFonts w:eastAsia="宋体"/>
          <w:szCs w:val="21"/>
        </w:rPr>
        <w:t>1mLGiemsa</w:t>
      </w:r>
      <w:r w:rsidRPr="00000D16">
        <w:rPr>
          <w:rFonts w:eastAsia="宋体" w:hAnsi="宋体"/>
          <w:szCs w:val="21"/>
        </w:rPr>
        <w:t>储备液加入</w:t>
      </w:r>
      <w:r w:rsidRPr="00000D16">
        <w:rPr>
          <w:rFonts w:eastAsia="宋体"/>
          <w:szCs w:val="21"/>
        </w:rPr>
        <w:t>9mL pH7.4</w:t>
      </w:r>
      <w:r w:rsidRPr="00000D16">
        <w:rPr>
          <w:rFonts w:eastAsia="宋体" w:hAnsi="宋体"/>
          <w:szCs w:val="21"/>
        </w:rPr>
        <w:t>磷酸缓冲液混匀即可，临用时配制。</w:t>
      </w:r>
    </w:p>
    <w:p w:rsidR="00B40DAE" w:rsidRPr="001F33C7" w:rsidRDefault="00B40DAE" w:rsidP="00B40DAE">
      <w:pPr>
        <w:pStyle w:val="af2"/>
        <w:spacing w:line="360" w:lineRule="auto"/>
        <w:ind w:firstLineChars="0" w:firstLine="0"/>
        <w:outlineLvl w:val="3"/>
        <w:rPr>
          <w:rFonts w:ascii="Times New Roman" w:eastAsia="黑体"/>
          <w:sz w:val="28"/>
          <w:szCs w:val="28"/>
        </w:rPr>
      </w:pPr>
      <w:r w:rsidRPr="001F33C7">
        <w:rPr>
          <w:rFonts w:ascii="Times New Roman" w:eastAsia="黑体"/>
          <w:sz w:val="28"/>
          <w:szCs w:val="28"/>
        </w:rPr>
        <w:t>（二）试验步骤</w:t>
      </w:r>
    </w:p>
    <w:p w:rsidR="00B40DAE" w:rsidRPr="00000D16" w:rsidRDefault="00B40DAE" w:rsidP="00B40DAE">
      <w:pPr>
        <w:pStyle w:val="a9"/>
        <w:numPr>
          <w:ilvl w:val="0"/>
          <w:numId w:val="0"/>
        </w:numPr>
        <w:spacing w:line="360" w:lineRule="auto"/>
        <w:ind w:firstLineChars="200" w:firstLine="420"/>
        <w:outlineLvl w:val="9"/>
        <w:rPr>
          <w:szCs w:val="21"/>
        </w:rPr>
      </w:pPr>
      <w:r w:rsidRPr="00000D16">
        <w:rPr>
          <w:szCs w:val="21"/>
        </w:rPr>
        <w:t>1.</w:t>
      </w:r>
      <w:r w:rsidRPr="00000D16">
        <w:rPr>
          <w:szCs w:val="21"/>
        </w:rPr>
        <w:t>剂量组设计</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设</w:t>
      </w:r>
      <w:r w:rsidRPr="00000D16">
        <w:rPr>
          <w:rFonts w:ascii="Times New Roman"/>
          <w:szCs w:val="21"/>
        </w:rPr>
        <w:t>3</w:t>
      </w:r>
      <w:r w:rsidRPr="00000D16">
        <w:rPr>
          <w:rFonts w:ascii="Times New Roman" w:hAnsi="宋体"/>
          <w:szCs w:val="21"/>
        </w:rPr>
        <w:t>个剂量组，即</w:t>
      </w:r>
      <w:r w:rsidRPr="00000D16">
        <w:rPr>
          <w:rFonts w:ascii="Times New Roman"/>
          <w:szCs w:val="21"/>
        </w:rPr>
        <w:t>1/2</w:t>
      </w:r>
      <w:r w:rsidRPr="00000D16">
        <w:rPr>
          <w:rFonts w:ascii="Times New Roman" w:hAnsi="宋体"/>
          <w:szCs w:val="21"/>
        </w:rPr>
        <w:t>、</w:t>
      </w:r>
      <w:r w:rsidRPr="00000D16">
        <w:rPr>
          <w:rFonts w:ascii="Times New Roman"/>
          <w:szCs w:val="21"/>
        </w:rPr>
        <w:t>1/4</w:t>
      </w:r>
      <w:r w:rsidRPr="00000D16">
        <w:rPr>
          <w:rFonts w:ascii="Times New Roman" w:hAnsi="宋体"/>
          <w:szCs w:val="21"/>
        </w:rPr>
        <w:t>和</w:t>
      </w:r>
      <w:r w:rsidRPr="00000D16">
        <w:rPr>
          <w:rFonts w:ascii="Times New Roman"/>
          <w:szCs w:val="21"/>
        </w:rPr>
        <w:t>1/8 LD</w:t>
      </w:r>
      <w:r w:rsidRPr="00000D16">
        <w:rPr>
          <w:rFonts w:ascii="Times New Roman"/>
          <w:szCs w:val="21"/>
          <w:vertAlign w:val="subscript"/>
        </w:rPr>
        <w:t>50</w:t>
      </w:r>
      <w:r w:rsidRPr="00000D16">
        <w:rPr>
          <w:rFonts w:ascii="Times New Roman" w:hAnsi="宋体"/>
          <w:szCs w:val="21"/>
        </w:rPr>
        <w:t>剂量组，另外设</w:t>
      </w:r>
      <w:r w:rsidRPr="00000D16">
        <w:rPr>
          <w:rFonts w:ascii="Times New Roman"/>
          <w:szCs w:val="21"/>
        </w:rPr>
        <w:t>1</w:t>
      </w:r>
      <w:r w:rsidRPr="00000D16">
        <w:rPr>
          <w:rFonts w:ascii="Times New Roman" w:hAnsi="宋体"/>
          <w:szCs w:val="21"/>
        </w:rPr>
        <w:t>个阴性（溶剂）对照组及</w:t>
      </w:r>
      <w:r w:rsidRPr="00000D16">
        <w:rPr>
          <w:rFonts w:ascii="Times New Roman"/>
          <w:szCs w:val="21"/>
        </w:rPr>
        <w:t>1</w:t>
      </w:r>
      <w:r w:rsidRPr="00000D16">
        <w:rPr>
          <w:rFonts w:ascii="Times New Roman" w:hAnsi="宋体"/>
          <w:szCs w:val="21"/>
        </w:rPr>
        <w:t>个阳性对照组。当受试物</w:t>
      </w:r>
      <w:r w:rsidRPr="00000D16">
        <w:rPr>
          <w:rFonts w:ascii="Times New Roman"/>
          <w:szCs w:val="21"/>
        </w:rPr>
        <w:t>LD</w:t>
      </w:r>
      <w:r w:rsidRPr="00000D16">
        <w:rPr>
          <w:rFonts w:ascii="Times New Roman"/>
          <w:szCs w:val="21"/>
          <w:vertAlign w:val="subscript"/>
        </w:rPr>
        <w:t>50</w:t>
      </w:r>
      <w:r w:rsidRPr="00000D16">
        <w:rPr>
          <w:rFonts w:ascii="Times New Roman" w:hAnsi="宋体"/>
          <w:szCs w:val="21"/>
        </w:rPr>
        <w:t>大于</w:t>
      </w:r>
      <w:r w:rsidRPr="00000D16">
        <w:rPr>
          <w:rFonts w:ascii="Times New Roman"/>
          <w:szCs w:val="21"/>
        </w:rPr>
        <w:t>5000mg/kg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）时，试验组高剂量设为</w:t>
      </w:r>
      <w:r w:rsidRPr="00000D16">
        <w:rPr>
          <w:rFonts w:ascii="Times New Roman"/>
          <w:szCs w:val="21"/>
        </w:rPr>
        <w:t>5000mg/kg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），将</w:t>
      </w:r>
      <w:r w:rsidRPr="00000D16">
        <w:rPr>
          <w:rFonts w:ascii="Times New Roman"/>
          <w:szCs w:val="21"/>
        </w:rPr>
        <w:t>2500mg/kg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）和</w:t>
      </w:r>
      <w:r w:rsidRPr="00000D16">
        <w:rPr>
          <w:rFonts w:ascii="Times New Roman"/>
          <w:szCs w:val="21"/>
        </w:rPr>
        <w:t>1250mg/kg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）分别设为中剂量和低剂量。每组小鼠</w:t>
      </w:r>
      <w:r w:rsidRPr="00000D16">
        <w:rPr>
          <w:rFonts w:ascii="Times New Roman"/>
          <w:szCs w:val="21"/>
        </w:rPr>
        <w:t>16</w:t>
      </w:r>
      <w:r w:rsidRPr="00000D16">
        <w:rPr>
          <w:rFonts w:ascii="Times New Roman" w:hAnsi="宋体"/>
          <w:szCs w:val="21"/>
        </w:rPr>
        <w:t>只，雌、雄各半，确保</w:t>
      </w:r>
      <w:r w:rsidRPr="00000D16">
        <w:rPr>
          <w:rFonts w:ascii="Times New Roman" w:hAnsi="宋体" w:hint="eastAsia"/>
          <w:szCs w:val="21"/>
        </w:rPr>
        <w:t>给药</w:t>
      </w:r>
      <w:r w:rsidRPr="00000D16">
        <w:rPr>
          <w:rFonts w:ascii="Times New Roman" w:hAnsi="宋体"/>
          <w:szCs w:val="21"/>
        </w:rPr>
        <w:t>后雌、雄小鼠至少各存活</w:t>
      </w:r>
      <w:r w:rsidRPr="00000D16">
        <w:rPr>
          <w:rFonts w:ascii="Times New Roman"/>
          <w:szCs w:val="21"/>
        </w:rPr>
        <w:t>5</w:t>
      </w:r>
      <w:r w:rsidRPr="00000D16">
        <w:rPr>
          <w:rFonts w:ascii="Times New Roman" w:hAnsi="宋体"/>
          <w:szCs w:val="21"/>
        </w:rPr>
        <w:t>只供采样、制片。</w:t>
      </w:r>
    </w:p>
    <w:p w:rsidR="00B40DAE" w:rsidRPr="00000D16" w:rsidRDefault="00B40DAE" w:rsidP="00B40DAE">
      <w:pPr>
        <w:pStyle w:val="a9"/>
        <w:numPr>
          <w:ilvl w:val="0"/>
          <w:numId w:val="0"/>
        </w:numPr>
        <w:spacing w:line="360" w:lineRule="auto"/>
        <w:ind w:firstLineChars="200" w:firstLine="420"/>
        <w:outlineLvl w:val="9"/>
        <w:rPr>
          <w:szCs w:val="21"/>
        </w:rPr>
      </w:pPr>
      <w:r w:rsidRPr="00000D16">
        <w:rPr>
          <w:szCs w:val="21"/>
        </w:rPr>
        <w:t>2.</w:t>
      </w:r>
      <w:r w:rsidRPr="00000D16">
        <w:rPr>
          <w:szCs w:val="21"/>
        </w:rPr>
        <w:t>阳性对照物及受试物溶液配制</w:t>
      </w:r>
    </w:p>
    <w:p w:rsidR="00B40DAE" w:rsidRPr="00000D16" w:rsidRDefault="00B40DAE" w:rsidP="00B40DAE">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）阳性对照物</w:t>
      </w:r>
    </w:p>
    <w:p w:rsidR="00B40DAE" w:rsidRPr="00000D16" w:rsidRDefault="00B40DAE" w:rsidP="00B40DAE">
      <w:pPr>
        <w:pStyle w:val="af2"/>
        <w:spacing w:line="360" w:lineRule="auto"/>
        <w:ind w:firstLine="420"/>
        <w:rPr>
          <w:rFonts w:ascii="Times New Roman"/>
          <w:szCs w:val="21"/>
          <w:u w:val="single"/>
        </w:rPr>
      </w:pPr>
      <w:r w:rsidRPr="00000D16">
        <w:rPr>
          <w:rFonts w:ascii="Times New Roman" w:hAnsi="宋体"/>
          <w:szCs w:val="21"/>
        </w:rPr>
        <w:t>阳性对照物环磷酰胺，给予剂量</w:t>
      </w:r>
      <w:r w:rsidRPr="00000D16">
        <w:rPr>
          <w:rFonts w:ascii="Times New Roman"/>
          <w:szCs w:val="21"/>
        </w:rPr>
        <w:t>40mg/kg</w:t>
      </w:r>
      <w:r w:rsidRPr="00000D16">
        <w:rPr>
          <w:rFonts w:ascii="Times New Roman" w:hAnsi="宋体"/>
          <w:szCs w:val="21"/>
        </w:rPr>
        <w:t>，按</w:t>
      </w:r>
      <w:r w:rsidRPr="00000D16">
        <w:rPr>
          <w:rFonts w:ascii="Times New Roman"/>
          <w:szCs w:val="21"/>
        </w:rPr>
        <w:t>0.1</w:t>
      </w:r>
      <w:r w:rsidRPr="00000D16">
        <w:rPr>
          <w:rFonts w:ascii="Times New Roman" w:hAnsi="宋体"/>
          <w:szCs w:val="21"/>
        </w:rPr>
        <w:t>～</w:t>
      </w:r>
      <w:r w:rsidRPr="00000D16">
        <w:rPr>
          <w:rFonts w:ascii="Times New Roman"/>
          <w:szCs w:val="21"/>
        </w:rPr>
        <w:t>0.2mL/</w:t>
      </w:r>
      <w:smartTag w:uri="urn:schemas-microsoft-com:office:smarttags" w:element="chmetcnv">
        <w:smartTagPr>
          <w:attr w:name="TCSC" w:val="0"/>
          <w:attr w:name="NumberType" w:val="1"/>
          <w:attr w:name="Negative" w:val="False"/>
          <w:attr w:name="HasSpace" w:val="False"/>
          <w:attr w:name="SourceValue" w:val="10"/>
          <w:attr w:name="UnitName" w:val="g"/>
        </w:smartTagPr>
        <w:r w:rsidRPr="00000D16">
          <w:rPr>
            <w:rFonts w:ascii="Times New Roman"/>
            <w:szCs w:val="21"/>
          </w:rPr>
          <w:t>10g</w:t>
        </w:r>
      </w:smartTag>
      <w:r w:rsidRPr="00000D16">
        <w:rPr>
          <w:rFonts w:ascii="Times New Roman" w:hAnsi="宋体"/>
          <w:szCs w:val="21"/>
        </w:rPr>
        <w:t>体重给予小鼠受试药物体积，计算需配制的溶液浓度，拟定需配制的溶液体积，计算配制溶液时需准确称取环磷酰胺的量。</w:t>
      </w:r>
    </w:p>
    <w:p w:rsidR="00B40DAE" w:rsidRPr="00000D16" w:rsidRDefault="00B40DAE" w:rsidP="00B40DAE">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）受试药物溶液配制</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根据受试药物物理化性质，选定溶剂，将受试药物配制成水溶液（或乳化剂、混悬液、糊状物等）。必要时加入增溶剂或助悬剂（如吐温</w:t>
      </w:r>
      <w:r w:rsidRPr="00000D16">
        <w:rPr>
          <w:rFonts w:ascii="Times New Roman"/>
          <w:szCs w:val="21"/>
        </w:rPr>
        <w:t>-80</w:t>
      </w:r>
      <w:r w:rsidRPr="00000D16">
        <w:rPr>
          <w:rFonts w:ascii="Times New Roman" w:hAnsi="宋体"/>
          <w:szCs w:val="21"/>
        </w:rPr>
        <w:t>、淀粉、羧甲基纤维素钠等）。各剂量组受试药物溶液可采用</w:t>
      </w:r>
      <w:r w:rsidRPr="00000D16">
        <w:rPr>
          <w:rFonts w:ascii="Times New Roman"/>
          <w:szCs w:val="21"/>
        </w:rPr>
        <w:t>2</w:t>
      </w:r>
      <w:r w:rsidRPr="00000D16">
        <w:rPr>
          <w:rFonts w:ascii="Times New Roman" w:hAnsi="宋体"/>
          <w:szCs w:val="21"/>
        </w:rPr>
        <w:t>倍递次稀释法配制。根据受试药物的小鼠</w:t>
      </w:r>
      <w:r w:rsidRPr="00000D16">
        <w:rPr>
          <w:rFonts w:ascii="Times New Roman"/>
          <w:szCs w:val="21"/>
        </w:rPr>
        <w:t>LD</w:t>
      </w:r>
      <w:r w:rsidRPr="00000D16">
        <w:rPr>
          <w:rFonts w:ascii="Times New Roman"/>
          <w:szCs w:val="21"/>
          <w:vertAlign w:val="subscript"/>
        </w:rPr>
        <w:t>50</w:t>
      </w:r>
      <w:r w:rsidRPr="00000D16">
        <w:rPr>
          <w:rFonts w:ascii="Times New Roman" w:hAnsi="宋体"/>
          <w:szCs w:val="21"/>
        </w:rPr>
        <w:t>，按</w:t>
      </w:r>
      <w:r w:rsidRPr="00000D16">
        <w:rPr>
          <w:rFonts w:ascii="Times New Roman"/>
          <w:szCs w:val="21"/>
        </w:rPr>
        <w:t>0.1</w:t>
      </w:r>
      <w:r w:rsidRPr="00000D16">
        <w:rPr>
          <w:rFonts w:ascii="Times New Roman" w:hAnsi="宋体"/>
          <w:szCs w:val="21"/>
        </w:rPr>
        <w:t>～</w:t>
      </w:r>
      <w:r w:rsidRPr="00000D16">
        <w:rPr>
          <w:rFonts w:ascii="Times New Roman"/>
          <w:szCs w:val="21"/>
        </w:rPr>
        <w:t>0.2mL/</w:t>
      </w:r>
      <w:smartTag w:uri="urn:schemas-microsoft-com:office:smarttags" w:element="chmetcnv">
        <w:smartTagPr>
          <w:attr w:name="TCSC" w:val="0"/>
          <w:attr w:name="NumberType" w:val="1"/>
          <w:attr w:name="Negative" w:val="False"/>
          <w:attr w:name="HasSpace" w:val="False"/>
          <w:attr w:name="SourceValue" w:val="10"/>
          <w:attr w:name="UnitName" w:val="g"/>
        </w:smartTagPr>
        <w:r w:rsidRPr="00000D16">
          <w:rPr>
            <w:rFonts w:ascii="Times New Roman"/>
            <w:szCs w:val="21"/>
          </w:rPr>
          <w:t>10g</w:t>
        </w:r>
      </w:smartTag>
      <w:r w:rsidRPr="00000D16">
        <w:rPr>
          <w:rFonts w:ascii="Times New Roman" w:hAnsi="宋体"/>
          <w:szCs w:val="21"/>
        </w:rPr>
        <w:t>体</w:t>
      </w:r>
      <w:r w:rsidRPr="00000D16">
        <w:rPr>
          <w:rFonts w:ascii="Times New Roman" w:hAnsi="宋体"/>
          <w:szCs w:val="21"/>
        </w:rPr>
        <w:lastRenderedPageBreak/>
        <w:t>重要求给予小鼠受试药物体积，先确定</w:t>
      </w:r>
      <w:r w:rsidRPr="00000D16">
        <w:rPr>
          <w:rFonts w:ascii="Times New Roman"/>
          <w:szCs w:val="21"/>
        </w:rPr>
        <w:t>1/2LD</w:t>
      </w:r>
      <w:r w:rsidRPr="00000D16">
        <w:rPr>
          <w:rFonts w:ascii="Times New Roman"/>
          <w:szCs w:val="21"/>
          <w:vertAlign w:val="subscript"/>
        </w:rPr>
        <w:t>50</w:t>
      </w:r>
      <w:r w:rsidRPr="00000D16">
        <w:rPr>
          <w:rFonts w:ascii="Times New Roman" w:hAnsi="宋体"/>
          <w:szCs w:val="21"/>
        </w:rPr>
        <w:t>剂量组（即高剂量组）受试药物溶液需配制的浓度，再确定各剂量组所需受试药物溶液体积，将</w:t>
      </w:r>
      <w:r w:rsidRPr="00000D16">
        <w:rPr>
          <w:rFonts w:ascii="Times New Roman"/>
          <w:szCs w:val="21"/>
        </w:rPr>
        <w:t>1/2LD</w:t>
      </w:r>
      <w:r w:rsidRPr="00000D16">
        <w:rPr>
          <w:rFonts w:ascii="Times New Roman"/>
          <w:szCs w:val="21"/>
          <w:vertAlign w:val="subscript"/>
        </w:rPr>
        <w:t>50</w:t>
      </w:r>
      <w:r w:rsidRPr="00000D16">
        <w:rPr>
          <w:rFonts w:ascii="Times New Roman" w:hAnsi="宋体"/>
          <w:szCs w:val="21"/>
        </w:rPr>
        <w:t>剂量组受试药物溶液配制成初始溶液，计算配制溶液时需称取</w:t>
      </w:r>
      <w:r w:rsidRPr="00000D16">
        <w:rPr>
          <w:rFonts w:ascii="Times New Roman"/>
          <w:szCs w:val="21"/>
        </w:rPr>
        <w:t>/</w:t>
      </w:r>
      <w:r w:rsidRPr="00000D16">
        <w:rPr>
          <w:rFonts w:ascii="Times New Roman" w:hAnsi="宋体"/>
          <w:szCs w:val="21"/>
        </w:rPr>
        <w:t>量取受试药物的量。</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用天平或</w:t>
      </w:r>
      <w:r w:rsidRPr="00000D16">
        <w:rPr>
          <w:rFonts w:ascii="Times New Roman"/>
          <w:szCs w:val="21"/>
        </w:rPr>
        <w:t>/</w:t>
      </w:r>
      <w:r w:rsidRPr="00000D16">
        <w:rPr>
          <w:rFonts w:ascii="Times New Roman" w:hAnsi="宋体"/>
          <w:szCs w:val="21"/>
        </w:rPr>
        <w:t>移液管，称取或</w:t>
      </w:r>
      <w:r w:rsidRPr="00000D16">
        <w:rPr>
          <w:rFonts w:ascii="Times New Roman"/>
          <w:szCs w:val="21"/>
        </w:rPr>
        <w:t>/</w:t>
      </w:r>
      <w:r w:rsidRPr="00000D16">
        <w:rPr>
          <w:rFonts w:ascii="Times New Roman" w:hAnsi="宋体"/>
          <w:szCs w:val="21"/>
        </w:rPr>
        <w:t>量取受试药物置烧杯内，加入适量选定的溶剂溶解或</w:t>
      </w:r>
      <w:r w:rsidRPr="00000D16">
        <w:rPr>
          <w:rFonts w:ascii="Times New Roman"/>
          <w:szCs w:val="21"/>
        </w:rPr>
        <w:t>/</w:t>
      </w:r>
      <w:r w:rsidRPr="00000D16">
        <w:rPr>
          <w:rFonts w:ascii="Times New Roman" w:hAnsi="宋体"/>
          <w:szCs w:val="21"/>
        </w:rPr>
        <w:t>稀释，转入容量瓶内，混匀并定容，即获得</w:t>
      </w:r>
      <w:r w:rsidRPr="00000D16">
        <w:rPr>
          <w:rFonts w:ascii="Times New Roman"/>
          <w:szCs w:val="21"/>
        </w:rPr>
        <w:t>1/2LD</w:t>
      </w:r>
      <w:r w:rsidRPr="00000D16">
        <w:rPr>
          <w:rFonts w:ascii="Times New Roman"/>
          <w:szCs w:val="21"/>
          <w:vertAlign w:val="subscript"/>
        </w:rPr>
        <w:t>50</w:t>
      </w:r>
      <w:r w:rsidRPr="00000D16">
        <w:rPr>
          <w:rFonts w:ascii="Times New Roman" w:hAnsi="宋体"/>
          <w:szCs w:val="21"/>
        </w:rPr>
        <w:t>剂量组（高剂量组）所需浓度的受试药物溶液。分取一半体积的溶液供</w:t>
      </w:r>
      <w:r w:rsidRPr="00000D16">
        <w:rPr>
          <w:rFonts w:ascii="Times New Roman"/>
          <w:szCs w:val="21"/>
        </w:rPr>
        <w:t>1/2 LD</w:t>
      </w:r>
      <w:r w:rsidRPr="00000D16">
        <w:rPr>
          <w:rFonts w:ascii="Times New Roman"/>
          <w:szCs w:val="21"/>
          <w:vertAlign w:val="subscript"/>
        </w:rPr>
        <w:t>50</w:t>
      </w:r>
      <w:r w:rsidRPr="00000D16">
        <w:rPr>
          <w:rFonts w:ascii="Times New Roman" w:hAnsi="宋体"/>
          <w:szCs w:val="21"/>
        </w:rPr>
        <w:t>剂量组</w:t>
      </w:r>
      <w:r w:rsidRPr="00000D16">
        <w:rPr>
          <w:rFonts w:ascii="Times New Roman" w:hAnsi="宋体" w:hint="eastAsia"/>
          <w:szCs w:val="21"/>
        </w:rPr>
        <w:t>给药</w:t>
      </w:r>
      <w:r w:rsidRPr="00000D16">
        <w:rPr>
          <w:rFonts w:ascii="Times New Roman" w:hAnsi="宋体"/>
          <w:szCs w:val="21"/>
        </w:rPr>
        <w:t>，向原溶液中加入同体积的溶剂，混匀后溶液正好是</w:t>
      </w:r>
      <w:r w:rsidRPr="00000D16">
        <w:rPr>
          <w:rFonts w:ascii="Times New Roman"/>
          <w:szCs w:val="21"/>
        </w:rPr>
        <w:t>1/4 LD</w:t>
      </w:r>
      <w:r w:rsidRPr="00000D16">
        <w:rPr>
          <w:rFonts w:ascii="Times New Roman"/>
          <w:szCs w:val="21"/>
          <w:vertAlign w:val="subscript"/>
        </w:rPr>
        <w:t>50</w:t>
      </w:r>
      <w:r w:rsidRPr="00000D16">
        <w:rPr>
          <w:rFonts w:ascii="Times New Roman" w:hAnsi="宋体"/>
          <w:szCs w:val="21"/>
        </w:rPr>
        <w:t>剂量组（中剂量组）所需的剂量浓度；分取一半体积的溶液供</w:t>
      </w:r>
      <w:r w:rsidRPr="00000D16">
        <w:rPr>
          <w:rFonts w:ascii="Times New Roman"/>
          <w:szCs w:val="21"/>
        </w:rPr>
        <w:t>1/4 LD</w:t>
      </w:r>
      <w:r w:rsidRPr="00000D16">
        <w:rPr>
          <w:rFonts w:ascii="Times New Roman"/>
          <w:szCs w:val="21"/>
          <w:vertAlign w:val="subscript"/>
        </w:rPr>
        <w:t>50</w:t>
      </w:r>
      <w:r w:rsidRPr="00000D16">
        <w:rPr>
          <w:rFonts w:ascii="Times New Roman" w:hAnsi="宋体"/>
          <w:szCs w:val="21"/>
        </w:rPr>
        <w:t>剂量组</w:t>
      </w:r>
      <w:r w:rsidRPr="00000D16">
        <w:rPr>
          <w:rFonts w:ascii="Times New Roman" w:hAnsi="宋体" w:hint="eastAsia"/>
          <w:szCs w:val="21"/>
        </w:rPr>
        <w:t>给药</w:t>
      </w:r>
      <w:r w:rsidRPr="00000D16">
        <w:rPr>
          <w:rFonts w:ascii="Times New Roman" w:hAnsi="宋体"/>
          <w:szCs w:val="21"/>
        </w:rPr>
        <w:t>，再加入同体积的溶剂，混匀后溶液正好是</w:t>
      </w:r>
      <w:r w:rsidRPr="00000D16">
        <w:rPr>
          <w:rFonts w:ascii="Times New Roman"/>
          <w:szCs w:val="21"/>
        </w:rPr>
        <w:t>1/8LD</w:t>
      </w:r>
      <w:r w:rsidRPr="00000D16">
        <w:rPr>
          <w:rFonts w:ascii="Times New Roman"/>
          <w:szCs w:val="21"/>
          <w:vertAlign w:val="subscript"/>
        </w:rPr>
        <w:t>50</w:t>
      </w:r>
      <w:r w:rsidRPr="00000D16">
        <w:rPr>
          <w:rFonts w:ascii="Times New Roman" w:hAnsi="宋体"/>
          <w:szCs w:val="21"/>
        </w:rPr>
        <w:t>剂量组（低剂量组）所需的剂量浓度，可供其</w:t>
      </w:r>
      <w:r w:rsidRPr="00000D16">
        <w:rPr>
          <w:rFonts w:ascii="Times New Roman" w:hAnsi="宋体" w:hint="eastAsia"/>
          <w:szCs w:val="21"/>
        </w:rPr>
        <w:t>给药</w:t>
      </w:r>
      <w:r w:rsidRPr="00000D16">
        <w:rPr>
          <w:rFonts w:ascii="Times New Roman" w:hAnsi="宋体"/>
          <w:szCs w:val="21"/>
        </w:rPr>
        <w:t>。</w:t>
      </w:r>
    </w:p>
    <w:p w:rsidR="00B40DAE" w:rsidRPr="00000D16" w:rsidRDefault="00B40DAE" w:rsidP="00B40DAE">
      <w:pPr>
        <w:pStyle w:val="a9"/>
        <w:numPr>
          <w:ilvl w:val="0"/>
          <w:numId w:val="0"/>
        </w:numPr>
        <w:spacing w:line="360" w:lineRule="auto"/>
        <w:ind w:firstLineChars="200" w:firstLine="420"/>
        <w:outlineLvl w:val="9"/>
        <w:rPr>
          <w:szCs w:val="21"/>
        </w:rPr>
      </w:pPr>
      <w:r w:rsidRPr="00000D16">
        <w:rPr>
          <w:szCs w:val="21"/>
        </w:rPr>
        <w:t>3.</w:t>
      </w:r>
      <w:r w:rsidRPr="00000D16">
        <w:rPr>
          <w:szCs w:val="21"/>
        </w:rPr>
        <w:t>试验动物称重、标记编号和分组</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购置小鼠饲养观察</w:t>
      </w:r>
      <w:r w:rsidRPr="00000D16">
        <w:rPr>
          <w:rFonts w:ascii="Times New Roman"/>
          <w:szCs w:val="21"/>
        </w:rPr>
        <w:t>1</w:t>
      </w:r>
      <w:r w:rsidRPr="00000D16">
        <w:rPr>
          <w:rFonts w:ascii="Times New Roman" w:hAnsi="宋体"/>
          <w:szCs w:val="21"/>
        </w:rPr>
        <w:t>周。选择健康雌、雄小鼠各</w:t>
      </w:r>
      <w:r w:rsidRPr="00000D16">
        <w:rPr>
          <w:rFonts w:ascii="Times New Roman"/>
          <w:szCs w:val="21"/>
        </w:rPr>
        <w:t>40</w:t>
      </w:r>
      <w:r w:rsidRPr="00000D16">
        <w:rPr>
          <w:rFonts w:ascii="Times New Roman" w:hAnsi="宋体"/>
          <w:szCs w:val="21"/>
        </w:rPr>
        <w:t>只，分别进行称重和标记编号，采用完全随机法，分别将雌、雄小鼠分为</w:t>
      </w:r>
      <w:r w:rsidRPr="00000D16">
        <w:rPr>
          <w:rFonts w:ascii="Times New Roman"/>
          <w:szCs w:val="21"/>
        </w:rPr>
        <w:t>5</w:t>
      </w:r>
      <w:r w:rsidRPr="00000D16">
        <w:rPr>
          <w:rFonts w:ascii="Times New Roman" w:hAnsi="宋体"/>
          <w:szCs w:val="21"/>
        </w:rPr>
        <w:t>组，每组</w:t>
      </w:r>
      <w:r w:rsidRPr="00000D16">
        <w:rPr>
          <w:rFonts w:ascii="Times New Roman"/>
          <w:szCs w:val="21"/>
        </w:rPr>
        <w:t>8</w:t>
      </w:r>
      <w:r w:rsidRPr="00000D16">
        <w:rPr>
          <w:rFonts w:ascii="Times New Roman" w:hAnsi="宋体"/>
          <w:szCs w:val="21"/>
        </w:rPr>
        <w:t>只。</w:t>
      </w:r>
    </w:p>
    <w:p w:rsidR="00B40DAE" w:rsidRPr="00000D16" w:rsidRDefault="00B40DAE" w:rsidP="00B40DAE">
      <w:pPr>
        <w:pStyle w:val="a9"/>
        <w:numPr>
          <w:ilvl w:val="0"/>
          <w:numId w:val="0"/>
        </w:numPr>
        <w:spacing w:line="360" w:lineRule="auto"/>
        <w:ind w:firstLineChars="200" w:firstLine="420"/>
        <w:outlineLvl w:val="9"/>
        <w:rPr>
          <w:rFonts w:hint="eastAsia"/>
          <w:szCs w:val="21"/>
        </w:rPr>
      </w:pPr>
      <w:r w:rsidRPr="00000D16">
        <w:rPr>
          <w:szCs w:val="21"/>
        </w:rPr>
        <w:t>4.</w:t>
      </w:r>
      <w:r w:rsidRPr="00000D16">
        <w:rPr>
          <w:rFonts w:hint="eastAsia"/>
          <w:szCs w:val="21"/>
        </w:rPr>
        <w:t>给药方案</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按受试药物给药要求，采用灌胃（或注射）</w:t>
      </w:r>
      <w:r w:rsidRPr="00000D16">
        <w:rPr>
          <w:rFonts w:ascii="Times New Roman" w:hAnsi="宋体" w:hint="eastAsia"/>
          <w:szCs w:val="21"/>
        </w:rPr>
        <w:t>给药</w:t>
      </w:r>
      <w:r w:rsidRPr="00000D16">
        <w:rPr>
          <w:rFonts w:ascii="Times New Roman" w:hAnsi="宋体"/>
          <w:szCs w:val="21"/>
        </w:rPr>
        <w:t>，</w:t>
      </w:r>
      <w:r w:rsidRPr="00000D16">
        <w:rPr>
          <w:rFonts w:ascii="Times New Roman" w:hAnsi="宋体" w:hint="eastAsia"/>
          <w:szCs w:val="21"/>
        </w:rPr>
        <w:t>给药</w:t>
      </w:r>
      <w:r w:rsidRPr="00000D16">
        <w:rPr>
          <w:rFonts w:ascii="Times New Roman"/>
          <w:szCs w:val="21"/>
        </w:rPr>
        <w:t>3</w:t>
      </w:r>
      <w:r w:rsidRPr="00000D16">
        <w:rPr>
          <w:rFonts w:ascii="Times New Roman" w:hAnsi="宋体"/>
          <w:szCs w:val="21"/>
        </w:rPr>
        <w:t>次，每次间隔</w:t>
      </w:r>
      <w:r w:rsidRPr="00000D16">
        <w:rPr>
          <w:rFonts w:ascii="Times New Roman"/>
          <w:szCs w:val="21"/>
        </w:rPr>
        <w:t>24h</w:t>
      </w:r>
      <w:r w:rsidRPr="00000D16">
        <w:rPr>
          <w:rFonts w:ascii="Times New Roman" w:hAnsi="宋体"/>
          <w:szCs w:val="21"/>
        </w:rPr>
        <w:t>。</w:t>
      </w:r>
    </w:p>
    <w:p w:rsidR="00B40DAE" w:rsidRPr="00000D16" w:rsidRDefault="00B40DAE" w:rsidP="00B40DAE">
      <w:pPr>
        <w:pStyle w:val="a9"/>
        <w:numPr>
          <w:ilvl w:val="0"/>
          <w:numId w:val="0"/>
        </w:numPr>
        <w:spacing w:line="360" w:lineRule="auto"/>
        <w:ind w:firstLineChars="200" w:firstLine="420"/>
        <w:outlineLvl w:val="9"/>
        <w:rPr>
          <w:szCs w:val="21"/>
        </w:rPr>
      </w:pPr>
      <w:r w:rsidRPr="00000D16">
        <w:rPr>
          <w:szCs w:val="21"/>
        </w:rPr>
        <w:t>5.</w:t>
      </w:r>
      <w:r w:rsidRPr="00000D16">
        <w:rPr>
          <w:szCs w:val="21"/>
        </w:rPr>
        <w:t>标本制备</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在末次</w:t>
      </w:r>
      <w:r w:rsidRPr="00000D16">
        <w:rPr>
          <w:rFonts w:ascii="Times New Roman" w:hAnsi="宋体" w:hint="eastAsia"/>
          <w:szCs w:val="21"/>
        </w:rPr>
        <w:t>给药</w:t>
      </w:r>
      <w:r w:rsidRPr="00000D16">
        <w:rPr>
          <w:rFonts w:ascii="Times New Roman"/>
          <w:szCs w:val="21"/>
        </w:rPr>
        <w:t>24h</w:t>
      </w:r>
      <w:r w:rsidRPr="00000D16">
        <w:rPr>
          <w:rFonts w:ascii="Times New Roman" w:hAnsi="宋体"/>
          <w:szCs w:val="21"/>
        </w:rPr>
        <w:t>后处死动物，收获细胞进行标本制备。每组各处死雌鼠和雄鼠不少于</w:t>
      </w:r>
      <w:r w:rsidRPr="00000D16">
        <w:rPr>
          <w:rFonts w:ascii="Times New Roman"/>
          <w:szCs w:val="21"/>
        </w:rPr>
        <w:t>5</w:t>
      </w:r>
      <w:r w:rsidRPr="00000D16">
        <w:rPr>
          <w:rFonts w:ascii="Times New Roman" w:hAnsi="宋体"/>
          <w:szCs w:val="21"/>
        </w:rPr>
        <w:t>只。按下列程序制片。</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1</w:t>
      </w:r>
      <w:r w:rsidRPr="00000D16">
        <w:rPr>
          <w:rFonts w:ascii="Times New Roman" w:hAnsi="宋体"/>
          <w:szCs w:val="21"/>
        </w:rPr>
        <w:t>）处死动物前</w:t>
      </w:r>
      <w:r w:rsidRPr="00000D16">
        <w:rPr>
          <w:rFonts w:ascii="Times New Roman"/>
          <w:szCs w:val="21"/>
        </w:rPr>
        <w:t>2</w:t>
      </w:r>
      <w:r w:rsidRPr="00000D16">
        <w:rPr>
          <w:rFonts w:ascii="Times New Roman" w:hAnsi="宋体"/>
          <w:szCs w:val="21"/>
        </w:rPr>
        <w:t>～</w:t>
      </w:r>
      <w:r w:rsidRPr="00000D16">
        <w:rPr>
          <w:rFonts w:ascii="Times New Roman"/>
          <w:szCs w:val="21"/>
        </w:rPr>
        <w:t>4</w:t>
      </w:r>
      <w:r w:rsidRPr="00000D16">
        <w:rPr>
          <w:rFonts w:ascii="Times New Roman" w:hAnsi="宋体"/>
          <w:szCs w:val="21"/>
        </w:rPr>
        <w:t>小时，腹腔注射</w:t>
      </w:r>
      <w:r w:rsidRPr="00000D16">
        <w:rPr>
          <w:rFonts w:ascii="Times New Roman"/>
          <w:szCs w:val="21"/>
        </w:rPr>
        <w:t>0.04%</w:t>
      </w:r>
      <w:r w:rsidRPr="00000D16">
        <w:rPr>
          <w:rFonts w:ascii="Times New Roman" w:hAnsi="宋体"/>
          <w:szCs w:val="21"/>
        </w:rPr>
        <w:t>秋水仙素，小鼠剂量为</w:t>
      </w:r>
      <w:r w:rsidRPr="00000D16">
        <w:rPr>
          <w:rFonts w:ascii="Times New Roman"/>
          <w:szCs w:val="21"/>
        </w:rPr>
        <w:t>4mg/kg</w:t>
      </w:r>
      <w:r w:rsidRPr="00000D16">
        <w:rPr>
          <w:rFonts w:ascii="Times New Roman" w:hAnsi="宋体"/>
          <w:szCs w:val="21"/>
        </w:rPr>
        <w:t>。</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2</w:t>
      </w:r>
      <w:r w:rsidRPr="00000D16">
        <w:rPr>
          <w:rFonts w:ascii="Times New Roman" w:hAnsi="宋体"/>
          <w:szCs w:val="21"/>
        </w:rPr>
        <w:t>）小鼠用颈椎脱臼法处死，大鼠断头处死，迅速取出双侧股骨，剔除肌肉，擦净血污，剪开两端关节面，用带针头的注射器吸取</w:t>
      </w:r>
      <w:r w:rsidRPr="00000D16">
        <w:rPr>
          <w:rFonts w:ascii="Times New Roman"/>
          <w:szCs w:val="21"/>
        </w:rPr>
        <w:t>5mL 2.2</w:t>
      </w:r>
      <w:r w:rsidRPr="00000D16">
        <w:rPr>
          <w:rFonts w:ascii="Times New Roman" w:hAnsi="宋体"/>
          <w:szCs w:val="21"/>
        </w:rPr>
        <w:t>％柠檬酸钠溶液，将骨髓洗入</w:t>
      </w:r>
      <w:r w:rsidRPr="00000D16">
        <w:rPr>
          <w:rFonts w:ascii="Times New Roman"/>
          <w:szCs w:val="21"/>
        </w:rPr>
        <w:t>10mL</w:t>
      </w:r>
      <w:r w:rsidRPr="00000D16">
        <w:rPr>
          <w:rFonts w:ascii="Times New Roman" w:hAnsi="宋体"/>
          <w:szCs w:val="21"/>
        </w:rPr>
        <w:t>离心管中，反复冲洗数次直至股骨断面由红色变白色，用吸管吹打使骨髓悬浮，然后以</w:t>
      </w:r>
      <w:r w:rsidRPr="00000D16">
        <w:rPr>
          <w:rFonts w:ascii="Times New Roman"/>
          <w:szCs w:val="21"/>
        </w:rPr>
        <w:t>1000 r/min</w:t>
      </w:r>
      <w:r w:rsidRPr="00000D16">
        <w:rPr>
          <w:rFonts w:ascii="Times New Roman" w:hAnsi="宋体"/>
          <w:szCs w:val="21"/>
        </w:rPr>
        <w:t>离心</w:t>
      </w:r>
      <w:r w:rsidRPr="00000D16">
        <w:rPr>
          <w:rFonts w:ascii="Times New Roman"/>
          <w:szCs w:val="21"/>
        </w:rPr>
        <w:t>10min</w:t>
      </w:r>
      <w:r w:rsidRPr="00000D16">
        <w:rPr>
          <w:rFonts w:ascii="Times New Roman" w:hAnsi="宋体"/>
          <w:szCs w:val="21"/>
        </w:rPr>
        <w:t>，弃去上清液。</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3</w:t>
      </w:r>
      <w:r w:rsidRPr="00000D16">
        <w:rPr>
          <w:rFonts w:ascii="Times New Roman" w:hAnsi="宋体"/>
          <w:szCs w:val="21"/>
        </w:rPr>
        <w:t>）加入预温</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的</w:t>
      </w:r>
      <w:r w:rsidRPr="00000D16">
        <w:rPr>
          <w:rFonts w:ascii="Times New Roman"/>
          <w:szCs w:val="21"/>
        </w:rPr>
        <w:t>0.075mol/L KCl</w:t>
      </w:r>
      <w:r w:rsidRPr="00000D16">
        <w:rPr>
          <w:rFonts w:ascii="Times New Roman" w:hAnsi="宋体"/>
          <w:szCs w:val="21"/>
        </w:rPr>
        <w:t>约</w:t>
      </w:r>
      <w:r w:rsidRPr="00000D16">
        <w:rPr>
          <w:rFonts w:ascii="Times New Roman"/>
          <w:szCs w:val="21"/>
        </w:rPr>
        <w:t>6mL</w:t>
      </w:r>
      <w:r w:rsidRPr="00000D16">
        <w:rPr>
          <w:rFonts w:ascii="Times New Roman" w:hAnsi="宋体"/>
          <w:szCs w:val="21"/>
        </w:rPr>
        <w:t>，用吸管吹打使骨髓悬浮，于</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作用</w:t>
      </w:r>
      <w:r w:rsidRPr="00000D16">
        <w:rPr>
          <w:rFonts w:ascii="Times New Roman"/>
          <w:szCs w:val="21"/>
        </w:rPr>
        <w:t>15</w:t>
      </w:r>
      <w:r w:rsidRPr="00000D16">
        <w:rPr>
          <w:rFonts w:ascii="Times New Roman" w:hAnsi="宋体"/>
          <w:szCs w:val="21"/>
        </w:rPr>
        <w:t>～</w:t>
      </w:r>
      <w:r w:rsidRPr="00000D16">
        <w:rPr>
          <w:rFonts w:ascii="Times New Roman"/>
          <w:szCs w:val="21"/>
        </w:rPr>
        <w:t>20min</w:t>
      </w:r>
      <w:r w:rsidRPr="00000D16">
        <w:rPr>
          <w:rFonts w:ascii="Times New Roman" w:hAnsi="宋体"/>
          <w:szCs w:val="21"/>
        </w:rPr>
        <w:t>，再加固定液</w:t>
      </w:r>
      <w:r w:rsidRPr="00000D16">
        <w:rPr>
          <w:rFonts w:ascii="Times New Roman"/>
          <w:szCs w:val="21"/>
        </w:rPr>
        <w:t>1</w:t>
      </w:r>
      <w:r w:rsidRPr="00000D16">
        <w:rPr>
          <w:rFonts w:ascii="Times New Roman" w:hAnsi="宋体"/>
          <w:szCs w:val="21"/>
        </w:rPr>
        <w:t>～</w:t>
      </w:r>
      <w:r w:rsidRPr="00000D16">
        <w:rPr>
          <w:rFonts w:ascii="Times New Roman"/>
          <w:szCs w:val="21"/>
        </w:rPr>
        <w:t>2mL</w:t>
      </w:r>
      <w:r w:rsidRPr="00000D16">
        <w:rPr>
          <w:rFonts w:ascii="Times New Roman" w:hAnsi="宋体"/>
          <w:szCs w:val="21"/>
        </w:rPr>
        <w:t>混匀，立即以</w:t>
      </w:r>
      <w:r w:rsidRPr="00000D16">
        <w:rPr>
          <w:rFonts w:ascii="Times New Roman"/>
          <w:szCs w:val="21"/>
        </w:rPr>
        <w:t>1000 r/min</w:t>
      </w:r>
      <w:r w:rsidRPr="00000D16">
        <w:rPr>
          <w:rFonts w:ascii="Times New Roman" w:hAnsi="宋体"/>
          <w:szCs w:val="21"/>
        </w:rPr>
        <w:t>离心</w:t>
      </w:r>
      <w:r w:rsidRPr="00000D16">
        <w:rPr>
          <w:rFonts w:ascii="Times New Roman"/>
          <w:szCs w:val="21"/>
        </w:rPr>
        <w:t>10min</w:t>
      </w:r>
      <w:r w:rsidRPr="00000D16">
        <w:rPr>
          <w:rFonts w:ascii="Times New Roman" w:hAnsi="宋体"/>
          <w:szCs w:val="21"/>
        </w:rPr>
        <w:t>，弃上清液。</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4</w:t>
      </w:r>
      <w:r w:rsidRPr="00000D16">
        <w:rPr>
          <w:rFonts w:ascii="Times New Roman" w:hAnsi="宋体"/>
          <w:szCs w:val="21"/>
        </w:rPr>
        <w:t>）沿管壁加入新配制的固定液</w:t>
      </w:r>
      <w:r w:rsidRPr="00000D16">
        <w:rPr>
          <w:rFonts w:ascii="Times New Roman"/>
          <w:szCs w:val="21"/>
        </w:rPr>
        <w:t>4mL</w:t>
      </w:r>
      <w:r w:rsidRPr="00000D16">
        <w:rPr>
          <w:rFonts w:ascii="Times New Roman" w:hAnsi="宋体"/>
          <w:szCs w:val="21"/>
        </w:rPr>
        <w:t>，用吸管吹打使骨髓细胞悬浮，室温静置</w:t>
      </w:r>
      <w:r w:rsidRPr="00000D16">
        <w:rPr>
          <w:rFonts w:ascii="Times New Roman"/>
          <w:szCs w:val="21"/>
        </w:rPr>
        <w:t>10</w:t>
      </w:r>
      <w:r w:rsidRPr="00000D16">
        <w:rPr>
          <w:rFonts w:ascii="Times New Roman" w:hAnsi="宋体"/>
          <w:szCs w:val="21"/>
        </w:rPr>
        <w:t>～</w:t>
      </w:r>
      <w:r w:rsidRPr="00000D16">
        <w:rPr>
          <w:rFonts w:ascii="Times New Roman"/>
          <w:szCs w:val="21"/>
        </w:rPr>
        <w:t>20min</w:t>
      </w:r>
      <w:r w:rsidRPr="00000D16">
        <w:rPr>
          <w:rFonts w:ascii="Times New Roman" w:hAnsi="宋体"/>
          <w:szCs w:val="21"/>
        </w:rPr>
        <w:t>，然后</w:t>
      </w:r>
      <w:r w:rsidRPr="00000D16">
        <w:rPr>
          <w:rFonts w:ascii="Times New Roman"/>
          <w:szCs w:val="21"/>
        </w:rPr>
        <w:t>1000r/min</w:t>
      </w:r>
      <w:r w:rsidRPr="00000D16">
        <w:rPr>
          <w:rFonts w:ascii="Times New Roman" w:hAnsi="宋体"/>
          <w:szCs w:val="21"/>
        </w:rPr>
        <w:t>离心</w:t>
      </w:r>
      <w:r w:rsidRPr="00000D16">
        <w:rPr>
          <w:rFonts w:ascii="Times New Roman"/>
          <w:szCs w:val="21"/>
        </w:rPr>
        <w:t>10min</w:t>
      </w:r>
      <w:r w:rsidRPr="00000D16">
        <w:rPr>
          <w:rFonts w:ascii="Times New Roman" w:hAnsi="宋体"/>
          <w:szCs w:val="21"/>
        </w:rPr>
        <w:t>，弃去上清液，同样方法再固定</w:t>
      </w:r>
      <w:r w:rsidRPr="00000D16">
        <w:rPr>
          <w:rFonts w:ascii="Times New Roman"/>
          <w:szCs w:val="21"/>
        </w:rPr>
        <w:t>1</w:t>
      </w:r>
      <w:r w:rsidRPr="00000D16">
        <w:rPr>
          <w:rFonts w:ascii="Times New Roman" w:hAnsi="宋体"/>
          <w:szCs w:val="21"/>
        </w:rPr>
        <w:t>次，弃去上清液，留</w:t>
      </w:r>
      <w:r w:rsidRPr="00000D16">
        <w:rPr>
          <w:rFonts w:ascii="Times New Roman"/>
          <w:szCs w:val="21"/>
        </w:rPr>
        <w:t>0.5mL</w:t>
      </w:r>
      <w:r w:rsidRPr="00000D16">
        <w:rPr>
          <w:rFonts w:ascii="Times New Roman" w:hAnsi="宋体"/>
          <w:szCs w:val="21"/>
        </w:rPr>
        <w:t>，用吸管吹打调成细胞悬液。</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5</w:t>
      </w:r>
      <w:r w:rsidRPr="00000D16">
        <w:rPr>
          <w:rFonts w:ascii="Times New Roman" w:hAnsi="宋体"/>
          <w:szCs w:val="21"/>
        </w:rPr>
        <w:t>）先将洗净的载玻片置冰水中备用。自冰水中取出载玻片，</w:t>
      </w:r>
      <w:r w:rsidRPr="00000D16">
        <w:rPr>
          <w:rFonts w:ascii="Times New Roman"/>
          <w:szCs w:val="21"/>
        </w:rPr>
        <w:t>30°</w:t>
      </w:r>
      <w:r w:rsidRPr="00000D16">
        <w:rPr>
          <w:rFonts w:ascii="Times New Roman" w:hAnsi="宋体"/>
          <w:szCs w:val="21"/>
        </w:rPr>
        <w:t>斜置，迅速吸取细胞悬液在玻片的</w:t>
      </w:r>
      <w:r w:rsidRPr="00000D16">
        <w:rPr>
          <w:rFonts w:ascii="Times New Roman"/>
          <w:szCs w:val="21"/>
        </w:rPr>
        <w:t>1/3</w:t>
      </w:r>
      <w:r w:rsidRPr="00000D16">
        <w:rPr>
          <w:rFonts w:ascii="Times New Roman" w:hAnsi="宋体"/>
          <w:szCs w:val="21"/>
        </w:rPr>
        <w:t>处滴</w:t>
      </w:r>
      <w:r w:rsidRPr="00000D16">
        <w:rPr>
          <w:rFonts w:ascii="Times New Roman"/>
          <w:szCs w:val="21"/>
        </w:rPr>
        <w:t>3</w:t>
      </w:r>
      <w:r w:rsidRPr="00000D16">
        <w:rPr>
          <w:rFonts w:ascii="Times New Roman" w:hAnsi="宋体"/>
          <w:szCs w:val="21"/>
        </w:rPr>
        <w:t>滴，轻吹使细胞悬液扩散平铺于玻片上。每个样品制</w:t>
      </w:r>
      <w:r w:rsidRPr="00000D16">
        <w:rPr>
          <w:rFonts w:ascii="Times New Roman"/>
          <w:szCs w:val="21"/>
        </w:rPr>
        <w:t>2</w:t>
      </w:r>
      <w:r w:rsidRPr="00000D16">
        <w:rPr>
          <w:rFonts w:ascii="Times New Roman" w:hAnsi="宋体"/>
          <w:szCs w:val="21"/>
        </w:rPr>
        <w:t>～</w:t>
      </w:r>
      <w:r w:rsidRPr="00000D16">
        <w:rPr>
          <w:rFonts w:ascii="Times New Roman"/>
          <w:szCs w:val="21"/>
        </w:rPr>
        <w:t>3</w:t>
      </w:r>
      <w:r w:rsidRPr="00000D16">
        <w:rPr>
          <w:rFonts w:ascii="Times New Roman" w:hAnsi="宋体"/>
          <w:szCs w:val="21"/>
        </w:rPr>
        <w:t>张玻片，空气中自然干燥。</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6</w:t>
      </w:r>
      <w:r w:rsidRPr="00000D16">
        <w:rPr>
          <w:rFonts w:ascii="Times New Roman" w:hAnsi="宋体"/>
          <w:szCs w:val="21"/>
        </w:rPr>
        <w:t>）将干燥涂片浸于放有</w:t>
      </w:r>
      <w:r w:rsidRPr="00000D16">
        <w:rPr>
          <w:rFonts w:ascii="Times New Roman"/>
          <w:szCs w:val="21"/>
        </w:rPr>
        <w:t>Giemsa</w:t>
      </w:r>
      <w:r w:rsidRPr="00000D16">
        <w:rPr>
          <w:rFonts w:ascii="Times New Roman" w:hAnsi="宋体"/>
          <w:szCs w:val="21"/>
        </w:rPr>
        <w:t>应用液的染色缸中染色</w:t>
      </w:r>
      <w:r w:rsidRPr="00000D16">
        <w:rPr>
          <w:rFonts w:ascii="Times New Roman"/>
          <w:szCs w:val="21"/>
        </w:rPr>
        <w:t>15</w:t>
      </w:r>
      <w:r w:rsidRPr="00000D16">
        <w:rPr>
          <w:rFonts w:ascii="Times New Roman" w:hAnsi="宋体"/>
          <w:szCs w:val="21"/>
        </w:rPr>
        <w:t>～</w:t>
      </w:r>
      <w:r w:rsidRPr="00000D16">
        <w:rPr>
          <w:rFonts w:ascii="Times New Roman"/>
          <w:szCs w:val="21"/>
        </w:rPr>
        <w:t>20min</w:t>
      </w:r>
      <w:r w:rsidRPr="00000D16">
        <w:rPr>
          <w:rFonts w:ascii="Times New Roman" w:hAnsi="宋体"/>
          <w:szCs w:val="21"/>
        </w:rPr>
        <w:t>左右，取出用蒸馏水洗去染液，放空气中自然干燥，待检。</w:t>
      </w:r>
    </w:p>
    <w:p w:rsidR="00B40DAE" w:rsidRPr="00000D16" w:rsidRDefault="00B40DAE" w:rsidP="00B40DAE">
      <w:pPr>
        <w:pStyle w:val="a9"/>
        <w:numPr>
          <w:ilvl w:val="0"/>
          <w:numId w:val="0"/>
        </w:numPr>
        <w:spacing w:line="360" w:lineRule="auto"/>
        <w:ind w:firstLineChars="200" w:firstLine="420"/>
        <w:outlineLvl w:val="9"/>
        <w:rPr>
          <w:szCs w:val="21"/>
        </w:rPr>
      </w:pPr>
      <w:r w:rsidRPr="00000D16">
        <w:rPr>
          <w:szCs w:val="21"/>
        </w:rPr>
        <w:t>6.</w:t>
      </w:r>
      <w:r w:rsidRPr="00000D16">
        <w:rPr>
          <w:szCs w:val="21"/>
        </w:rPr>
        <w:t>阅片</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lastRenderedPageBreak/>
        <w:t>在低倍镜下选择分散良好、未破裂的中期分裂相细胞，观察并记录染色体结构异常和数目异常细胞（染色体结构异常和数目异常种类及特征描述见</w:t>
      </w:r>
      <w:r w:rsidRPr="00000D16">
        <w:rPr>
          <w:rFonts w:ascii="Times New Roman"/>
          <w:szCs w:val="21"/>
        </w:rPr>
        <w:t>7</w:t>
      </w:r>
      <w:r w:rsidRPr="00000D16">
        <w:rPr>
          <w:rFonts w:ascii="Times New Roman" w:hAnsi="宋体"/>
          <w:szCs w:val="21"/>
        </w:rPr>
        <w:t>附录）。每只动物观察</w:t>
      </w:r>
      <w:r w:rsidRPr="00000D16">
        <w:rPr>
          <w:rFonts w:ascii="Times New Roman"/>
          <w:szCs w:val="21"/>
        </w:rPr>
        <w:t>100</w:t>
      </w:r>
      <w:r w:rsidRPr="00000D16">
        <w:rPr>
          <w:rFonts w:ascii="Times New Roman" w:hAnsi="宋体"/>
          <w:szCs w:val="21"/>
        </w:rPr>
        <w:t>个中期分裂相细胞，每个剂量组（包括雌、雄动物）不少于</w:t>
      </w:r>
      <w:r w:rsidRPr="00000D16">
        <w:rPr>
          <w:rFonts w:ascii="Times New Roman"/>
          <w:szCs w:val="21"/>
        </w:rPr>
        <w:t>1000</w:t>
      </w:r>
      <w:r w:rsidRPr="00000D16">
        <w:rPr>
          <w:rFonts w:ascii="Times New Roman" w:hAnsi="宋体"/>
          <w:szCs w:val="21"/>
        </w:rPr>
        <w:t>个中期相细胞。</w:t>
      </w:r>
    </w:p>
    <w:p w:rsidR="00B40DAE" w:rsidRPr="001F33C7" w:rsidRDefault="00B40DAE" w:rsidP="00B40DAE">
      <w:pPr>
        <w:pStyle w:val="af2"/>
        <w:spacing w:line="360" w:lineRule="auto"/>
        <w:ind w:firstLineChars="0" w:firstLine="0"/>
        <w:outlineLvl w:val="3"/>
        <w:rPr>
          <w:rFonts w:ascii="Times New Roman" w:eastAsia="黑体"/>
          <w:sz w:val="28"/>
          <w:szCs w:val="28"/>
        </w:rPr>
      </w:pPr>
      <w:r w:rsidRPr="001F33C7">
        <w:rPr>
          <w:rFonts w:ascii="Times New Roman" w:eastAsia="黑体"/>
          <w:sz w:val="28"/>
          <w:szCs w:val="28"/>
        </w:rPr>
        <w:t>（三）数据整理与分析</w:t>
      </w:r>
    </w:p>
    <w:p w:rsidR="00B40DAE" w:rsidRPr="00000D16" w:rsidRDefault="00B40DAE" w:rsidP="00B40DAE">
      <w:pPr>
        <w:pStyle w:val="a9"/>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hAnsi="宋体"/>
          <w:szCs w:val="21"/>
        </w:rPr>
        <w:t>分别统计雌、雄小鼠各试验组的中期相细胞检查数、染色体畸变细胞数，按下列公式计算各组的畸变细胞率。将数据列入下表：</w:t>
      </w:r>
    </w:p>
    <w:p w:rsidR="00B40DAE" w:rsidRPr="00000D16" w:rsidRDefault="00B40DAE" w:rsidP="00B40DAE">
      <w:pPr>
        <w:pStyle w:val="af2"/>
        <w:spacing w:line="360" w:lineRule="auto"/>
        <w:ind w:firstLine="420"/>
        <w:rPr>
          <w:rFonts w:ascii="Times New Roman"/>
          <w:szCs w:val="21"/>
        </w:rPr>
      </w:pPr>
      <w:r w:rsidRPr="00000D16">
        <w:rPr>
          <w:rFonts w:ascii="Times New Roman" w:hAnsi="宋体"/>
          <w:szCs w:val="21"/>
        </w:rPr>
        <w:t>染色体畸变细胞率＝</w:t>
      </w:r>
      <w:r w:rsidRPr="00000D16">
        <w:rPr>
          <w:rFonts w:ascii="Times New Roman"/>
          <w:position w:val="-26"/>
          <w:szCs w:val="21"/>
        </w:rPr>
        <w:object w:dxaOrig="20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1pt;height:33pt" o:ole="">
            <v:imagedata r:id="rId5" o:title=""/>
          </v:shape>
          <o:OLEObject Type="Embed" ProgID="Equation.3" ShapeID="_x0000_i1050" DrawAspect="Content" ObjectID="_1772286276" r:id="rId6"/>
        </w:object>
      </w:r>
      <w:r w:rsidRPr="00000D16">
        <w:rPr>
          <w:rFonts w:ascii="Times New Roman"/>
          <w:szCs w:val="21"/>
        </w:rPr>
        <w:t>×100%</w:t>
      </w:r>
    </w:p>
    <w:tbl>
      <w:tblPr>
        <w:tblW w:w="8012"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875"/>
        <w:gridCol w:w="1714"/>
        <w:gridCol w:w="1689"/>
        <w:gridCol w:w="773"/>
        <w:gridCol w:w="1260"/>
      </w:tblGrid>
      <w:tr w:rsidR="00B40DAE" w:rsidRPr="00000D16" w:rsidTr="00752DA2">
        <w:tblPrEx>
          <w:tblCellMar>
            <w:top w:w="0" w:type="dxa"/>
            <w:bottom w:w="0" w:type="dxa"/>
          </w:tblCellMar>
        </w:tblPrEx>
        <w:tc>
          <w:tcPr>
            <w:tcW w:w="1701" w:type="dxa"/>
            <w:vAlign w:val="center"/>
          </w:tcPr>
          <w:p w:rsidR="00B40DAE" w:rsidRPr="00000D16" w:rsidRDefault="00B40DAE" w:rsidP="00752DA2">
            <w:pPr>
              <w:spacing w:line="360" w:lineRule="auto"/>
              <w:jc w:val="center"/>
              <w:rPr>
                <w:szCs w:val="21"/>
              </w:rPr>
            </w:pPr>
            <w:r w:rsidRPr="00000D16">
              <w:rPr>
                <w:rFonts w:hAnsi="宋体"/>
                <w:szCs w:val="21"/>
              </w:rPr>
              <w:t>组别</w:t>
            </w:r>
          </w:p>
        </w:tc>
        <w:tc>
          <w:tcPr>
            <w:tcW w:w="875" w:type="dxa"/>
            <w:vAlign w:val="center"/>
          </w:tcPr>
          <w:p w:rsidR="00B40DAE" w:rsidRPr="00000D16" w:rsidRDefault="00B40DAE" w:rsidP="00752DA2">
            <w:pPr>
              <w:spacing w:line="360" w:lineRule="auto"/>
              <w:jc w:val="center"/>
              <w:rPr>
                <w:szCs w:val="21"/>
              </w:rPr>
            </w:pPr>
            <w:r w:rsidRPr="00000D16">
              <w:rPr>
                <w:rFonts w:hAnsi="宋体"/>
                <w:szCs w:val="21"/>
              </w:rPr>
              <w:t>动物数</w:t>
            </w:r>
          </w:p>
        </w:tc>
        <w:tc>
          <w:tcPr>
            <w:tcW w:w="1714" w:type="dxa"/>
            <w:vAlign w:val="center"/>
          </w:tcPr>
          <w:p w:rsidR="00B40DAE" w:rsidRPr="00000D16" w:rsidRDefault="00B40DAE" w:rsidP="00752DA2">
            <w:pPr>
              <w:spacing w:line="360" w:lineRule="auto"/>
              <w:jc w:val="center"/>
              <w:rPr>
                <w:szCs w:val="21"/>
              </w:rPr>
            </w:pPr>
            <w:r w:rsidRPr="00000D16">
              <w:rPr>
                <w:rFonts w:hAnsi="宋体"/>
                <w:szCs w:val="21"/>
              </w:rPr>
              <w:t>中期相细胞检查数</w:t>
            </w:r>
          </w:p>
        </w:tc>
        <w:tc>
          <w:tcPr>
            <w:tcW w:w="1689" w:type="dxa"/>
            <w:vAlign w:val="center"/>
          </w:tcPr>
          <w:p w:rsidR="00B40DAE" w:rsidRPr="00000D16" w:rsidRDefault="00B40DAE" w:rsidP="00752DA2">
            <w:pPr>
              <w:spacing w:line="360" w:lineRule="auto"/>
              <w:jc w:val="center"/>
              <w:rPr>
                <w:szCs w:val="21"/>
              </w:rPr>
            </w:pPr>
            <w:r w:rsidRPr="00000D16">
              <w:rPr>
                <w:rFonts w:hAnsi="宋体"/>
                <w:szCs w:val="21"/>
              </w:rPr>
              <w:t>染色体畸变细胞数</w:t>
            </w:r>
          </w:p>
        </w:tc>
        <w:tc>
          <w:tcPr>
            <w:tcW w:w="773" w:type="dxa"/>
            <w:vAlign w:val="center"/>
          </w:tcPr>
          <w:p w:rsidR="00B40DAE" w:rsidRPr="00000D16" w:rsidRDefault="00B40DAE" w:rsidP="00752DA2">
            <w:pPr>
              <w:spacing w:line="360" w:lineRule="auto"/>
              <w:ind w:left="2" w:hangingChars="1" w:hanging="2"/>
              <w:jc w:val="center"/>
              <w:rPr>
                <w:szCs w:val="21"/>
              </w:rPr>
            </w:pPr>
            <w:r w:rsidRPr="00000D16">
              <w:rPr>
                <w:rFonts w:hAnsi="宋体"/>
                <w:szCs w:val="21"/>
              </w:rPr>
              <w:t>畸变率</w:t>
            </w:r>
          </w:p>
        </w:tc>
        <w:tc>
          <w:tcPr>
            <w:tcW w:w="1260" w:type="dxa"/>
            <w:vAlign w:val="center"/>
          </w:tcPr>
          <w:p w:rsidR="00B40DAE" w:rsidRPr="00000D16" w:rsidRDefault="00B40DAE" w:rsidP="00752DA2">
            <w:pPr>
              <w:spacing w:line="360" w:lineRule="auto"/>
              <w:ind w:left="2" w:hangingChars="1" w:hanging="2"/>
              <w:jc w:val="center"/>
              <w:rPr>
                <w:szCs w:val="21"/>
              </w:rPr>
            </w:pPr>
            <w:r w:rsidRPr="00000D16">
              <w:rPr>
                <w:rFonts w:hAnsi="宋体"/>
                <w:szCs w:val="21"/>
              </w:rPr>
              <w:t>差异显著性</w:t>
            </w:r>
          </w:p>
        </w:tc>
      </w:tr>
      <w:tr w:rsidR="00B40DAE" w:rsidRPr="00000D16" w:rsidTr="00752DA2">
        <w:tblPrEx>
          <w:tblCellMar>
            <w:top w:w="0" w:type="dxa"/>
            <w:bottom w:w="0" w:type="dxa"/>
          </w:tblCellMar>
        </w:tblPrEx>
        <w:tc>
          <w:tcPr>
            <w:tcW w:w="1701" w:type="dxa"/>
            <w:vAlign w:val="center"/>
          </w:tcPr>
          <w:p w:rsidR="00B40DAE" w:rsidRPr="00000D16" w:rsidRDefault="00B40DAE" w:rsidP="00752DA2">
            <w:pPr>
              <w:spacing w:line="360" w:lineRule="auto"/>
              <w:jc w:val="center"/>
              <w:rPr>
                <w:szCs w:val="21"/>
              </w:rPr>
            </w:pPr>
          </w:p>
        </w:tc>
        <w:tc>
          <w:tcPr>
            <w:tcW w:w="875" w:type="dxa"/>
            <w:vAlign w:val="center"/>
          </w:tcPr>
          <w:p w:rsidR="00B40DAE" w:rsidRPr="00000D16" w:rsidRDefault="00B40DAE" w:rsidP="00752DA2">
            <w:pPr>
              <w:spacing w:line="360" w:lineRule="auto"/>
              <w:jc w:val="center"/>
              <w:rPr>
                <w:szCs w:val="21"/>
              </w:rPr>
            </w:pPr>
          </w:p>
        </w:tc>
        <w:tc>
          <w:tcPr>
            <w:tcW w:w="1714" w:type="dxa"/>
            <w:vAlign w:val="center"/>
          </w:tcPr>
          <w:p w:rsidR="00B40DAE" w:rsidRPr="00000D16" w:rsidRDefault="00B40DAE" w:rsidP="00752DA2">
            <w:pPr>
              <w:spacing w:line="360" w:lineRule="auto"/>
              <w:jc w:val="center"/>
              <w:rPr>
                <w:szCs w:val="21"/>
              </w:rPr>
            </w:pPr>
          </w:p>
        </w:tc>
        <w:tc>
          <w:tcPr>
            <w:tcW w:w="1689" w:type="dxa"/>
            <w:vAlign w:val="center"/>
          </w:tcPr>
          <w:p w:rsidR="00B40DAE" w:rsidRPr="00000D16" w:rsidRDefault="00B40DAE" w:rsidP="00752DA2">
            <w:pPr>
              <w:spacing w:line="360" w:lineRule="auto"/>
              <w:jc w:val="center"/>
              <w:rPr>
                <w:szCs w:val="21"/>
              </w:rPr>
            </w:pPr>
          </w:p>
        </w:tc>
        <w:tc>
          <w:tcPr>
            <w:tcW w:w="773" w:type="dxa"/>
            <w:vAlign w:val="center"/>
          </w:tcPr>
          <w:p w:rsidR="00B40DAE" w:rsidRPr="00000D16" w:rsidRDefault="00B40DAE" w:rsidP="00752DA2">
            <w:pPr>
              <w:spacing w:line="360" w:lineRule="auto"/>
              <w:jc w:val="center"/>
              <w:rPr>
                <w:szCs w:val="21"/>
              </w:rPr>
            </w:pPr>
          </w:p>
        </w:tc>
        <w:tc>
          <w:tcPr>
            <w:tcW w:w="1260" w:type="dxa"/>
            <w:vAlign w:val="center"/>
          </w:tcPr>
          <w:p w:rsidR="00B40DAE" w:rsidRPr="00000D16" w:rsidRDefault="00B40DAE" w:rsidP="00752DA2">
            <w:pPr>
              <w:spacing w:line="360" w:lineRule="auto"/>
              <w:jc w:val="center"/>
              <w:rPr>
                <w:szCs w:val="21"/>
              </w:rPr>
            </w:pPr>
          </w:p>
        </w:tc>
      </w:tr>
      <w:tr w:rsidR="00B40DAE" w:rsidRPr="00000D16" w:rsidTr="00752DA2">
        <w:tblPrEx>
          <w:tblCellMar>
            <w:top w:w="0" w:type="dxa"/>
            <w:bottom w:w="0" w:type="dxa"/>
          </w:tblCellMar>
        </w:tblPrEx>
        <w:tc>
          <w:tcPr>
            <w:tcW w:w="1701" w:type="dxa"/>
            <w:vAlign w:val="center"/>
          </w:tcPr>
          <w:p w:rsidR="00B40DAE" w:rsidRPr="00000D16" w:rsidRDefault="00B40DAE" w:rsidP="00752DA2">
            <w:pPr>
              <w:spacing w:line="360" w:lineRule="auto"/>
              <w:jc w:val="center"/>
              <w:rPr>
                <w:szCs w:val="21"/>
              </w:rPr>
            </w:pPr>
          </w:p>
        </w:tc>
        <w:tc>
          <w:tcPr>
            <w:tcW w:w="875" w:type="dxa"/>
            <w:vAlign w:val="center"/>
          </w:tcPr>
          <w:p w:rsidR="00B40DAE" w:rsidRPr="00000D16" w:rsidRDefault="00B40DAE" w:rsidP="00752DA2">
            <w:pPr>
              <w:spacing w:line="360" w:lineRule="auto"/>
              <w:jc w:val="center"/>
              <w:rPr>
                <w:szCs w:val="21"/>
              </w:rPr>
            </w:pPr>
          </w:p>
        </w:tc>
        <w:tc>
          <w:tcPr>
            <w:tcW w:w="1714" w:type="dxa"/>
            <w:vAlign w:val="center"/>
          </w:tcPr>
          <w:p w:rsidR="00B40DAE" w:rsidRPr="00000D16" w:rsidRDefault="00B40DAE" w:rsidP="00752DA2">
            <w:pPr>
              <w:spacing w:line="360" w:lineRule="auto"/>
              <w:jc w:val="center"/>
              <w:rPr>
                <w:szCs w:val="21"/>
              </w:rPr>
            </w:pPr>
          </w:p>
        </w:tc>
        <w:tc>
          <w:tcPr>
            <w:tcW w:w="1689" w:type="dxa"/>
            <w:vAlign w:val="center"/>
          </w:tcPr>
          <w:p w:rsidR="00B40DAE" w:rsidRPr="00000D16" w:rsidRDefault="00B40DAE" w:rsidP="00752DA2">
            <w:pPr>
              <w:spacing w:line="360" w:lineRule="auto"/>
              <w:jc w:val="center"/>
              <w:rPr>
                <w:szCs w:val="21"/>
              </w:rPr>
            </w:pPr>
          </w:p>
        </w:tc>
        <w:tc>
          <w:tcPr>
            <w:tcW w:w="773" w:type="dxa"/>
            <w:vAlign w:val="center"/>
          </w:tcPr>
          <w:p w:rsidR="00B40DAE" w:rsidRPr="00000D16" w:rsidRDefault="00B40DAE" w:rsidP="00752DA2">
            <w:pPr>
              <w:spacing w:line="360" w:lineRule="auto"/>
              <w:jc w:val="center"/>
              <w:rPr>
                <w:szCs w:val="21"/>
              </w:rPr>
            </w:pPr>
          </w:p>
        </w:tc>
        <w:tc>
          <w:tcPr>
            <w:tcW w:w="1260" w:type="dxa"/>
            <w:vAlign w:val="center"/>
          </w:tcPr>
          <w:p w:rsidR="00B40DAE" w:rsidRPr="00000D16" w:rsidRDefault="00B40DAE" w:rsidP="00752DA2">
            <w:pPr>
              <w:spacing w:line="360" w:lineRule="auto"/>
              <w:jc w:val="center"/>
              <w:rPr>
                <w:szCs w:val="21"/>
              </w:rPr>
            </w:pPr>
          </w:p>
        </w:tc>
      </w:tr>
      <w:tr w:rsidR="00B40DAE" w:rsidRPr="00000D16" w:rsidTr="00752DA2">
        <w:tblPrEx>
          <w:tblCellMar>
            <w:top w:w="0" w:type="dxa"/>
            <w:bottom w:w="0" w:type="dxa"/>
          </w:tblCellMar>
        </w:tblPrEx>
        <w:tc>
          <w:tcPr>
            <w:tcW w:w="1701" w:type="dxa"/>
            <w:vAlign w:val="center"/>
          </w:tcPr>
          <w:p w:rsidR="00B40DAE" w:rsidRPr="00000D16" w:rsidRDefault="00B40DAE" w:rsidP="00752DA2">
            <w:pPr>
              <w:spacing w:line="360" w:lineRule="auto"/>
              <w:jc w:val="center"/>
              <w:rPr>
                <w:szCs w:val="21"/>
              </w:rPr>
            </w:pPr>
          </w:p>
        </w:tc>
        <w:tc>
          <w:tcPr>
            <w:tcW w:w="875" w:type="dxa"/>
            <w:vAlign w:val="center"/>
          </w:tcPr>
          <w:p w:rsidR="00B40DAE" w:rsidRPr="00000D16" w:rsidRDefault="00B40DAE" w:rsidP="00752DA2">
            <w:pPr>
              <w:spacing w:line="360" w:lineRule="auto"/>
              <w:jc w:val="center"/>
              <w:rPr>
                <w:szCs w:val="21"/>
              </w:rPr>
            </w:pPr>
          </w:p>
        </w:tc>
        <w:tc>
          <w:tcPr>
            <w:tcW w:w="1714" w:type="dxa"/>
            <w:vAlign w:val="center"/>
          </w:tcPr>
          <w:p w:rsidR="00B40DAE" w:rsidRPr="00000D16" w:rsidRDefault="00B40DAE" w:rsidP="00752DA2">
            <w:pPr>
              <w:spacing w:line="360" w:lineRule="auto"/>
              <w:jc w:val="center"/>
              <w:rPr>
                <w:szCs w:val="21"/>
              </w:rPr>
            </w:pPr>
          </w:p>
        </w:tc>
        <w:tc>
          <w:tcPr>
            <w:tcW w:w="1689" w:type="dxa"/>
            <w:vAlign w:val="center"/>
          </w:tcPr>
          <w:p w:rsidR="00B40DAE" w:rsidRPr="00000D16" w:rsidRDefault="00B40DAE" w:rsidP="00752DA2">
            <w:pPr>
              <w:spacing w:line="360" w:lineRule="auto"/>
              <w:jc w:val="center"/>
              <w:rPr>
                <w:szCs w:val="21"/>
              </w:rPr>
            </w:pPr>
          </w:p>
        </w:tc>
        <w:tc>
          <w:tcPr>
            <w:tcW w:w="773" w:type="dxa"/>
            <w:vAlign w:val="center"/>
          </w:tcPr>
          <w:p w:rsidR="00B40DAE" w:rsidRPr="00000D16" w:rsidRDefault="00B40DAE" w:rsidP="00752DA2">
            <w:pPr>
              <w:spacing w:line="360" w:lineRule="auto"/>
              <w:jc w:val="center"/>
              <w:rPr>
                <w:szCs w:val="21"/>
              </w:rPr>
            </w:pPr>
          </w:p>
        </w:tc>
        <w:tc>
          <w:tcPr>
            <w:tcW w:w="1260" w:type="dxa"/>
            <w:vAlign w:val="center"/>
          </w:tcPr>
          <w:p w:rsidR="00B40DAE" w:rsidRPr="00000D16" w:rsidRDefault="00B40DAE" w:rsidP="00752DA2">
            <w:pPr>
              <w:spacing w:line="360" w:lineRule="auto"/>
              <w:jc w:val="center"/>
              <w:rPr>
                <w:szCs w:val="21"/>
              </w:rPr>
            </w:pPr>
          </w:p>
        </w:tc>
      </w:tr>
      <w:tr w:rsidR="00B40DAE" w:rsidRPr="00000D16" w:rsidTr="00752DA2">
        <w:tblPrEx>
          <w:tblCellMar>
            <w:top w:w="0" w:type="dxa"/>
            <w:bottom w:w="0" w:type="dxa"/>
          </w:tblCellMar>
        </w:tblPrEx>
        <w:tc>
          <w:tcPr>
            <w:tcW w:w="1701" w:type="dxa"/>
            <w:vAlign w:val="center"/>
          </w:tcPr>
          <w:p w:rsidR="00B40DAE" w:rsidRPr="00000D16" w:rsidRDefault="00B40DAE" w:rsidP="00752DA2">
            <w:pPr>
              <w:spacing w:line="360" w:lineRule="auto"/>
              <w:jc w:val="center"/>
              <w:rPr>
                <w:szCs w:val="21"/>
              </w:rPr>
            </w:pPr>
            <w:r w:rsidRPr="00000D16">
              <w:rPr>
                <w:rFonts w:hAnsi="宋体"/>
                <w:szCs w:val="21"/>
              </w:rPr>
              <w:t>阴性（溶剂）对照</w:t>
            </w:r>
          </w:p>
        </w:tc>
        <w:tc>
          <w:tcPr>
            <w:tcW w:w="875" w:type="dxa"/>
            <w:vAlign w:val="center"/>
          </w:tcPr>
          <w:p w:rsidR="00B40DAE" w:rsidRPr="00000D16" w:rsidRDefault="00B40DAE" w:rsidP="00752DA2">
            <w:pPr>
              <w:spacing w:line="360" w:lineRule="auto"/>
              <w:jc w:val="center"/>
              <w:rPr>
                <w:szCs w:val="21"/>
              </w:rPr>
            </w:pPr>
          </w:p>
        </w:tc>
        <w:tc>
          <w:tcPr>
            <w:tcW w:w="1714" w:type="dxa"/>
            <w:vAlign w:val="center"/>
          </w:tcPr>
          <w:p w:rsidR="00B40DAE" w:rsidRPr="00000D16" w:rsidRDefault="00B40DAE" w:rsidP="00752DA2">
            <w:pPr>
              <w:spacing w:line="360" w:lineRule="auto"/>
              <w:jc w:val="center"/>
              <w:rPr>
                <w:szCs w:val="21"/>
              </w:rPr>
            </w:pPr>
          </w:p>
        </w:tc>
        <w:tc>
          <w:tcPr>
            <w:tcW w:w="1689" w:type="dxa"/>
            <w:vAlign w:val="center"/>
          </w:tcPr>
          <w:p w:rsidR="00B40DAE" w:rsidRPr="00000D16" w:rsidRDefault="00B40DAE" w:rsidP="00752DA2">
            <w:pPr>
              <w:spacing w:line="360" w:lineRule="auto"/>
              <w:jc w:val="center"/>
              <w:rPr>
                <w:szCs w:val="21"/>
              </w:rPr>
            </w:pPr>
          </w:p>
        </w:tc>
        <w:tc>
          <w:tcPr>
            <w:tcW w:w="773" w:type="dxa"/>
            <w:vAlign w:val="center"/>
          </w:tcPr>
          <w:p w:rsidR="00B40DAE" w:rsidRPr="00000D16" w:rsidRDefault="00B40DAE" w:rsidP="00752DA2">
            <w:pPr>
              <w:spacing w:line="360" w:lineRule="auto"/>
              <w:jc w:val="center"/>
              <w:rPr>
                <w:szCs w:val="21"/>
              </w:rPr>
            </w:pPr>
          </w:p>
        </w:tc>
        <w:tc>
          <w:tcPr>
            <w:tcW w:w="1260" w:type="dxa"/>
            <w:vAlign w:val="center"/>
          </w:tcPr>
          <w:p w:rsidR="00B40DAE" w:rsidRPr="00000D16" w:rsidRDefault="00B40DAE" w:rsidP="00752DA2">
            <w:pPr>
              <w:spacing w:line="360" w:lineRule="auto"/>
              <w:jc w:val="center"/>
              <w:rPr>
                <w:szCs w:val="21"/>
              </w:rPr>
            </w:pPr>
          </w:p>
        </w:tc>
      </w:tr>
      <w:tr w:rsidR="00B40DAE" w:rsidRPr="00000D16" w:rsidTr="00752DA2">
        <w:tblPrEx>
          <w:tblCellMar>
            <w:top w:w="0" w:type="dxa"/>
            <w:bottom w:w="0" w:type="dxa"/>
          </w:tblCellMar>
        </w:tblPrEx>
        <w:tc>
          <w:tcPr>
            <w:tcW w:w="1701" w:type="dxa"/>
            <w:vAlign w:val="center"/>
          </w:tcPr>
          <w:p w:rsidR="00B40DAE" w:rsidRPr="00000D16" w:rsidRDefault="00B40DAE" w:rsidP="00752DA2">
            <w:pPr>
              <w:spacing w:line="360" w:lineRule="auto"/>
              <w:jc w:val="center"/>
              <w:rPr>
                <w:szCs w:val="21"/>
              </w:rPr>
            </w:pPr>
            <w:r w:rsidRPr="00000D16">
              <w:rPr>
                <w:rFonts w:hAnsi="宋体"/>
                <w:szCs w:val="21"/>
              </w:rPr>
              <w:t>阳性对照</w:t>
            </w:r>
          </w:p>
        </w:tc>
        <w:tc>
          <w:tcPr>
            <w:tcW w:w="875" w:type="dxa"/>
            <w:vAlign w:val="center"/>
          </w:tcPr>
          <w:p w:rsidR="00B40DAE" w:rsidRPr="00000D16" w:rsidRDefault="00B40DAE" w:rsidP="00752DA2">
            <w:pPr>
              <w:spacing w:line="360" w:lineRule="auto"/>
              <w:jc w:val="center"/>
              <w:rPr>
                <w:szCs w:val="21"/>
              </w:rPr>
            </w:pPr>
          </w:p>
        </w:tc>
        <w:tc>
          <w:tcPr>
            <w:tcW w:w="1714" w:type="dxa"/>
            <w:vAlign w:val="center"/>
          </w:tcPr>
          <w:p w:rsidR="00B40DAE" w:rsidRPr="00000D16" w:rsidRDefault="00B40DAE" w:rsidP="00752DA2">
            <w:pPr>
              <w:spacing w:line="360" w:lineRule="auto"/>
              <w:jc w:val="center"/>
              <w:rPr>
                <w:szCs w:val="21"/>
              </w:rPr>
            </w:pPr>
          </w:p>
        </w:tc>
        <w:tc>
          <w:tcPr>
            <w:tcW w:w="1689" w:type="dxa"/>
            <w:vAlign w:val="center"/>
          </w:tcPr>
          <w:p w:rsidR="00B40DAE" w:rsidRPr="00000D16" w:rsidRDefault="00B40DAE" w:rsidP="00752DA2">
            <w:pPr>
              <w:spacing w:line="360" w:lineRule="auto"/>
              <w:jc w:val="center"/>
              <w:rPr>
                <w:szCs w:val="21"/>
              </w:rPr>
            </w:pPr>
          </w:p>
        </w:tc>
        <w:tc>
          <w:tcPr>
            <w:tcW w:w="773" w:type="dxa"/>
            <w:vAlign w:val="center"/>
          </w:tcPr>
          <w:p w:rsidR="00B40DAE" w:rsidRPr="00000D16" w:rsidRDefault="00B40DAE" w:rsidP="00752DA2">
            <w:pPr>
              <w:spacing w:line="360" w:lineRule="auto"/>
              <w:jc w:val="center"/>
              <w:rPr>
                <w:szCs w:val="21"/>
              </w:rPr>
            </w:pPr>
          </w:p>
        </w:tc>
        <w:tc>
          <w:tcPr>
            <w:tcW w:w="1260" w:type="dxa"/>
            <w:vAlign w:val="center"/>
          </w:tcPr>
          <w:p w:rsidR="00B40DAE" w:rsidRPr="00000D16" w:rsidRDefault="00B40DAE" w:rsidP="00752DA2">
            <w:pPr>
              <w:spacing w:line="360" w:lineRule="auto"/>
              <w:jc w:val="center"/>
              <w:rPr>
                <w:szCs w:val="21"/>
              </w:rPr>
            </w:pPr>
          </w:p>
        </w:tc>
      </w:tr>
    </w:tbl>
    <w:p w:rsidR="00B40DAE" w:rsidRPr="00000D16" w:rsidRDefault="00B40DAE" w:rsidP="00B40DAE">
      <w:pPr>
        <w:pStyle w:val="PlainText"/>
        <w:spacing w:line="360" w:lineRule="auto"/>
        <w:rPr>
          <w:rFonts w:ascii="Times New Roman" w:hAnsi="Times New Roman"/>
          <w:szCs w:val="21"/>
        </w:rPr>
      </w:pPr>
    </w:p>
    <w:p w:rsidR="00B40DAE" w:rsidRPr="00000D16" w:rsidRDefault="00B40DAE" w:rsidP="00B40DAE">
      <w:pPr>
        <w:pStyle w:val="a9"/>
        <w:numPr>
          <w:ilvl w:val="0"/>
          <w:numId w:val="0"/>
        </w:numPr>
        <w:spacing w:line="360" w:lineRule="auto"/>
        <w:ind w:firstLineChars="200" w:firstLine="420"/>
        <w:outlineLvl w:val="9"/>
        <w:rPr>
          <w:rFonts w:eastAsia="宋体"/>
          <w:szCs w:val="21"/>
        </w:rPr>
      </w:pPr>
      <w:r w:rsidRPr="00000D16">
        <w:rPr>
          <w:rFonts w:eastAsia="宋体"/>
          <w:szCs w:val="21"/>
        </w:rPr>
        <w:t>2.</w:t>
      </w:r>
      <w:r w:rsidRPr="00000D16">
        <w:rPr>
          <w:rFonts w:eastAsia="宋体" w:hAnsi="宋体"/>
          <w:szCs w:val="21"/>
        </w:rPr>
        <w:t>利用卡方检验分析阳性对照组以及</w:t>
      </w:r>
      <w:r w:rsidRPr="00000D16">
        <w:rPr>
          <w:rFonts w:eastAsia="宋体"/>
          <w:szCs w:val="21"/>
        </w:rPr>
        <w:t>3</w:t>
      </w:r>
      <w:r w:rsidRPr="00000D16">
        <w:rPr>
          <w:rFonts w:eastAsia="宋体" w:hAnsi="宋体"/>
          <w:szCs w:val="21"/>
        </w:rPr>
        <w:t>个试验组小鼠染色体畸变细胞率与阴性（溶剂）对照组结果的差异显著性。</w:t>
      </w:r>
    </w:p>
    <w:p w:rsidR="00B40DAE" w:rsidRPr="001F33C7" w:rsidRDefault="00B40DAE" w:rsidP="00B40DAE">
      <w:pPr>
        <w:pStyle w:val="af2"/>
        <w:spacing w:line="360" w:lineRule="auto"/>
        <w:ind w:firstLineChars="0" w:firstLine="0"/>
        <w:outlineLvl w:val="3"/>
        <w:rPr>
          <w:rFonts w:ascii="Times New Roman" w:eastAsia="黑体"/>
          <w:sz w:val="28"/>
          <w:szCs w:val="28"/>
        </w:rPr>
      </w:pPr>
      <w:r w:rsidRPr="001F33C7">
        <w:rPr>
          <w:rFonts w:ascii="Times New Roman" w:eastAsia="黑体"/>
          <w:sz w:val="28"/>
          <w:szCs w:val="28"/>
        </w:rPr>
        <w:t>（四）结果评价</w:t>
      </w:r>
    </w:p>
    <w:p w:rsidR="00B40DAE" w:rsidRPr="00000D16" w:rsidRDefault="00B40DAE" w:rsidP="00B40DAE">
      <w:pPr>
        <w:pStyle w:val="a9"/>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hAnsi="宋体"/>
          <w:szCs w:val="21"/>
        </w:rPr>
        <w:t>阴性对照组和阳性对照组小鼠染色体畸变细胞率应与试验所用阳性物、动物种属品系的文献报道或者与本实验室的历史数据相一致。</w:t>
      </w:r>
    </w:p>
    <w:p w:rsidR="00B40DAE" w:rsidRPr="00000D16" w:rsidRDefault="00B40DAE" w:rsidP="00B40DAE">
      <w:pPr>
        <w:pStyle w:val="a9"/>
        <w:numPr>
          <w:ilvl w:val="0"/>
          <w:numId w:val="0"/>
        </w:numPr>
        <w:spacing w:line="360" w:lineRule="auto"/>
        <w:ind w:firstLineChars="200" w:firstLine="420"/>
        <w:outlineLvl w:val="9"/>
        <w:rPr>
          <w:rFonts w:eastAsia="宋体"/>
          <w:szCs w:val="21"/>
        </w:rPr>
      </w:pPr>
      <w:r w:rsidRPr="00000D16">
        <w:rPr>
          <w:rFonts w:eastAsia="宋体"/>
          <w:szCs w:val="21"/>
        </w:rPr>
        <w:t>2.</w:t>
      </w:r>
      <w:r w:rsidRPr="00000D16">
        <w:rPr>
          <w:rFonts w:eastAsia="宋体" w:hAnsi="宋体"/>
          <w:szCs w:val="21"/>
        </w:rPr>
        <w:t>试验组与对照组相比，如试验组小鼠染色体畸变细胞率与阴性（溶剂）对照组结果比较有显著性差别，并且呈现剂量</w:t>
      </w:r>
      <w:r w:rsidRPr="00000D16">
        <w:rPr>
          <w:rFonts w:eastAsia="宋体"/>
          <w:szCs w:val="21"/>
        </w:rPr>
        <w:t>-</w:t>
      </w:r>
      <w:r w:rsidRPr="00000D16">
        <w:rPr>
          <w:rFonts w:eastAsia="宋体" w:hAnsi="宋体"/>
          <w:szCs w:val="21"/>
        </w:rPr>
        <w:t>反应关系，即可判定受试物小鼠骨髓细胞染色体畸变试验结果阳性；若某一剂量组统计学上有显著性差别，但剂量组之间无剂量</w:t>
      </w:r>
      <w:r w:rsidRPr="00000D16">
        <w:rPr>
          <w:rFonts w:eastAsia="宋体"/>
          <w:szCs w:val="21"/>
        </w:rPr>
        <w:t>-</w:t>
      </w:r>
      <w:r w:rsidRPr="00000D16">
        <w:rPr>
          <w:rFonts w:eastAsia="宋体" w:hAnsi="宋体"/>
          <w:szCs w:val="21"/>
        </w:rPr>
        <w:t>反应关系，则须进行重复试验。若试验结果可重复，则也判断为阳性。</w:t>
      </w:r>
    </w:p>
    <w:p w:rsidR="00B40DAE" w:rsidRPr="001F33C7" w:rsidRDefault="00B40DAE" w:rsidP="00B40DAE">
      <w:pPr>
        <w:pStyle w:val="af2"/>
        <w:spacing w:line="360" w:lineRule="auto"/>
        <w:ind w:firstLineChars="0" w:firstLine="0"/>
        <w:outlineLvl w:val="3"/>
        <w:rPr>
          <w:rFonts w:ascii="Times New Roman" w:eastAsia="黑体"/>
          <w:sz w:val="28"/>
          <w:szCs w:val="28"/>
        </w:rPr>
      </w:pPr>
      <w:r w:rsidRPr="001F33C7">
        <w:rPr>
          <w:rFonts w:ascii="Times New Roman" w:eastAsia="黑体"/>
          <w:sz w:val="28"/>
          <w:szCs w:val="28"/>
        </w:rPr>
        <w:t>（五）注意事项</w:t>
      </w:r>
    </w:p>
    <w:p w:rsidR="00B40DAE" w:rsidRPr="00000D16" w:rsidRDefault="00B40DAE" w:rsidP="00B40DAE">
      <w:pPr>
        <w:pStyle w:val="a9"/>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hAnsi="宋体"/>
          <w:szCs w:val="21"/>
        </w:rPr>
        <w:t>除特别注明外，试验用水为蒸馏水，试剂为分析纯试剂，动物为</w:t>
      </w:r>
      <w:r w:rsidRPr="00000D16">
        <w:rPr>
          <w:rFonts w:eastAsia="宋体"/>
          <w:szCs w:val="21"/>
        </w:rPr>
        <w:t>SPF</w:t>
      </w:r>
      <w:r w:rsidRPr="00000D16">
        <w:rPr>
          <w:rFonts w:eastAsia="宋体" w:hAnsi="宋体"/>
          <w:szCs w:val="21"/>
        </w:rPr>
        <w:t>实验动物。</w:t>
      </w:r>
    </w:p>
    <w:p w:rsidR="00B40DAE" w:rsidRPr="00000D16" w:rsidRDefault="00B40DAE" w:rsidP="00B40DAE">
      <w:pPr>
        <w:pStyle w:val="a9"/>
        <w:numPr>
          <w:ilvl w:val="0"/>
          <w:numId w:val="0"/>
        </w:numPr>
        <w:spacing w:line="360" w:lineRule="auto"/>
        <w:ind w:firstLineChars="200" w:firstLine="420"/>
        <w:outlineLvl w:val="9"/>
        <w:rPr>
          <w:rFonts w:eastAsia="宋体"/>
          <w:szCs w:val="21"/>
        </w:rPr>
      </w:pPr>
      <w:r w:rsidRPr="00000D16">
        <w:rPr>
          <w:rFonts w:eastAsia="宋体"/>
          <w:szCs w:val="21"/>
        </w:rPr>
        <w:t>2.</w:t>
      </w:r>
      <w:r w:rsidRPr="00000D16">
        <w:rPr>
          <w:rFonts w:eastAsia="宋体" w:hAnsi="宋体"/>
          <w:szCs w:val="21"/>
        </w:rPr>
        <w:t>实验动物饲养环境要求达到</w:t>
      </w:r>
      <w:r w:rsidRPr="00000D16">
        <w:rPr>
          <w:rFonts w:eastAsia="宋体"/>
          <w:szCs w:val="21"/>
        </w:rPr>
        <w:t>SPF</w:t>
      </w:r>
      <w:r w:rsidRPr="00000D16">
        <w:rPr>
          <w:rFonts w:eastAsia="宋体" w:hAnsi="宋体"/>
          <w:szCs w:val="21"/>
        </w:rPr>
        <w:t>级。</w:t>
      </w:r>
    </w:p>
    <w:p w:rsidR="00B40DAE" w:rsidRPr="00000D16" w:rsidRDefault="00B40DAE" w:rsidP="00B40DAE">
      <w:pPr>
        <w:pStyle w:val="af2"/>
        <w:spacing w:line="360" w:lineRule="auto"/>
        <w:ind w:firstLine="420"/>
        <w:rPr>
          <w:rFonts w:ascii="Times New Roman"/>
          <w:szCs w:val="21"/>
        </w:rPr>
      </w:pPr>
      <w:r w:rsidRPr="00000D16">
        <w:rPr>
          <w:rFonts w:ascii="Times New Roman"/>
          <w:szCs w:val="21"/>
        </w:rPr>
        <w:t>3.</w:t>
      </w:r>
      <w:r w:rsidRPr="00000D16">
        <w:rPr>
          <w:rFonts w:ascii="Times New Roman" w:hAnsi="宋体"/>
          <w:szCs w:val="21"/>
        </w:rPr>
        <w:t>低渗是本试验的关键，控制好低渗时间，以便做出分散良好的染色体标本，确保试验结果的准确性。</w:t>
      </w:r>
    </w:p>
    <w:p w:rsidR="00B40DAE" w:rsidRPr="00182270" w:rsidRDefault="00B40DAE" w:rsidP="00B40DAE">
      <w:pPr>
        <w:spacing w:line="360" w:lineRule="auto"/>
        <w:jc w:val="center"/>
        <w:outlineLvl w:val="2"/>
        <w:rPr>
          <w:rFonts w:eastAsia="黑体"/>
          <w:bCs/>
          <w:sz w:val="30"/>
          <w:szCs w:val="30"/>
        </w:rPr>
      </w:pPr>
      <w:r w:rsidRPr="00182270">
        <w:rPr>
          <w:rFonts w:eastAsia="黑体"/>
          <w:bCs/>
          <w:sz w:val="30"/>
          <w:szCs w:val="30"/>
        </w:rPr>
        <w:t>三、试验报告</w:t>
      </w:r>
    </w:p>
    <w:p w:rsidR="00B40DAE" w:rsidRPr="00000D16" w:rsidRDefault="00B40DAE" w:rsidP="00B40DAE">
      <w:pPr>
        <w:pStyle w:val="af0"/>
        <w:spacing w:line="360" w:lineRule="auto"/>
        <w:ind w:firstLineChars="200" w:firstLine="420"/>
        <w:rPr>
          <w:rFonts w:ascii="Times New Roman" w:hAnsi="Times New Roman"/>
        </w:rPr>
      </w:pPr>
      <w:r w:rsidRPr="00000D16">
        <w:rPr>
          <w:rFonts w:ascii="Times New Roman" w:hAnsi="Times New Roman"/>
        </w:rPr>
        <w:t>为公正、科学地评价药物的</w:t>
      </w:r>
      <w:r w:rsidRPr="00000D16">
        <w:rPr>
          <w:rFonts w:ascii="Times New Roman" w:hAnsi="Times New Roman" w:hint="eastAsia"/>
        </w:rPr>
        <w:t>特殊</w:t>
      </w:r>
      <w:r w:rsidRPr="00000D16">
        <w:rPr>
          <w:rFonts w:ascii="Times New Roman" w:hAnsi="Times New Roman"/>
        </w:rPr>
        <w:t>毒性，对试验报告内容做如下要求：</w:t>
      </w:r>
    </w:p>
    <w:p w:rsidR="00B40DAE" w:rsidRPr="00000D16" w:rsidRDefault="00B40DAE" w:rsidP="00B40DAE">
      <w:pPr>
        <w:pStyle w:val="af0"/>
        <w:spacing w:line="360" w:lineRule="auto"/>
        <w:ind w:firstLineChars="200" w:firstLine="420"/>
        <w:rPr>
          <w:rFonts w:ascii="Times New Roman" w:hAnsi="Times New Roman"/>
        </w:rPr>
      </w:pPr>
      <w:r w:rsidRPr="00000D16">
        <w:rPr>
          <w:rFonts w:ascii="Times New Roman" w:hAnsi="Times New Roman"/>
        </w:rPr>
        <w:lastRenderedPageBreak/>
        <w:t>1.</w:t>
      </w:r>
      <w:r w:rsidRPr="00000D16">
        <w:rPr>
          <w:rFonts w:ascii="Times New Roman" w:hAnsi="Times New Roman"/>
        </w:rPr>
        <w:t>试验目的。</w:t>
      </w:r>
    </w:p>
    <w:p w:rsidR="00B40DAE" w:rsidRPr="00000D16" w:rsidRDefault="00B40DAE" w:rsidP="00B40DAE">
      <w:pPr>
        <w:pStyle w:val="af0"/>
        <w:spacing w:line="360" w:lineRule="auto"/>
        <w:ind w:firstLineChars="200" w:firstLine="420"/>
        <w:rPr>
          <w:rFonts w:ascii="Times New Roman" w:hAnsi="Times New Roman"/>
        </w:rPr>
      </w:pPr>
      <w:r w:rsidRPr="00000D16">
        <w:rPr>
          <w:rFonts w:ascii="Times New Roman" w:hAnsi="Times New Roman"/>
        </w:rPr>
        <w:t>2.</w:t>
      </w:r>
      <w:r w:rsidRPr="00000D16">
        <w:rPr>
          <w:rFonts w:ascii="Times New Roman" w:hAnsi="Times New Roman"/>
        </w:rPr>
        <w:t>试验时间与地点。</w:t>
      </w:r>
    </w:p>
    <w:p w:rsidR="00B40DAE" w:rsidRPr="00000D16" w:rsidRDefault="00B40DAE" w:rsidP="00B40DAE">
      <w:pPr>
        <w:pStyle w:val="af0"/>
        <w:spacing w:line="360" w:lineRule="auto"/>
        <w:ind w:firstLineChars="200" w:firstLine="420"/>
        <w:rPr>
          <w:rFonts w:ascii="Times New Roman" w:hAnsi="Times New Roman"/>
        </w:rPr>
      </w:pPr>
      <w:r w:rsidRPr="00000D16">
        <w:rPr>
          <w:rFonts w:ascii="Times New Roman" w:hAnsi="Times New Roman"/>
        </w:rPr>
        <w:t>3.</w:t>
      </w:r>
      <w:r w:rsidRPr="00000D16">
        <w:rPr>
          <w:rFonts w:ascii="Times New Roman" w:hAnsi="Times New Roman"/>
        </w:rPr>
        <w:t>试验设计者、负责人、参加者及电子邮箱。</w:t>
      </w:r>
    </w:p>
    <w:p w:rsidR="00B40DAE" w:rsidRPr="00000D16" w:rsidRDefault="00B40DAE" w:rsidP="00B40DAE">
      <w:pPr>
        <w:pStyle w:val="af0"/>
        <w:spacing w:line="360" w:lineRule="auto"/>
        <w:ind w:firstLineChars="200" w:firstLine="420"/>
        <w:rPr>
          <w:rFonts w:ascii="Times New Roman" w:hAnsi="Times New Roman"/>
        </w:rPr>
      </w:pPr>
      <w:r w:rsidRPr="00000D16">
        <w:rPr>
          <w:rFonts w:ascii="Times New Roman" w:hAnsi="Times New Roman"/>
        </w:rPr>
        <w:t>4.</w:t>
      </w:r>
      <w:r w:rsidRPr="00000D16">
        <w:rPr>
          <w:rFonts w:ascii="Times New Roman" w:hAnsi="Times New Roman"/>
        </w:rPr>
        <w:t>受试药物需注明兽药名称、生产厂家、规格、生产批号及用法与用量。</w:t>
      </w:r>
    </w:p>
    <w:p w:rsidR="00B40DAE" w:rsidRPr="00000D16" w:rsidRDefault="00B40DAE" w:rsidP="00B40DAE">
      <w:pPr>
        <w:spacing w:line="360" w:lineRule="auto"/>
        <w:ind w:firstLineChars="200" w:firstLine="420"/>
        <w:rPr>
          <w:rFonts w:hint="eastAsia"/>
          <w:szCs w:val="21"/>
        </w:rPr>
      </w:pPr>
      <w:r w:rsidRPr="00000D16">
        <w:rPr>
          <w:szCs w:val="21"/>
        </w:rPr>
        <w:t>5.</w:t>
      </w:r>
      <w:r w:rsidRPr="00000D16">
        <w:rPr>
          <w:szCs w:val="21"/>
        </w:rPr>
        <w:t>试验动物的品种与品系、体重、日龄或月龄、健康状况、检疫情况等</w:t>
      </w:r>
      <w:r w:rsidRPr="00000D16">
        <w:rPr>
          <w:rFonts w:hint="eastAsia"/>
          <w:szCs w:val="21"/>
        </w:rPr>
        <w:t>。</w:t>
      </w:r>
    </w:p>
    <w:p w:rsidR="00B40DAE" w:rsidRPr="00000D16" w:rsidRDefault="00B40DAE" w:rsidP="00B40DAE">
      <w:pPr>
        <w:pStyle w:val="af0"/>
        <w:spacing w:line="360" w:lineRule="auto"/>
        <w:ind w:firstLineChars="200" w:firstLine="420"/>
        <w:rPr>
          <w:rFonts w:ascii="Times New Roman" w:hAnsi="宋体" w:hint="eastAsia"/>
        </w:rPr>
      </w:pPr>
      <w:r w:rsidRPr="00000D16">
        <w:rPr>
          <w:rFonts w:ascii="Times New Roman" w:hAnsi="Times New Roman"/>
        </w:rPr>
        <w:t>6.</w:t>
      </w:r>
      <w:r w:rsidRPr="00000D16">
        <w:rPr>
          <w:rFonts w:ascii="Times New Roman" w:hAnsi="Times New Roman"/>
        </w:rPr>
        <w:t>归纳总结该药物的试验结果，</w:t>
      </w:r>
      <w:r w:rsidRPr="00000D16">
        <w:rPr>
          <w:rFonts w:ascii="Times New Roman" w:hAnsi="Times New Roman" w:hint="eastAsia"/>
        </w:rPr>
        <w:t>评价</w:t>
      </w:r>
      <w:r w:rsidRPr="00000D16">
        <w:rPr>
          <w:rFonts w:ascii="Times New Roman" w:hAnsi="Times New Roman"/>
        </w:rPr>
        <w:t>受试药物</w:t>
      </w:r>
      <w:r w:rsidRPr="00000D16">
        <w:rPr>
          <w:rFonts w:ascii="Times New Roman" w:hAnsi="宋体"/>
        </w:rPr>
        <w:t>对染色体畸变诱发性及其程度</w:t>
      </w:r>
      <w:r w:rsidRPr="00000D16">
        <w:rPr>
          <w:rFonts w:ascii="Times New Roman" w:hAnsi="宋体" w:hint="eastAsia"/>
        </w:rPr>
        <w:t>。</w:t>
      </w:r>
    </w:p>
    <w:p w:rsidR="00B40DAE" w:rsidRPr="00000D16" w:rsidRDefault="00B40DAE" w:rsidP="00B40DAE">
      <w:pPr>
        <w:spacing w:line="360" w:lineRule="auto"/>
        <w:ind w:firstLineChars="200" w:firstLine="420"/>
        <w:rPr>
          <w:rFonts w:hint="eastAsia"/>
          <w:szCs w:val="21"/>
        </w:rPr>
      </w:pPr>
      <w:r w:rsidRPr="00000D16">
        <w:rPr>
          <w:szCs w:val="21"/>
        </w:rPr>
        <w:t>7.</w:t>
      </w:r>
      <w:r w:rsidRPr="00000D16">
        <w:rPr>
          <w:szCs w:val="21"/>
        </w:rPr>
        <w:t>参考文献</w:t>
      </w:r>
      <w:r w:rsidRPr="00000D16">
        <w:rPr>
          <w:rFonts w:hint="eastAsia"/>
          <w:szCs w:val="21"/>
        </w:rPr>
        <w:t>。</w:t>
      </w:r>
    </w:p>
    <w:p w:rsidR="00B40DAE" w:rsidRPr="00000D16" w:rsidRDefault="00B40DAE" w:rsidP="00B40DAE">
      <w:pPr>
        <w:pStyle w:val="af0"/>
        <w:spacing w:line="360" w:lineRule="auto"/>
        <w:ind w:firstLineChars="200" w:firstLine="420"/>
        <w:rPr>
          <w:rFonts w:ascii="Times New Roman" w:hAnsi="Times New Roman"/>
        </w:rPr>
      </w:pPr>
      <w:r w:rsidRPr="00000D16">
        <w:rPr>
          <w:rFonts w:ascii="Times New Roman" w:hAnsi="Times New Roman"/>
        </w:rPr>
        <w:t>8.</w:t>
      </w:r>
      <w:r w:rsidRPr="00000D16">
        <w:rPr>
          <w:rFonts w:ascii="Times New Roman" w:hAnsi="Times New Roman"/>
        </w:rPr>
        <w:t>试验数据，应有详细的试验原始记录。原始资料保存处、联系人、电话。</w:t>
      </w:r>
    </w:p>
    <w:p w:rsidR="00B40DAE" w:rsidRPr="00000D16" w:rsidRDefault="00B40DAE" w:rsidP="00B40DAE">
      <w:pPr>
        <w:pStyle w:val="af2"/>
        <w:spacing w:line="360" w:lineRule="auto"/>
        <w:ind w:firstLine="420"/>
        <w:rPr>
          <w:rFonts w:ascii="Times New Roman"/>
          <w:szCs w:val="21"/>
        </w:rPr>
      </w:pPr>
      <w:r w:rsidRPr="00000D16">
        <w:rPr>
          <w:szCs w:val="21"/>
        </w:rPr>
        <w:t>9.试验单位（加盖公章）。</w:t>
      </w:r>
    </w:p>
    <w:p w:rsidR="00B40DAE" w:rsidRPr="001F33C7" w:rsidRDefault="00B40DAE" w:rsidP="00B40DAE">
      <w:pPr>
        <w:pStyle w:val="af2"/>
        <w:spacing w:line="360" w:lineRule="auto"/>
        <w:ind w:firstLine="480"/>
        <w:rPr>
          <w:rFonts w:ascii="Times New Roman"/>
          <w:sz w:val="24"/>
        </w:rPr>
        <w:sectPr w:rsidR="00B40DAE" w:rsidRPr="001F33C7" w:rsidSect="00AB6159">
          <w:footerReference w:type="even" r:id="rId7"/>
          <w:footerReference w:type="default" r:id="rId8"/>
          <w:pgSz w:w="11906" w:h="16838" w:code="9"/>
          <w:pgMar w:top="1440" w:right="1797" w:bottom="1440" w:left="1797" w:header="851" w:footer="851" w:gutter="0"/>
          <w:pgNumType w:start="111"/>
          <w:cols w:space="425"/>
          <w:docGrid w:linePitch="312"/>
        </w:sectPr>
      </w:pPr>
    </w:p>
    <w:p w:rsidR="00B40DAE" w:rsidRPr="001F33C7" w:rsidRDefault="00B40DAE" w:rsidP="00B40DAE">
      <w:pPr>
        <w:pStyle w:val="af2"/>
        <w:spacing w:line="360" w:lineRule="auto"/>
        <w:ind w:firstLineChars="0" w:firstLine="0"/>
        <w:jc w:val="center"/>
        <w:outlineLvl w:val="2"/>
        <w:rPr>
          <w:rFonts w:ascii="Times New Roman" w:eastAsia="黑体"/>
          <w:sz w:val="30"/>
          <w:szCs w:val="30"/>
        </w:rPr>
      </w:pPr>
      <w:r>
        <w:rPr>
          <w:rFonts w:ascii="Times New Roman" w:eastAsia="黑体" w:hint="eastAsia"/>
          <w:sz w:val="30"/>
          <w:szCs w:val="30"/>
        </w:rPr>
        <w:lastRenderedPageBreak/>
        <w:t>四</w:t>
      </w:r>
      <w:r w:rsidRPr="001F33C7">
        <w:rPr>
          <w:rFonts w:ascii="Times New Roman" w:eastAsia="黑体"/>
          <w:sz w:val="30"/>
          <w:szCs w:val="30"/>
        </w:rPr>
        <w:t>、附录</w:t>
      </w:r>
    </w:p>
    <w:p w:rsidR="00B40DAE" w:rsidRPr="00000D16" w:rsidRDefault="00B40DAE" w:rsidP="00B40DAE">
      <w:pPr>
        <w:pStyle w:val="a9"/>
        <w:numPr>
          <w:ilvl w:val="0"/>
          <w:numId w:val="0"/>
        </w:numPr>
        <w:spacing w:line="360" w:lineRule="auto"/>
        <w:outlineLvl w:val="9"/>
        <w:rPr>
          <w:rFonts w:eastAsia="宋体"/>
          <w:szCs w:val="21"/>
        </w:rPr>
      </w:pPr>
      <w:r w:rsidRPr="00000D16">
        <w:rPr>
          <w:rFonts w:eastAsia="宋体" w:hAnsi="宋体"/>
          <w:szCs w:val="21"/>
        </w:rPr>
        <w:t>附表</w:t>
      </w:r>
      <w:r w:rsidRPr="00000D16">
        <w:rPr>
          <w:rFonts w:eastAsia="宋体" w:hint="eastAsia"/>
          <w:szCs w:val="21"/>
        </w:rPr>
        <w:t>4</w:t>
      </w:r>
      <w:r w:rsidRPr="00000D16">
        <w:rPr>
          <w:rFonts w:eastAsia="宋体"/>
          <w:szCs w:val="21"/>
        </w:rPr>
        <w:t xml:space="preserve">-1  </w:t>
      </w:r>
      <w:r w:rsidRPr="00000D16">
        <w:rPr>
          <w:rFonts w:eastAsia="宋体" w:hAnsi="宋体"/>
          <w:szCs w:val="21"/>
        </w:rPr>
        <w:t>染色体结构异常和数目异常种类及特征描述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2334"/>
        <w:gridCol w:w="1168"/>
        <w:gridCol w:w="4053"/>
      </w:tblGrid>
      <w:tr w:rsidR="00B40DAE" w:rsidRPr="00000D16" w:rsidTr="00752DA2">
        <w:trPr>
          <w:trHeight w:val="200"/>
          <w:jc w:val="center"/>
        </w:trPr>
        <w:tc>
          <w:tcPr>
            <w:tcW w:w="1853" w:type="pct"/>
            <w:gridSpan w:val="2"/>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染色体数目异常</w:t>
            </w:r>
          </w:p>
        </w:tc>
        <w:tc>
          <w:tcPr>
            <w:tcW w:w="3147" w:type="pct"/>
            <w:gridSpan w:val="2"/>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染色体结构异常</w:t>
            </w:r>
          </w:p>
        </w:tc>
      </w:tr>
      <w:tr w:rsidR="00B40DAE" w:rsidRPr="00000D16" w:rsidTr="00752DA2">
        <w:trPr>
          <w:trHeight w:val="155"/>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种类</w:t>
            </w:r>
          </w:p>
        </w:tc>
        <w:tc>
          <w:tcPr>
            <w:tcW w:w="1407"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特征描述</w:t>
            </w: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种类</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特征描述</w:t>
            </w:r>
          </w:p>
        </w:tc>
      </w:tr>
      <w:tr w:rsidR="00B40DAE" w:rsidRPr="00000D16" w:rsidTr="00752DA2">
        <w:trPr>
          <w:trHeight w:val="285"/>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多倍体</w:t>
            </w:r>
          </w:p>
        </w:tc>
        <w:tc>
          <w:tcPr>
            <w:tcW w:w="1407" w:type="pct"/>
            <w:vAlign w:val="center"/>
          </w:tcPr>
          <w:p w:rsidR="00B40DAE" w:rsidRPr="00000D16" w:rsidRDefault="00B40DAE" w:rsidP="00752DA2">
            <w:pPr>
              <w:spacing w:line="360" w:lineRule="auto"/>
              <w:jc w:val="center"/>
              <w:rPr>
                <w:szCs w:val="21"/>
              </w:rPr>
            </w:pPr>
            <w:r w:rsidRPr="00000D16">
              <w:rPr>
                <w:rFonts w:hAnsi="宋体"/>
                <w:szCs w:val="21"/>
              </w:rPr>
              <w:t>染色体超过二倍体的整倍性改变，如三倍体和四倍体</w:t>
            </w: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断裂</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染色体或染色单体上存在的狭窄非染色区域，其宽度大于染色单体的宽度</w:t>
            </w:r>
          </w:p>
        </w:tc>
      </w:tr>
      <w:tr w:rsidR="00B40DAE" w:rsidRPr="00000D16" w:rsidTr="00752DA2">
        <w:trPr>
          <w:trHeight w:val="285"/>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非整倍体</w:t>
            </w:r>
          </w:p>
        </w:tc>
        <w:tc>
          <w:tcPr>
            <w:tcW w:w="1407" w:type="pct"/>
            <w:vAlign w:val="center"/>
          </w:tcPr>
          <w:p w:rsidR="00B40DAE" w:rsidRPr="00000D16" w:rsidRDefault="00B40DAE" w:rsidP="00752DA2">
            <w:pPr>
              <w:spacing w:line="360" w:lineRule="auto"/>
              <w:jc w:val="center"/>
              <w:rPr>
                <w:szCs w:val="21"/>
              </w:rPr>
            </w:pPr>
            <w:r w:rsidRPr="00000D16">
              <w:rPr>
                <w:rFonts w:hAnsi="宋体"/>
                <w:szCs w:val="21"/>
              </w:rPr>
              <w:t>染色体非整倍性改变，丢失或增加一条或多条染色体</w:t>
            </w: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裂隙</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染色体或染色单体上存在的狭窄非染色区域，其宽度小于染色单体的宽度</w:t>
            </w:r>
          </w:p>
        </w:tc>
      </w:tr>
      <w:tr w:rsidR="00B40DAE" w:rsidRPr="00000D16" w:rsidTr="00752DA2">
        <w:trPr>
          <w:trHeight w:val="275"/>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内复制</w:t>
            </w:r>
          </w:p>
        </w:tc>
        <w:tc>
          <w:tcPr>
            <w:tcW w:w="1407" w:type="pct"/>
            <w:vAlign w:val="center"/>
          </w:tcPr>
          <w:p w:rsidR="00B40DAE" w:rsidRPr="00000D16" w:rsidRDefault="00B40DAE" w:rsidP="00752DA2">
            <w:pPr>
              <w:widowControl/>
              <w:spacing w:line="360" w:lineRule="auto"/>
              <w:jc w:val="center"/>
              <w:rPr>
                <w:szCs w:val="21"/>
              </w:rPr>
            </w:pPr>
            <w:r w:rsidRPr="00000D16">
              <w:rPr>
                <w:rFonts w:hAnsi="宋体"/>
                <w:szCs w:val="21"/>
              </w:rPr>
              <w:t>包膜内特殊形式的多倍化现象</w:t>
            </w: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微小体</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由染色体臂内断裂形成的微小断片，成圆点状</w:t>
            </w:r>
          </w:p>
        </w:tc>
      </w:tr>
      <w:tr w:rsidR="00B40DAE" w:rsidRPr="00000D16" w:rsidTr="00752DA2">
        <w:trPr>
          <w:trHeight w:val="223"/>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1407" w:type="pct"/>
            <w:vAlign w:val="center"/>
          </w:tcPr>
          <w:p w:rsidR="00B40DAE" w:rsidRPr="00000D16" w:rsidRDefault="00B40DAE" w:rsidP="00752DA2">
            <w:pPr>
              <w:spacing w:line="360" w:lineRule="auto"/>
              <w:jc w:val="center"/>
              <w:rPr>
                <w:szCs w:val="21"/>
              </w:rPr>
            </w:pP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着丝粒环</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染色体臂断裂后，由带着丝粒节段两端连接而成的环，常伴有一对无着丝粒断片</w:t>
            </w:r>
          </w:p>
        </w:tc>
      </w:tr>
      <w:tr w:rsidR="00B40DAE" w:rsidRPr="00000D16" w:rsidTr="00752DA2">
        <w:trPr>
          <w:trHeight w:val="293"/>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1407"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无着丝粒环</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染色体臂断裂后，由无着丝粒节段的断片连接而成的环</w:t>
            </w:r>
          </w:p>
        </w:tc>
      </w:tr>
      <w:tr w:rsidR="00B40DAE" w:rsidRPr="00000D16" w:rsidTr="00752DA2">
        <w:trPr>
          <w:trHeight w:val="285"/>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1407"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单体互换</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可形成三辐体（三条臂构型）、四辐体（四条臂构型）或其它形状的构型</w:t>
            </w:r>
          </w:p>
        </w:tc>
      </w:tr>
      <w:tr w:rsidR="00B40DAE" w:rsidRPr="00000D16" w:rsidTr="00752DA2">
        <w:trPr>
          <w:trHeight w:val="263"/>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1407"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双微小体</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成对的染色质小体</w:t>
            </w:r>
          </w:p>
        </w:tc>
      </w:tr>
      <w:tr w:rsidR="00B40DAE" w:rsidRPr="00000D16" w:rsidTr="00752DA2">
        <w:trPr>
          <w:trHeight w:val="309"/>
          <w:jc w:val="center"/>
        </w:trPr>
        <w:tc>
          <w:tcPr>
            <w:tcW w:w="446"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1407" w:type="pct"/>
            <w:vAlign w:val="center"/>
          </w:tcPr>
          <w:p w:rsidR="00B40DAE" w:rsidRPr="00000D16" w:rsidRDefault="00B40DAE" w:rsidP="00752DA2">
            <w:pPr>
              <w:pStyle w:val="PlainText"/>
              <w:spacing w:line="360" w:lineRule="auto"/>
              <w:jc w:val="center"/>
              <w:rPr>
                <w:rFonts w:ascii="Times New Roman" w:hAnsi="Times New Roman"/>
                <w:szCs w:val="21"/>
              </w:rPr>
            </w:pPr>
          </w:p>
        </w:tc>
        <w:tc>
          <w:tcPr>
            <w:tcW w:w="704"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非特定性型变化</w:t>
            </w:r>
          </w:p>
        </w:tc>
        <w:tc>
          <w:tcPr>
            <w:tcW w:w="2443" w:type="pct"/>
            <w:vAlign w:val="center"/>
          </w:tcPr>
          <w:p w:rsidR="00B40DAE" w:rsidRPr="00000D16" w:rsidRDefault="00B40DAE" w:rsidP="00752DA2">
            <w:pPr>
              <w:pStyle w:val="PlainText"/>
              <w:spacing w:line="360" w:lineRule="auto"/>
              <w:jc w:val="center"/>
              <w:rPr>
                <w:rFonts w:ascii="Times New Roman" w:hAnsi="Times New Roman"/>
                <w:szCs w:val="21"/>
              </w:rPr>
            </w:pPr>
            <w:r w:rsidRPr="00000D16">
              <w:rPr>
                <w:rFonts w:ascii="Times New Roman" w:hAnsi="宋体"/>
                <w:szCs w:val="21"/>
              </w:rPr>
              <w:t>如粉碎化、着丝点细长化、粘着等</w:t>
            </w:r>
          </w:p>
        </w:tc>
      </w:tr>
    </w:tbl>
    <w:p w:rsidR="00B40DAE" w:rsidRPr="00000D16" w:rsidRDefault="00B40DAE" w:rsidP="00B40DAE">
      <w:pPr>
        <w:pStyle w:val="af2"/>
        <w:spacing w:line="360" w:lineRule="auto"/>
        <w:ind w:firstLineChars="0" w:firstLine="0"/>
        <w:rPr>
          <w:rFonts w:hint="eastAsia"/>
          <w:szCs w:val="21"/>
        </w:rPr>
      </w:pPr>
    </w:p>
    <w:p w:rsidR="00751717" w:rsidRPr="00B40DAE" w:rsidRDefault="00751717" w:rsidP="00B40DAE"/>
    <w:sectPr w:rsidR="00751717" w:rsidRPr="00B40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40DAE"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B40DAE"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40DAE"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2A4617"/>
    <w:rsid w:val="00347420"/>
    <w:rsid w:val="004A3691"/>
    <w:rsid w:val="00542223"/>
    <w:rsid w:val="00733551"/>
    <w:rsid w:val="00751717"/>
    <w:rsid w:val="008E7B66"/>
    <w:rsid w:val="008F0423"/>
    <w:rsid w:val="008F2F08"/>
    <w:rsid w:val="00972BE8"/>
    <w:rsid w:val="00A916FA"/>
    <w:rsid w:val="00AB23AD"/>
    <w:rsid w:val="00B40DAE"/>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2024-03-18T08:58:00Z</dcterms:created>
  <dcterms:modified xsi:type="dcterms:W3CDTF">2024-03-18T08:58:00Z</dcterms:modified>
</cp:coreProperties>
</file>