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17" w:rsidRPr="001F244E" w:rsidRDefault="002A4617" w:rsidP="002A4617">
      <w:pPr>
        <w:spacing w:line="360" w:lineRule="auto"/>
        <w:jc w:val="center"/>
        <w:outlineLvl w:val="1"/>
        <w:rPr>
          <w:rFonts w:eastAsia="黑体"/>
          <w:sz w:val="36"/>
          <w:szCs w:val="36"/>
        </w:rPr>
      </w:pPr>
      <w:bookmarkStart w:id="0" w:name="_Toc308442093"/>
      <w:bookmarkStart w:id="1" w:name="_GoBack"/>
      <w:r w:rsidRPr="001F244E">
        <w:rPr>
          <w:rFonts w:eastAsia="黑体"/>
          <w:sz w:val="36"/>
          <w:szCs w:val="36"/>
        </w:rPr>
        <w:t>兽药临床前毒理学评价试验指导原则</w:t>
      </w:r>
      <w:bookmarkEnd w:id="0"/>
    </w:p>
    <w:bookmarkEnd w:id="1"/>
    <w:p w:rsidR="002A4617" w:rsidRPr="001F244E" w:rsidRDefault="002A4617" w:rsidP="002A4617">
      <w:pPr>
        <w:spacing w:line="360" w:lineRule="auto"/>
        <w:jc w:val="center"/>
        <w:rPr>
          <w:rFonts w:eastAsia="黑体"/>
          <w:sz w:val="30"/>
          <w:szCs w:val="30"/>
        </w:rPr>
      </w:pPr>
      <w:r w:rsidRPr="001F244E">
        <w:rPr>
          <w:rFonts w:eastAsia="黑体"/>
          <w:sz w:val="30"/>
          <w:szCs w:val="30"/>
        </w:rPr>
        <w:t>一、概述</w:t>
      </w:r>
    </w:p>
    <w:p w:rsidR="002A4617" w:rsidRPr="001F244E" w:rsidRDefault="002A4617" w:rsidP="002A4617">
      <w:pPr>
        <w:spacing w:line="360" w:lineRule="auto"/>
        <w:rPr>
          <w:rFonts w:eastAsia="黑体"/>
          <w:sz w:val="28"/>
          <w:szCs w:val="28"/>
        </w:rPr>
      </w:pPr>
      <w:r>
        <w:rPr>
          <w:rFonts w:eastAsia="黑体" w:hint="eastAsia"/>
          <w:sz w:val="28"/>
          <w:szCs w:val="28"/>
        </w:rPr>
        <w:t>（</w:t>
      </w:r>
      <w:r w:rsidRPr="001F244E">
        <w:rPr>
          <w:rFonts w:eastAsia="黑体"/>
          <w:sz w:val="28"/>
          <w:szCs w:val="28"/>
        </w:rPr>
        <w:t>一</w:t>
      </w:r>
      <w:r>
        <w:rPr>
          <w:rFonts w:eastAsia="黑体" w:hint="eastAsia"/>
          <w:sz w:val="28"/>
          <w:szCs w:val="28"/>
        </w:rPr>
        <w:t>）</w:t>
      </w:r>
      <w:r w:rsidRPr="001F244E">
        <w:rPr>
          <w:rFonts w:eastAsia="黑体"/>
          <w:sz w:val="28"/>
          <w:szCs w:val="28"/>
        </w:rPr>
        <w:t>定义与目的</w:t>
      </w:r>
    </w:p>
    <w:p w:rsidR="002A4617" w:rsidRPr="00C70F0B" w:rsidRDefault="002A4617" w:rsidP="002A4617">
      <w:pPr>
        <w:spacing w:line="360" w:lineRule="auto"/>
        <w:ind w:firstLineChars="200" w:firstLine="420"/>
        <w:rPr>
          <w:szCs w:val="21"/>
        </w:rPr>
      </w:pPr>
      <w:r w:rsidRPr="00C70F0B">
        <w:rPr>
          <w:szCs w:val="21"/>
        </w:rPr>
        <w:t>为保障新兽药对使用对象动物（靶动物）的安全，特别是人的食品消费安全，必须对临床前兽药的毒理学（或安全性）进行评价。目前，对兽药的安全性进行评价一般采取毒理学评价方法，包括三性（急性、亚慢性、慢性毒性）试验和三致（致突变、致</w:t>
      </w:r>
      <w:proofErr w:type="gramStart"/>
      <w:r w:rsidRPr="00C70F0B">
        <w:rPr>
          <w:szCs w:val="21"/>
        </w:rPr>
        <w:t>畸</w:t>
      </w:r>
      <w:proofErr w:type="gramEnd"/>
      <w:r w:rsidRPr="00C70F0B">
        <w:rPr>
          <w:szCs w:val="21"/>
        </w:rPr>
        <w:t>、致癌）试验，以预测新兽药的安全性。临床前药物毒理学评价的目的是预测临床用药的安全性，为临床试验提供可靠的参考。毒理学评价结果不但为最后确定该化合物是否可以作为新兽药使用提供科学依据，还是制订动物性食品中最高残留限量（</w:t>
      </w:r>
      <w:r w:rsidRPr="00C70F0B">
        <w:rPr>
          <w:szCs w:val="21"/>
        </w:rPr>
        <w:t>MRL</w:t>
      </w:r>
      <w:r w:rsidRPr="00C70F0B">
        <w:rPr>
          <w:szCs w:val="21"/>
        </w:rPr>
        <w:t>）的重要依据。</w:t>
      </w:r>
    </w:p>
    <w:p w:rsidR="002A4617" w:rsidRPr="001F244E" w:rsidRDefault="002A4617" w:rsidP="002A4617">
      <w:pPr>
        <w:spacing w:line="360" w:lineRule="auto"/>
        <w:rPr>
          <w:rFonts w:eastAsia="黑体"/>
          <w:sz w:val="28"/>
          <w:szCs w:val="28"/>
        </w:rPr>
      </w:pPr>
      <w:r w:rsidRPr="001F244E">
        <w:rPr>
          <w:rFonts w:eastAsia="黑体"/>
          <w:sz w:val="28"/>
          <w:szCs w:val="28"/>
        </w:rPr>
        <w:t>（二）适用范围</w:t>
      </w:r>
    </w:p>
    <w:p w:rsidR="002A4617" w:rsidRPr="00C70F0B" w:rsidRDefault="002A4617" w:rsidP="002A4617">
      <w:pPr>
        <w:spacing w:line="360" w:lineRule="auto"/>
        <w:ind w:firstLineChars="200" w:firstLine="420"/>
        <w:rPr>
          <w:szCs w:val="21"/>
        </w:rPr>
      </w:pPr>
      <w:r w:rsidRPr="00C70F0B">
        <w:rPr>
          <w:szCs w:val="21"/>
        </w:rPr>
        <w:t>本指导原则适用于评价兽用化学药品（化学合成药、抗生素、药物饲料添加剂）及消毒剂临床前的安全性。</w:t>
      </w:r>
    </w:p>
    <w:p w:rsidR="002A4617" w:rsidRPr="001F244E" w:rsidRDefault="002A4617" w:rsidP="002A4617">
      <w:pPr>
        <w:spacing w:line="360" w:lineRule="auto"/>
        <w:jc w:val="center"/>
        <w:rPr>
          <w:rFonts w:eastAsia="黑体"/>
          <w:sz w:val="30"/>
          <w:szCs w:val="30"/>
        </w:rPr>
      </w:pPr>
      <w:r w:rsidRPr="001F244E">
        <w:rPr>
          <w:rFonts w:eastAsia="黑体"/>
          <w:sz w:val="30"/>
          <w:szCs w:val="30"/>
        </w:rPr>
        <w:t>二、毒理学评价程序及内容</w:t>
      </w:r>
    </w:p>
    <w:p w:rsidR="002A4617" w:rsidRPr="00C70F0B" w:rsidRDefault="002A4617" w:rsidP="002A4617">
      <w:pPr>
        <w:spacing w:line="360" w:lineRule="auto"/>
        <w:ind w:firstLineChars="200" w:firstLine="420"/>
        <w:rPr>
          <w:szCs w:val="21"/>
        </w:rPr>
      </w:pPr>
      <w:r w:rsidRPr="00C70F0B">
        <w:rPr>
          <w:szCs w:val="21"/>
        </w:rPr>
        <w:t>兽药毒理学评价试验一般分为五个阶段，具体研究内容如下：</w:t>
      </w:r>
    </w:p>
    <w:p w:rsidR="002A4617" w:rsidRPr="001F244E" w:rsidRDefault="002A4617" w:rsidP="002A4617">
      <w:pPr>
        <w:spacing w:line="360" w:lineRule="auto"/>
        <w:rPr>
          <w:rFonts w:eastAsia="黑体"/>
          <w:sz w:val="28"/>
          <w:szCs w:val="28"/>
        </w:rPr>
      </w:pPr>
      <w:r w:rsidRPr="001F244E">
        <w:rPr>
          <w:rFonts w:eastAsia="黑体"/>
          <w:sz w:val="28"/>
          <w:szCs w:val="28"/>
        </w:rPr>
        <w:t>（一）第一阶段：急性毒理学试验阶段</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1.</w:t>
      </w:r>
      <w:r w:rsidRPr="00C70F0B">
        <w:rPr>
          <w:rFonts w:eastAsia="黑体"/>
          <w:szCs w:val="21"/>
        </w:rPr>
        <w:t>经口</w:t>
      </w:r>
      <w:r w:rsidRPr="00C70F0B">
        <w:rPr>
          <w:rFonts w:eastAsia="黑体"/>
          <w:szCs w:val="21"/>
        </w:rPr>
        <w:t>LD</w:t>
      </w:r>
      <w:r w:rsidRPr="00C70F0B">
        <w:rPr>
          <w:rFonts w:eastAsia="黑体"/>
          <w:position w:val="-4"/>
          <w:szCs w:val="21"/>
          <w:vertAlign w:val="subscript"/>
        </w:rPr>
        <w:t>50</w:t>
      </w:r>
      <w:r w:rsidRPr="00C70F0B">
        <w:rPr>
          <w:rFonts w:eastAsia="黑体"/>
          <w:szCs w:val="21"/>
        </w:rPr>
        <w:t>的测定</w:t>
      </w:r>
      <w:r w:rsidRPr="00C70F0B">
        <w:rPr>
          <w:rFonts w:hAnsi="宋体"/>
          <w:szCs w:val="21"/>
        </w:rPr>
        <w:t>：所有用途的原料药必做；</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2.</w:t>
      </w:r>
      <w:r w:rsidRPr="00C70F0B">
        <w:rPr>
          <w:rFonts w:eastAsia="黑体"/>
          <w:szCs w:val="21"/>
        </w:rPr>
        <w:t>注射途径</w:t>
      </w:r>
      <w:r w:rsidRPr="00C70F0B">
        <w:rPr>
          <w:rFonts w:eastAsia="黑体"/>
          <w:szCs w:val="21"/>
        </w:rPr>
        <w:t>LD</w:t>
      </w:r>
      <w:r w:rsidRPr="00C70F0B">
        <w:rPr>
          <w:rFonts w:eastAsia="黑体"/>
          <w:position w:val="-4"/>
          <w:szCs w:val="21"/>
          <w:vertAlign w:val="subscript"/>
        </w:rPr>
        <w:t>50</w:t>
      </w:r>
      <w:r w:rsidRPr="00C70F0B">
        <w:rPr>
          <w:rFonts w:eastAsia="黑体"/>
          <w:szCs w:val="21"/>
        </w:rPr>
        <w:t>的测定</w:t>
      </w:r>
      <w:r w:rsidRPr="00C70F0B">
        <w:rPr>
          <w:rFonts w:hAnsi="宋体"/>
          <w:szCs w:val="21"/>
        </w:rPr>
        <w:t>：注射用原料药必做，肌注、皮下注射或腹腔注射途径任选一种；</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3.</w:t>
      </w:r>
      <w:r w:rsidRPr="00C70F0B">
        <w:rPr>
          <w:rFonts w:eastAsia="黑体"/>
          <w:szCs w:val="21"/>
        </w:rPr>
        <w:t>经皮</w:t>
      </w:r>
      <w:r w:rsidRPr="00C70F0B">
        <w:rPr>
          <w:rFonts w:eastAsia="黑体"/>
          <w:szCs w:val="21"/>
        </w:rPr>
        <w:t>LD</w:t>
      </w:r>
      <w:r w:rsidRPr="00C70F0B">
        <w:rPr>
          <w:rFonts w:eastAsia="黑体"/>
          <w:position w:val="-4"/>
          <w:szCs w:val="21"/>
          <w:vertAlign w:val="subscript"/>
        </w:rPr>
        <w:t>50</w:t>
      </w:r>
      <w:r w:rsidRPr="00C70F0B">
        <w:rPr>
          <w:rFonts w:eastAsia="黑体"/>
          <w:szCs w:val="21"/>
        </w:rPr>
        <w:t>的测定</w:t>
      </w:r>
      <w:r w:rsidRPr="00C70F0B">
        <w:rPr>
          <w:rFonts w:hAnsi="宋体"/>
          <w:szCs w:val="21"/>
        </w:rPr>
        <w:t>：</w:t>
      </w:r>
      <w:proofErr w:type="gramStart"/>
      <w:r w:rsidRPr="00C70F0B">
        <w:rPr>
          <w:rFonts w:hAnsi="宋体"/>
          <w:szCs w:val="21"/>
        </w:rPr>
        <w:t>供皮肤</w:t>
      </w:r>
      <w:proofErr w:type="gramEnd"/>
      <w:r w:rsidRPr="00C70F0B">
        <w:rPr>
          <w:rFonts w:hAnsi="宋体"/>
          <w:szCs w:val="21"/>
        </w:rPr>
        <w:t>给药的原料药必做；</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4.</w:t>
      </w:r>
      <w:r w:rsidRPr="00C70F0B">
        <w:rPr>
          <w:rFonts w:eastAsia="黑体"/>
          <w:szCs w:val="21"/>
        </w:rPr>
        <w:t>皮肤刺激试验</w:t>
      </w:r>
      <w:r w:rsidRPr="00C70F0B">
        <w:rPr>
          <w:rFonts w:hAnsi="宋体"/>
          <w:szCs w:val="21"/>
        </w:rPr>
        <w:t>：供注射和透皮吸收的制剂必做；</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5.</w:t>
      </w:r>
      <w:r w:rsidRPr="00C70F0B">
        <w:rPr>
          <w:rFonts w:eastAsia="黑体"/>
          <w:szCs w:val="21"/>
        </w:rPr>
        <w:t>肌肉刺激试验</w:t>
      </w:r>
      <w:r w:rsidRPr="00C70F0B">
        <w:rPr>
          <w:rFonts w:hAnsi="宋体"/>
          <w:szCs w:val="21"/>
        </w:rPr>
        <w:t>：供肌内注射的制剂必做；</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6.</w:t>
      </w:r>
      <w:r w:rsidRPr="00C70F0B">
        <w:rPr>
          <w:rFonts w:eastAsia="黑体"/>
          <w:szCs w:val="21"/>
        </w:rPr>
        <w:t>眼结膜刺激试验</w:t>
      </w:r>
      <w:r w:rsidRPr="00C70F0B">
        <w:rPr>
          <w:rFonts w:hAnsi="宋体"/>
          <w:szCs w:val="21"/>
        </w:rPr>
        <w:t>：眼科用、喷雾和易挥发的制剂必做；</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7.</w:t>
      </w:r>
      <w:r w:rsidRPr="00C70F0B">
        <w:rPr>
          <w:rFonts w:eastAsia="黑体"/>
          <w:szCs w:val="21"/>
        </w:rPr>
        <w:t>粘膜刺激试验</w:t>
      </w:r>
      <w:r w:rsidRPr="00C70F0B">
        <w:rPr>
          <w:rFonts w:hAnsi="宋体"/>
          <w:szCs w:val="21"/>
        </w:rPr>
        <w:t>：子宫注入剂、喷雾和易挥发的制剂必做；</w:t>
      </w:r>
    </w:p>
    <w:p w:rsidR="002A4617" w:rsidRPr="00C70F0B" w:rsidRDefault="002A4617" w:rsidP="002A4617">
      <w:pPr>
        <w:widowControl/>
        <w:spacing w:line="360" w:lineRule="auto"/>
        <w:ind w:firstLineChars="200" w:firstLine="420"/>
        <w:jc w:val="left"/>
        <w:rPr>
          <w:szCs w:val="21"/>
        </w:rPr>
      </w:pPr>
      <w:r w:rsidRPr="00C70F0B">
        <w:rPr>
          <w:rFonts w:eastAsia="黑体"/>
          <w:szCs w:val="21"/>
        </w:rPr>
        <w:t>8.</w:t>
      </w:r>
      <w:r w:rsidRPr="00C70F0B">
        <w:rPr>
          <w:rFonts w:eastAsia="黑体"/>
          <w:szCs w:val="21"/>
        </w:rPr>
        <w:t>溶血</w:t>
      </w:r>
      <w:r w:rsidRPr="00C70F0B">
        <w:rPr>
          <w:rFonts w:eastAsia="黑体" w:hint="eastAsia"/>
          <w:szCs w:val="21"/>
        </w:rPr>
        <w:t>性</w:t>
      </w:r>
      <w:r w:rsidRPr="00C70F0B">
        <w:rPr>
          <w:rFonts w:eastAsia="黑体"/>
          <w:szCs w:val="21"/>
        </w:rPr>
        <w:t>试验</w:t>
      </w:r>
      <w:r w:rsidRPr="00C70F0B">
        <w:rPr>
          <w:rFonts w:hAnsi="宋体"/>
          <w:szCs w:val="21"/>
        </w:rPr>
        <w:t>：静脉注射用制剂必做。</w:t>
      </w:r>
    </w:p>
    <w:p w:rsidR="002A4617" w:rsidRPr="001F244E" w:rsidRDefault="002A4617" w:rsidP="002A4617">
      <w:pPr>
        <w:spacing w:line="360" w:lineRule="auto"/>
        <w:rPr>
          <w:rFonts w:eastAsia="黑体"/>
          <w:sz w:val="28"/>
          <w:szCs w:val="28"/>
        </w:rPr>
      </w:pPr>
      <w:r w:rsidRPr="001F244E">
        <w:rPr>
          <w:rFonts w:eastAsia="黑体"/>
          <w:sz w:val="28"/>
          <w:szCs w:val="28"/>
        </w:rPr>
        <w:t>（二）第二阶段：亚慢性毒性试验阶段</w:t>
      </w:r>
    </w:p>
    <w:p w:rsidR="002A4617" w:rsidRPr="00C70F0B" w:rsidRDefault="002A4617" w:rsidP="002A4617">
      <w:pPr>
        <w:spacing w:line="360" w:lineRule="auto"/>
        <w:ind w:firstLineChars="200" w:firstLine="420"/>
        <w:rPr>
          <w:szCs w:val="21"/>
        </w:rPr>
      </w:pPr>
      <w:r w:rsidRPr="00C70F0B">
        <w:rPr>
          <w:rFonts w:hAnsi="宋体"/>
          <w:szCs w:val="21"/>
        </w:rPr>
        <w:t>研究内容有：</w:t>
      </w:r>
      <w:r w:rsidRPr="00C70F0B">
        <w:rPr>
          <w:szCs w:val="21"/>
        </w:rPr>
        <w:t>30</w:t>
      </w:r>
      <w:r w:rsidRPr="00C70F0B">
        <w:rPr>
          <w:rFonts w:hAnsi="宋体"/>
          <w:szCs w:val="21"/>
        </w:rPr>
        <w:t>～</w:t>
      </w:r>
      <w:r w:rsidRPr="00C70F0B">
        <w:rPr>
          <w:szCs w:val="21"/>
        </w:rPr>
        <w:t>90</w:t>
      </w:r>
      <w:r w:rsidRPr="00C70F0B">
        <w:rPr>
          <w:rFonts w:hAnsi="宋体"/>
          <w:szCs w:val="21"/>
        </w:rPr>
        <w:t>天亚慢性毒性试验：所有原料药必做；</w:t>
      </w:r>
    </w:p>
    <w:p w:rsidR="002A4617" w:rsidRPr="001F244E" w:rsidRDefault="002A4617" w:rsidP="002A4617">
      <w:pPr>
        <w:spacing w:line="360" w:lineRule="auto"/>
        <w:rPr>
          <w:rFonts w:eastAsia="黑体"/>
          <w:sz w:val="28"/>
          <w:szCs w:val="28"/>
        </w:rPr>
      </w:pPr>
      <w:r w:rsidRPr="001F244E">
        <w:rPr>
          <w:rFonts w:eastAsia="黑体"/>
          <w:sz w:val="28"/>
          <w:szCs w:val="28"/>
        </w:rPr>
        <w:t>（三）第三阶段：致突变试验阶段</w:t>
      </w:r>
    </w:p>
    <w:p w:rsidR="002A4617" w:rsidRPr="00C70F0B" w:rsidRDefault="002A4617" w:rsidP="002A4617">
      <w:pPr>
        <w:spacing w:line="360" w:lineRule="auto"/>
        <w:ind w:firstLineChars="200" w:firstLine="420"/>
        <w:rPr>
          <w:szCs w:val="21"/>
        </w:rPr>
      </w:pPr>
      <w:r w:rsidRPr="00C70F0B">
        <w:rPr>
          <w:rFonts w:hAnsi="宋体"/>
          <w:szCs w:val="21"/>
        </w:rPr>
        <w:lastRenderedPageBreak/>
        <w:t>原料药必做此阶段试验，各种制剂可不做此阶段试验。</w:t>
      </w:r>
    </w:p>
    <w:p w:rsidR="002A4617" w:rsidRPr="00C70F0B" w:rsidRDefault="002A4617" w:rsidP="002A4617">
      <w:pPr>
        <w:widowControl/>
        <w:spacing w:line="360" w:lineRule="auto"/>
        <w:ind w:firstLineChars="200" w:firstLine="420"/>
        <w:jc w:val="left"/>
        <w:rPr>
          <w:szCs w:val="21"/>
        </w:rPr>
      </w:pPr>
      <w:r w:rsidRPr="00C70F0B">
        <w:rPr>
          <w:szCs w:val="21"/>
        </w:rPr>
        <w:t>1.Ames</w:t>
      </w:r>
      <w:r w:rsidRPr="00C70F0B">
        <w:rPr>
          <w:rFonts w:hAnsi="宋体"/>
          <w:szCs w:val="21"/>
        </w:rPr>
        <w:t>试验，必做；</w:t>
      </w:r>
    </w:p>
    <w:p w:rsidR="002A4617" w:rsidRPr="00C70F0B" w:rsidRDefault="002A4617" w:rsidP="002A4617">
      <w:pPr>
        <w:widowControl/>
        <w:spacing w:line="360" w:lineRule="auto"/>
        <w:ind w:firstLineChars="200" w:firstLine="420"/>
        <w:jc w:val="left"/>
        <w:rPr>
          <w:szCs w:val="21"/>
        </w:rPr>
      </w:pPr>
      <w:r w:rsidRPr="00C70F0B">
        <w:rPr>
          <w:szCs w:val="21"/>
        </w:rPr>
        <w:t>2.</w:t>
      </w:r>
      <w:r w:rsidRPr="00C70F0B">
        <w:rPr>
          <w:rFonts w:hAnsi="宋体"/>
          <w:szCs w:val="21"/>
        </w:rPr>
        <w:t>小鼠骨髓细胞微核试验，必做；</w:t>
      </w:r>
    </w:p>
    <w:p w:rsidR="002A4617" w:rsidRPr="00C70F0B" w:rsidRDefault="002A4617" w:rsidP="002A4617">
      <w:pPr>
        <w:widowControl/>
        <w:spacing w:line="360" w:lineRule="auto"/>
        <w:ind w:firstLineChars="200" w:firstLine="420"/>
        <w:jc w:val="left"/>
        <w:rPr>
          <w:szCs w:val="21"/>
        </w:rPr>
      </w:pPr>
      <w:r w:rsidRPr="00C70F0B">
        <w:rPr>
          <w:szCs w:val="21"/>
        </w:rPr>
        <w:t>3.</w:t>
      </w:r>
      <w:r w:rsidRPr="00C70F0B">
        <w:rPr>
          <w:rFonts w:hAnsi="宋体"/>
          <w:szCs w:val="21"/>
        </w:rPr>
        <w:t>小鼠精子畸形试验或睾丸精原细胞染色体畸变分析试验任选一项，必做；</w:t>
      </w:r>
    </w:p>
    <w:p w:rsidR="002A4617" w:rsidRPr="00C70F0B" w:rsidRDefault="002A4617" w:rsidP="002A4617">
      <w:pPr>
        <w:widowControl/>
        <w:spacing w:line="360" w:lineRule="auto"/>
        <w:ind w:firstLineChars="200" w:firstLine="420"/>
        <w:jc w:val="left"/>
        <w:rPr>
          <w:szCs w:val="21"/>
        </w:rPr>
      </w:pPr>
      <w:r w:rsidRPr="00C70F0B">
        <w:rPr>
          <w:szCs w:val="21"/>
        </w:rPr>
        <w:t>4.</w:t>
      </w:r>
      <w:r w:rsidRPr="00C70F0B">
        <w:rPr>
          <w:rFonts w:hAnsi="宋体"/>
          <w:szCs w:val="21"/>
        </w:rPr>
        <w:t>小鼠骨髓细胞染色体畸变分析试验，必要时选做；</w:t>
      </w:r>
    </w:p>
    <w:p w:rsidR="002A4617" w:rsidRPr="00C70F0B" w:rsidRDefault="002A4617" w:rsidP="002A4617">
      <w:pPr>
        <w:widowControl/>
        <w:spacing w:line="360" w:lineRule="auto"/>
        <w:ind w:firstLineChars="200" w:firstLine="420"/>
        <w:jc w:val="left"/>
        <w:rPr>
          <w:szCs w:val="21"/>
        </w:rPr>
      </w:pPr>
      <w:r w:rsidRPr="00C70F0B">
        <w:rPr>
          <w:szCs w:val="21"/>
        </w:rPr>
        <w:t>5.</w:t>
      </w:r>
      <w:r w:rsidRPr="00C70F0B">
        <w:rPr>
          <w:rFonts w:hAnsi="宋体"/>
          <w:szCs w:val="21"/>
        </w:rPr>
        <w:t>显性致死试验，必要时选做；</w:t>
      </w:r>
    </w:p>
    <w:p w:rsidR="002A4617" w:rsidRPr="00C70F0B" w:rsidRDefault="002A4617" w:rsidP="002A4617">
      <w:pPr>
        <w:spacing w:line="360" w:lineRule="auto"/>
        <w:ind w:firstLineChars="200" w:firstLine="420"/>
        <w:rPr>
          <w:szCs w:val="21"/>
        </w:rPr>
      </w:pPr>
      <w:proofErr w:type="gramStart"/>
      <w:r w:rsidRPr="00C70F0B">
        <w:rPr>
          <w:rFonts w:hAnsi="宋体"/>
          <w:szCs w:val="21"/>
        </w:rPr>
        <w:t>以上致</w:t>
      </w:r>
      <w:proofErr w:type="gramEnd"/>
      <w:r w:rsidRPr="00C70F0B">
        <w:rPr>
          <w:rFonts w:hAnsi="宋体"/>
          <w:szCs w:val="21"/>
        </w:rPr>
        <w:t>突变试验的组合必须考虑原核细胞和真核细胞、生殖细胞与体细胞、体内和体外试验相结合的原则，任何原料药不能低于三项，必要时做四至五项；如果在</w:t>
      </w:r>
      <w:r w:rsidRPr="00C70F0B">
        <w:rPr>
          <w:szCs w:val="21"/>
        </w:rPr>
        <w:t>1</w:t>
      </w:r>
      <w:r w:rsidRPr="00C70F0B">
        <w:rPr>
          <w:rFonts w:hAnsi="宋体"/>
          <w:szCs w:val="21"/>
        </w:rPr>
        <w:t>～</w:t>
      </w:r>
      <w:r w:rsidRPr="00C70F0B">
        <w:rPr>
          <w:szCs w:val="21"/>
        </w:rPr>
        <w:t>3</w:t>
      </w:r>
      <w:r w:rsidRPr="00C70F0B">
        <w:rPr>
          <w:rFonts w:hAnsi="宋体"/>
          <w:szCs w:val="21"/>
        </w:rPr>
        <w:t>项试验有阳性结果或可疑时，可选做第</w:t>
      </w:r>
      <w:r w:rsidRPr="00C70F0B">
        <w:rPr>
          <w:szCs w:val="21"/>
        </w:rPr>
        <w:t>4</w:t>
      </w:r>
      <w:r w:rsidRPr="00C70F0B">
        <w:rPr>
          <w:rFonts w:hAnsi="宋体"/>
          <w:szCs w:val="21"/>
        </w:rPr>
        <w:t>、</w:t>
      </w:r>
      <w:r w:rsidRPr="00C70F0B">
        <w:rPr>
          <w:szCs w:val="21"/>
        </w:rPr>
        <w:t>5</w:t>
      </w:r>
      <w:r w:rsidRPr="00C70F0B">
        <w:rPr>
          <w:rFonts w:hAnsi="宋体"/>
          <w:szCs w:val="21"/>
        </w:rPr>
        <w:t>项试验。</w:t>
      </w:r>
    </w:p>
    <w:p w:rsidR="002A4617" w:rsidRPr="001F244E" w:rsidRDefault="002A4617" w:rsidP="002A4617">
      <w:pPr>
        <w:spacing w:line="360" w:lineRule="auto"/>
        <w:rPr>
          <w:rFonts w:eastAsia="黑体"/>
          <w:sz w:val="28"/>
          <w:szCs w:val="28"/>
        </w:rPr>
      </w:pPr>
      <w:r w:rsidRPr="001F244E">
        <w:rPr>
          <w:rFonts w:eastAsia="黑体"/>
          <w:sz w:val="28"/>
          <w:szCs w:val="28"/>
        </w:rPr>
        <w:t>（四）第四阶段：生殖毒性试验阶段</w:t>
      </w:r>
    </w:p>
    <w:p w:rsidR="002A4617" w:rsidRPr="00C70F0B" w:rsidRDefault="002A4617" w:rsidP="002A4617">
      <w:pPr>
        <w:spacing w:line="360" w:lineRule="auto"/>
        <w:ind w:firstLineChars="200" w:firstLine="420"/>
        <w:rPr>
          <w:rFonts w:hAnsi="宋体"/>
          <w:szCs w:val="21"/>
        </w:rPr>
      </w:pPr>
      <w:r w:rsidRPr="00C70F0B">
        <w:rPr>
          <w:rFonts w:hAnsi="宋体"/>
          <w:szCs w:val="21"/>
        </w:rPr>
        <w:t>原料药必做此阶段试验，各种制剂可不做此阶段试验。</w:t>
      </w:r>
    </w:p>
    <w:p w:rsidR="002A4617" w:rsidRPr="00C70F0B" w:rsidRDefault="002A4617" w:rsidP="002A4617">
      <w:pPr>
        <w:spacing w:line="360" w:lineRule="auto"/>
        <w:ind w:firstLineChars="200" w:firstLine="420"/>
        <w:rPr>
          <w:rFonts w:hAnsi="宋体"/>
          <w:szCs w:val="21"/>
        </w:rPr>
      </w:pPr>
      <w:r w:rsidRPr="00C70F0B">
        <w:rPr>
          <w:rFonts w:hAnsi="宋体"/>
          <w:szCs w:val="21"/>
        </w:rPr>
        <w:t>1.</w:t>
      </w:r>
      <w:r w:rsidRPr="00C70F0B">
        <w:rPr>
          <w:rFonts w:hAnsi="宋体"/>
          <w:szCs w:val="21"/>
        </w:rPr>
        <w:t>传统致畸胎试验：所有原料药必做；</w:t>
      </w:r>
    </w:p>
    <w:p w:rsidR="002A4617" w:rsidRPr="00C70F0B" w:rsidRDefault="002A4617" w:rsidP="002A4617">
      <w:pPr>
        <w:spacing w:line="360" w:lineRule="auto"/>
        <w:ind w:firstLineChars="200" w:firstLine="420"/>
        <w:rPr>
          <w:rFonts w:hAnsi="宋体"/>
          <w:szCs w:val="21"/>
        </w:rPr>
      </w:pPr>
      <w:r w:rsidRPr="00C70F0B">
        <w:rPr>
          <w:rFonts w:hAnsi="宋体"/>
          <w:szCs w:val="21"/>
        </w:rPr>
        <w:t>2.</w:t>
      </w:r>
      <w:r w:rsidRPr="00C70F0B">
        <w:rPr>
          <w:rFonts w:hAnsi="宋体"/>
          <w:szCs w:val="21"/>
        </w:rPr>
        <w:t>繁殖毒性试验：选做；</w:t>
      </w:r>
    </w:p>
    <w:p w:rsidR="002A4617" w:rsidRPr="00C70F0B" w:rsidRDefault="002A4617" w:rsidP="002A4617">
      <w:pPr>
        <w:spacing w:line="360" w:lineRule="auto"/>
        <w:ind w:firstLineChars="200" w:firstLine="420"/>
        <w:rPr>
          <w:rFonts w:hAnsi="宋体"/>
          <w:szCs w:val="21"/>
        </w:rPr>
      </w:pPr>
      <w:r w:rsidRPr="00C70F0B">
        <w:rPr>
          <w:rFonts w:hAnsi="宋体"/>
          <w:szCs w:val="21"/>
        </w:rPr>
        <w:t>如果做此项试验，可不做第</w:t>
      </w:r>
      <w:r w:rsidRPr="00C70F0B">
        <w:rPr>
          <w:rFonts w:hAnsi="宋体"/>
          <w:szCs w:val="21"/>
        </w:rPr>
        <w:t>1</w:t>
      </w:r>
      <w:r w:rsidRPr="00C70F0B">
        <w:rPr>
          <w:rFonts w:hAnsi="宋体"/>
          <w:szCs w:val="21"/>
        </w:rPr>
        <w:t>项试验。</w:t>
      </w:r>
    </w:p>
    <w:p w:rsidR="002A4617" w:rsidRPr="001F244E" w:rsidRDefault="002A4617" w:rsidP="002A4617">
      <w:pPr>
        <w:spacing w:line="360" w:lineRule="auto"/>
        <w:rPr>
          <w:rFonts w:eastAsia="黑体"/>
          <w:sz w:val="28"/>
          <w:szCs w:val="28"/>
        </w:rPr>
      </w:pPr>
      <w:r w:rsidRPr="001F244E">
        <w:rPr>
          <w:rFonts w:eastAsia="黑体"/>
          <w:sz w:val="28"/>
          <w:szCs w:val="28"/>
        </w:rPr>
        <w:t>（五）第五阶段：慢性毒理学试验（包括致癌试验）阶段</w:t>
      </w:r>
    </w:p>
    <w:p w:rsidR="002A4617" w:rsidRPr="00C70F0B" w:rsidRDefault="002A4617" w:rsidP="002A4617">
      <w:pPr>
        <w:spacing w:line="360" w:lineRule="auto"/>
        <w:ind w:firstLineChars="200" w:firstLine="420"/>
        <w:rPr>
          <w:rFonts w:hAnsi="宋体"/>
          <w:szCs w:val="21"/>
        </w:rPr>
      </w:pPr>
      <w:r w:rsidRPr="00C70F0B">
        <w:rPr>
          <w:rFonts w:hAnsi="宋体"/>
          <w:szCs w:val="21"/>
        </w:rPr>
        <w:t>1.</w:t>
      </w:r>
      <w:r w:rsidRPr="00C70F0B">
        <w:rPr>
          <w:rFonts w:hAnsi="宋体"/>
          <w:szCs w:val="21"/>
        </w:rPr>
        <w:t>慢性毒性试验：作药物饲料添加剂使用的原料药必做；</w:t>
      </w:r>
    </w:p>
    <w:p w:rsidR="002A4617" w:rsidRPr="00C70F0B" w:rsidRDefault="002A4617" w:rsidP="002A4617">
      <w:pPr>
        <w:spacing w:line="360" w:lineRule="auto"/>
        <w:ind w:firstLineChars="200" w:firstLine="420"/>
        <w:rPr>
          <w:rFonts w:hAnsi="宋体"/>
          <w:szCs w:val="21"/>
        </w:rPr>
      </w:pPr>
      <w:r w:rsidRPr="00C70F0B">
        <w:rPr>
          <w:rFonts w:hAnsi="宋体"/>
          <w:szCs w:val="21"/>
        </w:rPr>
        <w:t>2.</w:t>
      </w:r>
      <w:r w:rsidRPr="00C70F0B">
        <w:rPr>
          <w:rFonts w:hAnsi="宋体"/>
          <w:szCs w:val="21"/>
        </w:rPr>
        <w:t>致癌试验：致突变试验有阳性结果、可疑有致癌作用的原料药必做。</w:t>
      </w:r>
    </w:p>
    <w:p w:rsidR="002A4617" w:rsidRPr="001F244E" w:rsidRDefault="002A4617" w:rsidP="002A4617">
      <w:pPr>
        <w:spacing w:line="360" w:lineRule="auto"/>
        <w:jc w:val="center"/>
        <w:rPr>
          <w:rFonts w:eastAsia="黑体"/>
          <w:sz w:val="30"/>
          <w:szCs w:val="30"/>
        </w:rPr>
      </w:pPr>
      <w:r w:rsidRPr="001F244E">
        <w:rPr>
          <w:rFonts w:eastAsia="黑体"/>
          <w:sz w:val="30"/>
          <w:szCs w:val="30"/>
        </w:rPr>
        <w:t>三、毒理学评价试验结果的评定</w:t>
      </w:r>
    </w:p>
    <w:p w:rsidR="002A4617" w:rsidRPr="001F244E" w:rsidRDefault="002A4617" w:rsidP="002A4617">
      <w:pPr>
        <w:spacing w:line="360" w:lineRule="auto"/>
        <w:rPr>
          <w:rFonts w:eastAsia="黑体"/>
          <w:sz w:val="28"/>
          <w:szCs w:val="28"/>
        </w:rPr>
      </w:pPr>
      <w:r w:rsidRPr="001F244E">
        <w:rPr>
          <w:rFonts w:eastAsia="黑体"/>
          <w:sz w:val="28"/>
          <w:szCs w:val="28"/>
        </w:rPr>
        <w:t>（一）急性毒理学试验阶段</w:t>
      </w:r>
    </w:p>
    <w:p w:rsidR="002A4617" w:rsidRPr="00C70F0B" w:rsidRDefault="002A4617" w:rsidP="002A4617">
      <w:pPr>
        <w:spacing w:line="360" w:lineRule="auto"/>
        <w:ind w:firstLineChars="200" w:firstLine="420"/>
        <w:rPr>
          <w:rFonts w:hAnsi="宋体"/>
          <w:szCs w:val="21"/>
        </w:rPr>
      </w:pPr>
      <w:r w:rsidRPr="00C70F0B">
        <w:rPr>
          <w:rFonts w:hAnsi="宋体"/>
          <w:szCs w:val="21"/>
        </w:rPr>
        <w:t>如经口</w:t>
      </w:r>
      <w:r w:rsidRPr="00C70F0B">
        <w:rPr>
          <w:rFonts w:hAnsi="宋体"/>
          <w:szCs w:val="21"/>
        </w:rPr>
        <w:t>LD50</w:t>
      </w:r>
      <w:r w:rsidRPr="00C70F0B">
        <w:rPr>
          <w:rFonts w:hAnsi="宋体"/>
          <w:szCs w:val="21"/>
        </w:rPr>
        <w:t>小于</w:t>
      </w:r>
      <w:r w:rsidRPr="00C70F0B">
        <w:rPr>
          <w:rFonts w:hAnsi="宋体"/>
          <w:szCs w:val="21"/>
        </w:rPr>
        <w:t>10mg/kg</w:t>
      </w:r>
      <w:r w:rsidRPr="00C70F0B">
        <w:rPr>
          <w:rFonts w:hAnsi="宋体"/>
          <w:szCs w:val="21"/>
        </w:rPr>
        <w:t>体重的原料药或小于</w:t>
      </w:r>
      <w:proofErr w:type="gramStart"/>
      <w:r w:rsidRPr="00C70F0B">
        <w:rPr>
          <w:rFonts w:hAnsi="宋体"/>
          <w:szCs w:val="21"/>
        </w:rPr>
        <w:t>靶动物</w:t>
      </w:r>
      <w:proofErr w:type="gramEnd"/>
      <w:r w:rsidRPr="00C70F0B">
        <w:rPr>
          <w:rFonts w:hAnsi="宋体"/>
          <w:szCs w:val="21"/>
        </w:rPr>
        <w:t>可能摄入量</w:t>
      </w:r>
      <w:r w:rsidRPr="00C70F0B">
        <w:rPr>
          <w:rFonts w:hAnsi="宋体"/>
          <w:szCs w:val="21"/>
        </w:rPr>
        <w:t>10</w:t>
      </w:r>
      <w:r w:rsidRPr="00C70F0B">
        <w:rPr>
          <w:rFonts w:hAnsi="宋体"/>
          <w:szCs w:val="21"/>
        </w:rPr>
        <w:t>倍的药物饲料添加剂，一般放弃该供试药品用作为兽药使用，不再继续其他毒理学试验。</w:t>
      </w:r>
    </w:p>
    <w:p w:rsidR="002A4617" w:rsidRPr="001F244E" w:rsidRDefault="002A4617" w:rsidP="002A4617">
      <w:pPr>
        <w:spacing w:line="360" w:lineRule="auto"/>
        <w:rPr>
          <w:rFonts w:eastAsia="黑体"/>
          <w:sz w:val="28"/>
          <w:szCs w:val="28"/>
        </w:rPr>
      </w:pPr>
      <w:r w:rsidRPr="001F244E">
        <w:rPr>
          <w:rFonts w:eastAsia="黑体"/>
          <w:sz w:val="28"/>
          <w:szCs w:val="28"/>
        </w:rPr>
        <w:t>（二）亚慢性毒性试验阶段</w:t>
      </w:r>
    </w:p>
    <w:p w:rsidR="002A4617" w:rsidRPr="00C70F0B" w:rsidRDefault="002A4617" w:rsidP="002A4617">
      <w:pPr>
        <w:spacing w:line="360" w:lineRule="auto"/>
        <w:ind w:firstLineChars="200" w:firstLine="420"/>
        <w:rPr>
          <w:rFonts w:hAnsi="宋体"/>
          <w:szCs w:val="21"/>
        </w:rPr>
      </w:pPr>
      <w:r w:rsidRPr="00C70F0B">
        <w:rPr>
          <w:rFonts w:hAnsi="宋体"/>
          <w:szCs w:val="21"/>
        </w:rPr>
        <w:t>中毒剂量小于推荐剂量</w:t>
      </w:r>
      <w:r w:rsidRPr="00C70F0B">
        <w:rPr>
          <w:rFonts w:hAnsi="宋体"/>
          <w:szCs w:val="21"/>
        </w:rPr>
        <w:t>2</w:t>
      </w:r>
      <w:r w:rsidRPr="00C70F0B">
        <w:rPr>
          <w:rFonts w:hAnsi="宋体"/>
          <w:szCs w:val="21"/>
        </w:rPr>
        <w:t>～</w:t>
      </w:r>
      <w:r w:rsidRPr="00C70F0B">
        <w:rPr>
          <w:rFonts w:hAnsi="宋体"/>
          <w:szCs w:val="21"/>
        </w:rPr>
        <w:t>3</w:t>
      </w:r>
      <w:r w:rsidRPr="00C70F0B">
        <w:rPr>
          <w:rFonts w:hAnsi="宋体"/>
          <w:szCs w:val="21"/>
        </w:rPr>
        <w:t>倍的各种原料药一般不能作为兽药使用，蓄积系数小于</w:t>
      </w:r>
      <w:r w:rsidRPr="00C70F0B">
        <w:rPr>
          <w:rFonts w:hAnsi="宋体"/>
          <w:szCs w:val="21"/>
        </w:rPr>
        <w:t>3</w:t>
      </w:r>
      <w:r w:rsidRPr="00C70F0B">
        <w:rPr>
          <w:rFonts w:hAnsi="宋体"/>
          <w:szCs w:val="21"/>
        </w:rPr>
        <w:t>的原料药一般不能作为药物饲料添加剂使用。</w:t>
      </w:r>
    </w:p>
    <w:p w:rsidR="002A4617" w:rsidRPr="001F244E" w:rsidRDefault="002A4617" w:rsidP="002A4617">
      <w:pPr>
        <w:spacing w:line="360" w:lineRule="auto"/>
        <w:rPr>
          <w:rFonts w:eastAsia="黑体"/>
          <w:sz w:val="28"/>
          <w:szCs w:val="28"/>
        </w:rPr>
      </w:pPr>
      <w:r w:rsidRPr="001F244E">
        <w:rPr>
          <w:rFonts w:eastAsia="黑体"/>
          <w:sz w:val="28"/>
          <w:szCs w:val="28"/>
        </w:rPr>
        <w:t>（三）致突变试验阶段</w:t>
      </w:r>
    </w:p>
    <w:p w:rsidR="002A4617" w:rsidRPr="00C70F0B" w:rsidRDefault="002A4617" w:rsidP="002A4617">
      <w:pPr>
        <w:spacing w:line="360" w:lineRule="auto"/>
        <w:ind w:firstLineChars="200" w:firstLine="420"/>
        <w:rPr>
          <w:rFonts w:hAnsi="宋体"/>
          <w:szCs w:val="21"/>
        </w:rPr>
      </w:pPr>
      <w:r w:rsidRPr="00C70F0B">
        <w:rPr>
          <w:rFonts w:hAnsi="宋体"/>
          <w:szCs w:val="21"/>
        </w:rPr>
        <w:t>三项试验中有一项是阳性结果的原料药一般不能用于食品动物，如果此原料药特别重要必须补做</w:t>
      </w:r>
      <w:r w:rsidRPr="00C70F0B">
        <w:rPr>
          <w:rFonts w:hAnsi="宋体"/>
          <w:szCs w:val="21"/>
        </w:rPr>
        <w:t>1</w:t>
      </w:r>
      <w:r w:rsidRPr="00C70F0B">
        <w:rPr>
          <w:rFonts w:hAnsi="宋体"/>
          <w:szCs w:val="21"/>
        </w:rPr>
        <w:t>～</w:t>
      </w:r>
      <w:r w:rsidRPr="00C70F0B">
        <w:rPr>
          <w:rFonts w:hAnsi="宋体"/>
          <w:szCs w:val="21"/>
        </w:rPr>
        <w:t>2</w:t>
      </w:r>
      <w:r w:rsidRPr="00C70F0B">
        <w:rPr>
          <w:rFonts w:hAnsi="宋体"/>
          <w:szCs w:val="21"/>
        </w:rPr>
        <w:t>项其他毒理学试验，并要通过致癌试验进行确证。</w:t>
      </w:r>
    </w:p>
    <w:p w:rsidR="002A4617" w:rsidRPr="001F244E" w:rsidRDefault="002A4617" w:rsidP="002A4617">
      <w:pPr>
        <w:spacing w:line="360" w:lineRule="auto"/>
        <w:rPr>
          <w:rFonts w:eastAsia="黑体"/>
          <w:sz w:val="28"/>
          <w:szCs w:val="28"/>
        </w:rPr>
      </w:pPr>
      <w:r w:rsidRPr="001F244E">
        <w:rPr>
          <w:rFonts w:eastAsia="黑体"/>
          <w:sz w:val="28"/>
          <w:szCs w:val="28"/>
        </w:rPr>
        <w:lastRenderedPageBreak/>
        <w:t>（四）生殖毒性试验阶段</w:t>
      </w:r>
    </w:p>
    <w:p w:rsidR="002A4617" w:rsidRPr="00C70F0B" w:rsidRDefault="002A4617" w:rsidP="002A4617">
      <w:pPr>
        <w:spacing w:line="360" w:lineRule="auto"/>
        <w:ind w:firstLineChars="200" w:firstLine="420"/>
        <w:rPr>
          <w:rFonts w:hAnsi="宋体"/>
          <w:szCs w:val="21"/>
        </w:rPr>
      </w:pPr>
      <w:r w:rsidRPr="00C70F0B">
        <w:rPr>
          <w:rFonts w:hAnsi="宋体"/>
          <w:szCs w:val="21"/>
        </w:rPr>
        <w:t>最小致畸剂量小于推荐剂量</w:t>
      </w:r>
      <w:r w:rsidRPr="00C70F0B">
        <w:rPr>
          <w:rFonts w:hAnsi="宋体"/>
          <w:szCs w:val="21"/>
        </w:rPr>
        <w:t>3</w:t>
      </w:r>
      <w:r w:rsidRPr="00C70F0B">
        <w:rPr>
          <w:rFonts w:hAnsi="宋体"/>
          <w:szCs w:val="21"/>
        </w:rPr>
        <w:t>倍的药物不能用于怀孕动物；有明显繁殖毒性的药物一般不能用于种畜。</w:t>
      </w:r>
    </w:p>
    <w:p w:rsidR="002A4617" w:rsidRPr="001F244E" w:rsidRDefault="002A4617" w:rsidP="002A4617">
      <w:pPr>
        <w:spacing w:line="360" w:lineRule="auto"/>
        <w:rPr>
          <w:rFonts w:eastAsia="黑体"/>
          <w:sz w:val="28"/>
          <w:szCs w:val="28"/>
        </w:rPr>
      </w:pPr>
      <w:r w:rsidRPr="001F244E">
        <w:rPr>
          <w:rFonts w:eastAsia="黑体"/>
          <w:sz w:val="28"/>
          <w:szCs w:val="28"/>
        </w:rPr>
        <w:t>（五）慢性毒性阶段</w:t>
      </w:r>
    </w:p>
    <w:p w:rsidR="002A4617" w:rsidRPr="00C70F0B" w:rsidRDefault="002A4617" w:rsidP="002A4617">
      <w:pPr>
        <w:spacing w:line="360" w:lineRule="auto"/>
        <w:ind w:firstLineChars="200" w:firstLine="420"/>
        <w:rPr>
          <w:rFonts w:hAnsi="宋体"/>
          <w:szCs w:val="21"/>
        </w:rPr>
      </w:pPr>
      <w:r w:rsidRPr="00C70F0B">
        <w:rPr>
          <w:rFonts w:hAnsi="宋体"/>
          <w:szCs w:val="21"/>
        </w:rPr>
        <w:t>致癌试验结果阳性或可疑的原料药一般不能用于食品动物。</w:t>
      </w:r>
    </w:p>
    <w:p w:rsidR="002A4617" w:rsidRPr="001F244E" w:rsidRDefault="002A4617" w:rsidP="002A4617">
      <w:pPr>
        <w:spacing w:line="360" w:lineRule="auto"/>
        <w:jc w:val="center"/>
        <w:rPr>
          <w:rFonts w:eastAsia="黑体"/>
          <w:sz w:val="30"/>
          <w:szCs w:val="30"/>
        </w:rPr>
      </w:pPr>
      <w:r w:rsidRPr="001F244E">
        <w:rPr>
          <w:rFonts w:eastAsia="黑体"/>
          <w:sz w:val="30"/>
          <w:szCs w:val="30"/>
        </w:rPr>
        <w:t>四、评定程序各阶段试验的选择原则</w:t>
      </w:r>
    </w:p>
    <w:p w:rsidR="002A4617" w:rsidRPr="001F244E" w:rsidRDefault="002A4617" w:rsidP="002A4617">
      <w:pPr>
        <w:spacing w:line="360" w:lineRule="auto"/>
        <w:rPr>
          <w:rFonts w:eastAsia="黑体"/>
          <w:sz w:val="28"/>
          <w:szCs w:val="28"/>
        </w:rPr>
      </w:pPr>
      <w:r w:rsidRPr="001F244E">
        <w:rPr>
          <w:rFonts w:eastAsia="黑体"/>
          <w:sz w:val="28"/>
          <w:szCs w:val="28"/>
        </w:rPr>
        <w:t>（一）兽用化学药品毒理学评价试验的选择原则</w:t>
      </w:r>
    </w:p>
    <w:p w:rsidR="002A4617" w:rsidRPr="00C70F0B" w:rsidRDefault="002A4617" w:rsidP="002A4617">
      <w:pPr>
        <w:spacing w:line="360" w:lineRule="auto"/>
        <w:ind w:firstLineChars="200" w:firstLine="420"/>
        <w:rPr>
          <w:rFonts w:hAnsi="宋体"/>
          <w:szCs w:val="21"/>
        </w:rPr>
      </w:pPr>
      <w:r w:rsidRPr="00C70F0B">
        <w:rPr>
          <w:rFonts w:hAnsi="宋体"/>
          <w:szCs w:val="21"/>
        </w:rPr>
        <w:t>1.</w:t>
      </w:r>
      <w:r w:rsidRPr="00C70F0B">
        <w:rPr>
          <w:rFonts w:hAnsi="宋体"/>
          <w:szCs w:val="21"/>
        </w:rPr>
        <w:t>国内外未上市销售的原料</w:t>
      </w:r>
    </w:p>
    <w:p w:rsidR="002A4617" w:rsidRPr="00C70F0B" w:rsidRDefault="002A4617" w:rsidP="002A4617">
      <w:pPr>
        <w:spacing w:line="360" w:lineRule="auto"/>
        <w:ind w:firstLineChars="200" w:firstLine="420"/>
        <w:rPr>
          <w:rFonts w:hAnsi="宋体"/>
          <w:szCs w:val="21"/>
        </w:rPr>
      </w:pPr>
      <w:r w:rsidRPr="00C70F0B">
        <w:rPr>
          <w:rFonts w:hAnsi="宋体"/>
          <w:szCs w:val="21"/>
        </w:rPr>
        <w:t>必需进行上述五个阶段的试验，并提供相应的试验报告，如果第一、二、三、四阶段试验能证明该产品无致癌性、不是长期用药的原料药可不进行第五阶段试验。</w:t>
      </w:r>
    </w:p>
    <w:p w:rsidR="002A4617" w:rsidRPr="00C70F0B" w:rsidRDefault="002A4617" w:rsidP="002A4617">
      <w:pPr>
        <w:spacing w:line="360" w:lineRule="auto"/>
        <w:ind w:firstLineChars="200" w:firstLine="420"/>
        <w:rPr>
          <w:rFonts w:hAnsi="宋体"/>
          <w:szCs w:val="21"/>
        </w:rPr>
      </w:pPr>
      <w:r w:rsidRPr="00C70F0B">
        <w:rPr>
          <w:rFonts w:hAnsi="宋体"/>
          <w:szCs w:val="21"/>
        </w:rPr>
        <w:t>2</w:t>
      </w:r>
      <w:r w:rsidRPr="00C70F0B">
        <w:rPr>
          <w:rFonts w:hAnsi="宋体"/>
          <w:szCs w:val="21"/>
        </w:rPr>
        <w:t>国外已上市销售但国内未上市销售的原料</w:t>
      </w:r>
    </w:p>
    <w:p w:rsidR="002A4617" w:rsidRPr="00C70F0B" w:rsidRDefault="002A4617" w:rsidP="002A4617">
      <w:pPr>
        <w:spacing w:line="360" w:lineRule="auto"/>
        <w:ind w:firstLineChars="200" w:firstLine="420"/>
        <w:rPr>
          <w:rFonts w:hAnsi="宋体"/>
          <w:szCs w:val="21"/>
        </w:rPr>
      </w:pPr>
      <w:r w:rsidRPr="00C70F0B">
        <w:rPr>
          <w:rFonts w:hAnsi="宋体"/>
          <w:szCs w:val="21"/>
        </w:rPr>
        <w:t>必须进行第一阶段试验，并提供相应的试验报告；并同时提供国外同产品第一、二、三、四、五阶段的文献资料。</w:t>
      </w:r>
    </w:p>
    <w:p w:rsidR="002A4617" w:rsidRPr="00C70F0B" w:rsidRDefault="002A4617" w:rsidP="002A4617">
      <w:pPr>
        <w:spacing w:line="360" w:lineRule="auto"/>
        <w:ind w:firstLineChars="200" w:firstLine="420"/>
        <w:rPr>
          <w:rFonts w:hAnsi="宋体"/>
          <w:szCs w:val="21"/>
        </w:rPr>
      </w:pPr>
      <w:r w:rsidRPr="00C70F0B">
        <w:rPr>
          <w:rFonts w:hAnsi="宋体"/>
          <w:szCs w:val="21"/>
        </w:rPr>
        <w:t>3.</w:t>
      </w:r>
      <w:r w:rsidRPr="00C70F0B">
        <w:rPr>
          <w:rFonts w:hAnsi="宋体"/>
          <w:szCs w:val="21"/>
        </w:rPr>
        <w:t>改变国内外已上市销售的原料（如成盐、成脂、改变碱根）</w:t>
      </w:r>
    </w:p>
    <w:p w:rsidR="002A4617" w:rsidRPr="00C70F0B" w:rsidRDefault="002A4617" w:rsidP="002A4617">
      <w:pPr>
        <w:spacing w:line="360" w:lineRule="auto"/>
        <w:ind w:firstLineChars="200" w:firstLine="420"/>
        <w:rPr>
          <w:rFonts w:hAnsi="宋体"/>
          <w:szCs w:val="21"/>
        </w:rPr>
      </w:pPr>
      <w:r w:rsidRPr="00C70F0B">
        <w:rPr>
          <w:rFonts w:hAnsi="宋体"/>
          <w:szCs w:val="21"/>
        </w:rPr>
        <w:t>必须进行第一、二阶段试验，并提供相应的试验报告；如果试验结果与已上市销售的相应产品相似，可不进行第三、四、五阶段试验，但需提供相关的文献资料；如果试验结果与已上市销售的相应产品有明显差异，必须进行第三、四、五阶段试验。</w:t>
      </w:r>
    </w:p>
    <w:p w:rsidR="002A4617" w:rsidRPr="001F244E" w:rsidRDefault="002A4617" w:rsidP="002A4617">
      <w:pPr>
        <w:spacing w:line="360" w:lineRule="auto"/>
        <w:rPr>
          <w:rFonts w:eastAsia="黑体"/>
          <w:sz w:val="28"/>
          <w:szCs w:val="28"/>
        </w:rPr>
      </w:pPr>
      <w:r w:rsidRPr="001F244E">
        <w:rPr>
          <w:rFonts w:eastAsia="黑体"/>
          <w:sz w:val="28"/>
          <w:szCs w:val="28"/>
        </w:rPr>
        <w:t>（二）兽用消毒剂毒理学试验的选择原则</w:t>
      </w:r>
    </w:p>
    <w:p w:rsidR="002A4617" w:rsidRPr="00C70F0B" w:rsidRDefault="002A4617" w:rsidP="002A4617">
      <w:pPr>
        <w:spacing w:line="360" w:lineRule="auto"/>
        <w:ind w:firstLineChars="200" w:firstLine="420"/>
        <w:rPr>
          <w:rFonts w:hAnsi="宋体"/>
          <w:szCs w:val="21"/>
        </w:rPr>
      </w:pPr>
      <w:r w:rsidRPr="00C70F0B">
        <w:rPr>
          <w:rFonts w:hAnsi="宋体"/>
          <w:szCs w:val="21"/>
        </w:rPr>
        <w:t>1.</w:t>
      </w:r>
      <w:r w:rsidRPr="00C70F0B">
        <w:rPr>
          <w:rFonts w:hAnsi="宋体"/>
          <w:szCs w:val="21"/>
        </w:rPr>
        <w:t>未在国内外上市销售的兽用消毒剂</w:t>
      </w:r>
    </w:p>
    <w:p w:rsidR="002A4617" w:rsidRPr="00C70F0B" w:rsidRDefault="002A4617" w:rsidP="002A4617">
      <w:pPr>
        <w:spacing w:line="360" w:lineRule="auto"/>
        <w:ind w:firstLineChars="200" w:firstLine="420"/>
        <w:rPr>
          <w:rFonts w:hAnsi="宋体"/>
          <w:szCs w:val="21"/>
        </w:rPr>
      </w:pPr>
      <w:r w:rsidRPr="00C70F0B">
        <w:rPr>
          <w:rFonts w:hAnsi="宋体"/>
          <w:szCs w:val="21"/>
        </w:rPr>
        <w:t>必需进行上述五个阶段的试验，并提供相应的试验报告，如果第一、二、三、四阶段试验能证明该产品无致癌性、可不进行第五阶段试验。</w:t>
      </w:r>
    </w:p>
    <w:p w:rsidR="002A4617" w:rsidRPr="00C70F0B" w:rsidRDefault="002A4617" w:rsidP="002A4617">
      <w:pPr>
        <w:spacing w:line="360" w:lineRule="auto"/>
        <w:ind w:firstLineChars="200" w:firstLine="420"/>
        <w:rPr>
          <w:rFonts w:hAnsi="宋体"/>
          <w:szCs w:val="21"/>
        </w:rPr>
      </w:pPr>
      <w:r w:rsidRPr="00C70F0B">
        <w:rPr>
          <w:rFonts w:hAnsi="宋体"/>
          <w:szCs w:val="21"/>
        </w:rPr>
        <w:t>2.</w:t>
      </w:r>
      <w:r w:rsidRPr="00C70F0B">
        <w:rPr>
          <w:rFonts w:hAnsi="宋体"/>
          <w:szCs w:val="21"/>
        </w:rPr>
        <w:t>已在国外上市销售但尚未在国内上市销售的兽用消毒剂，必须进行第一阶段试验，并提供相应的试验报告；并同时提供国外同产品的第一、二、三、四、五阶段的文献资料。</w:t>
      </w:r>
    </w:p>
    <w:p w:rsidR="002A4617" w:rsidRPr="00C70F0B" w:rsidRDefault="002A4617" w:rsidP="002A4617">
      <w:pPr>
        <w:spacing w:line="360" w:lineRule="auto"/>
        <w:ind w:firstLineChars="200" w:firstLine="420"/>
        <w:rPr>
          <w:rFonts w:hAnsi="宋体"/>
          <w:szCs w:val="21"/>
        </w:rPr>
      </w:pPr>
      <w:r w:rsidRPr="00C70F0B">
        <w:rPr>
          <w:rFonts w:hAnsi="宋体"/>
          <w:szCs w:val="21"/>
        </w:rPr>
        <w:t>3.</w:t>
      </w:r>
      <w:r w:rsidRPr="00C70F0B">
        <w:rPr>
          <w:rFonts w:hAnsi="宋体"/>
          <w:szCs w:val="21"/>
        </w:rPr>
        <w:t>改变已在国内外上市销售的处方、剂型等消毒剂</w:t>
      </w:r>
    </w:p>
    <w:p w:rsidR="002A4617" w:rsidRPr="00C70F0B" w:rsidRDefault="002A4617" w:rsidP="002A4617">
      <w:pPr>
        <w:spacing w:line="360" w:lineRule="auto"/>
        <w:ind w:firstLineChars="200" w:firstLine="420"/>
        <w:rPr>
          <w:rFonts w:hAnsi="宋体"/>
          <w:szCs w:val="21"/>
        </w:rPr>
      </w:pPr>
      <w:r w:rsidRPr="00C70F0B">
        <w:rPr>
          <w:rFonts w:hAnsi="宋体"/>
          <w:szCs w:val="21"/>
        </w:rPr>
        <w:t>一般不要求进行毒理学试验，也不需提供文献资料。</w:t>
      </w:r>
    </w:p>
    <w:p w:rsidR="002A4617" w:rsidRPr="001F244E" w:rsidRDefault="002A4617" w:rsidP="002A4617">
      <w:pPr>
        <w:spacing w:line="360" w:lineRule="auto"/>
        <w:rPr>
          <w:rFonts w:eastAsia="黑体"/>
          <w:sz w:val="28"/>
          <w:szCs w:val="28"/>
        </w:rPr>
      </w:pPr>
      <w:r w:rsidRPr="001F244E">
        <w:rPr>
          <w:rFonts w:eastAsia="黑体"/>
          <w:sz w:val="28"/>
          <w:szCs w:val="28"/>
        </w:rPr>
        <w:t>（三）各类进口兽药毒理学评价试验的选择原则</w:t>
      </w:r>
    </w:p>
    <w:p w:rsidR="002A4617" w:rsidRPr="00C70F0B" w:rsidRDefault="002A4617" w:rsidP="002A4617">
      <w:pPr>
        <w:spacing w:line="360" w:lineRule="auto"/>
        <w:ind w:firstLineChars="200" w:firstLine="420"/>
        <w:rPr>
          <w:rFonts w:hAnsi="宋体"/>
          <w:szCs w:val="21"/>
        </w:rPr>
      </w:pPr>
      <w:r w:rsidRPr="00C70F0B">
        <w:rPr>
          <w:rFonts w:hAnsi="宋体"/>
          <w:szCs w:val="21"/>
        </w:rPr>
        <w:t>各类进口兽药必须按上述程序进行安全性毒理学评定，各阶段试验可提供国外评定该产品的文献资料。仅进口兽用制剂品种，需要提供原料的国外评定该产品的文献资料。</w:t>
      </w:r>
    </w:p>
    <w:p w:rsidR="002A4617" w:rsidRPr="001F244E" w:rsidRDefault="002A4617" w:rsidP="002A4617">
      <w:pPr>
        <w:spacing w:line="360" w:lineRule="auto"/>
        <w:jc w:val="center"/>
        <w:rPr>
          <w:rFonts w:eastAsia="黑体"/>
          <w:sz w:val="30"/>
          <w:szCs w:val="30"/>
        </w:rPr>
      </w:pPr>
      <w:r w:rsidRPr="001F244E">
        <w:rPr>
          <w:rFonts w:eastAsia="黑体"/>
          <w:sz w:val="30"/>
          <w:szCs w:val="30"/>
        </w:rPr>
        <w:lastRenderedPageBreak/>
        <w:t>五、兽药安全性毒理学评价应注意的问题</w:t>
      </w:r>
    </w:p>
    <w:p w:rsidR="002A4617" w:rsidRPr="001F244E" w:rsidRDefault="002A4617" w:rsidP="002A4617">
      <w:pPr>
        <w:spacing w:line="360" w:lineRule="auto"/>
        <w:rPr>
          <w:rFonts w:eastAsia="黑体"/>
          <w:sz w:val="28"/>
          <w:szCs w:val="28"/>
        </w:rPr>
      </w:pPr>
      <w:r w:rsidRPr="001F244E">
        <w:rPr>
          <w:rFonts w:eastAsia="黑体"/>
          <w:sz w:val="28"/>
          <w:szCs w:val="28"/>
        </w:rPr>
        <w:t>（一）试验设计</w:t>
      </w:r>
    </w:p>
    <w:p w:rsidR="002A4617" w:rsidRPr="00C70F0B" w:rsidRDefault="002A4617" w:rsidP="002A4617">
      <w:pPr>
        <w:spacing w:line="360" w:lineRule="auto"/>
        <w:ind w:firstLineChars="200" w:firstLine="420"/>
        <w:rPr>
          <w:rFonts w:hAnsi="宋体"/>
          <w:szCs w:val="21"/>
        </w:rPr>
      </w:pPr>
      <w:r w:rsidRPr="00C70F0B">
        <w:rPr>
          <w:rFonts w:hAnsi="宋体"/>
          <w:szCs w:val="21"/>
        </w:rPr>
        <w:t>各类兽药的安全性评价必须根据受试兽药的具体情况，充分利用国内外现有的相关资料，讲求实效地进行科学的试验设计。</w:t>
      </w:r>
    </w:p>
    <w:p w:rsidR="002A4617" w:rsidRDefault="002A4617" w:rsidP="002A4617">
      <w:pPr>
        <w:spacing w:line="360" w:lineRule="auto"/>
        <w:rPr>
          <w:rFonts w:eastAsia="黑体" w:hint="eastAsia"/>
          <w:sz w:val="28"/>
          <w:szCs w:val="28"/>
        </w:rPr>
      </w:pPr>
      <w:r>
        <w:rPr>
          <w:rFonts w:eastAsia="黑体" w:hint="eastAsia"/>
          <w:sz w:val="28"/>
          <w:szCs w:val="28"/>
        </w:rPr>
        <w:t>（二）受试药物</w:t>
      </w:r>
    </w:p>
    <w:p w:rsidR="002A4617" w:rsidRPr="00C70F0B" w:rsidRDefault="002A4617" w:rsidP="002A4617">
      <w:pPr>
        <w:spacing w:line="360" w:lineRule="auto"/>
        <w:rPr>
          <w:szCs w:val="21"/>
        </w:rPr>
      </w:pPr>
      <w:r w:rsidRPr="001F244E">
        <w:rPr>
          <w:b/>
          <w:sz w:val="24"/>
        </w:rPr>
        <w:t xml:space="preserve">   </w:t>
      </w:r>
      <w:r w:rsidRPr="00C70F0B">
        <w:rPr>
          <w:b/>
          <w:szCs w:val="21"/>
        </w:rPr>
        <w:t xml:space="preserve"> </w:t>
      </w:r>
      <w:r w:rsidRPr="00C70F0B">
        <w:rPr>
          <w:rFonts w:eastAsia="黑体"/>
          <w:szCs w:val="21"/>
        </w:rPr>
        <w:t>1.</w:t>
      </w:r>
      <w:r w:rsidRPr="00C70F0B">
        <w:rPr>
          <w:rFonts w:eastAsia="黑体"/>
          <w:szCs w:val="21"/>
        </w:rPr>
        <w:t>兽用原料药需明确下列信息</w:t>
      </w:r>
      <w:r w:rsidRPr="00C70F0B">
        <w:rPr>
          <w:rFonts w:hAnsi="宋体"/>
          <w:szCs w:val="21"/>
        </w:rPr>
        <w:t>：①供试药品名称，包括通用名、化学名；②供试药品（必要时包括杂质）的化学结构、纯度、性状及物理、化学性质；③供试药品的质量标准及其说明；④供试药品的质量检验报告及稳定性报告；⑤供试药品的适用范围、使用方法和最低、最高推荐量；⑥供试药品的贮存条件、注意事项及保质期。</w:t>
      </w:r>
    </w:p>
    <w:p w:rsidR="002A4617" w:rsidRPr="00C70F0B" w:rsidRDefault="002A4617" w:rsidP="002A4617">
      <w:pPr>
        <w:spacing w:line="360" w:lineRule="auto"/>
        <w:ind w:firstLineChars="200" w:firstLine="420"/>
        <w:rPr>
          <w:szCs w:val="21"/>
        </w:rPr>
      </w:pPr>
      <w:r w:rsidRPr="00C70F0B">
        <w:rPr>
          <w:rFonts w:eastAsia="黑体"/>
          <w:szCs w:val="21"/>
        </w:rPr>
        <w:t>2.</w:t>
      </w:r>
      <w:r w:rsidRPr="00C70F0B">
        <w:rPr>
          <w:rFonts w:eastAsia="黑体"/>
          <w:szCs w:val="21"/>
        </w:rPr>
        <w:t>兽药制剂需明确下列信息</w:t>
      </w:r>
      <w:r w:rsidRPr="00C70F0B">
        <w:rPr>
          <w:rFonts w:hAnsi="宋体"/>
          <w:szCs w:val="21"/>
        </w:rPr>
        <w:t>：除提供第</w:t>
      </w:r>
      <w:r w:rsidRPr="00C70F0B">
        <w:rPr>
          <w:szCs w:val="21"/>
        </w:rPr>
        <w:t>1</w:t>
      </w:r>
      <w:r w:rsidRPr="00C70F0B">
        <w:rPr>
          <w:rFonts w:hAnsi="宋体"/>
          <w:szCs w:val="21"/>
        </w:rPr>
        <w:t>条所要求的资料外，还需提供制剂配方和生产工艺。</w:t>
      </w:r>
    </w:p>
    <w:p w:rsidR="002A4617" w:rsidRPr="00C70F0B" w:rsidRDefault="002A4617" w:rsidP="002A4617">
      <w:pPr>
        <w:spacing w:line="360" w:lineRule="auto"/>
        <w:ind w:firstLineChars="200" w:firstLine="420"/>
        <w:rPr>
          <w:szCs w:val="21"/>
        </w:rPr>
      </w:pPr>
      <w:r w:rsidRPr="00C70F0B">
        <w:rPr>
          <w:rFonts w:eastAsia="黑体"/>
          <w:szCs w:val="21"/>
        </w:rPr>
        <w:t>3.</w:t>
      </w:r>
      <w:r w:rsidRPr="00C70F0B">
        <w:rPr>
          <w:rFonts w:eastAsia="黑体"/>
          <w:szCs w:val="21"/>
        </w:rPr>
        <w:t>供试药品样品数量要求</w:t>
      </w:r>
      <w:r w:rsidRPr="00C70F0B">
        <w:rPr>
          <w:rFonts w:hAnsi="宋体"/>
          <w:szCs w:val="21"/>
        </w:rPr>
        <w:t>：需提供每个供试药品同一批号的</w:t>
      </w:r>
      <w:r w:rsidRPr="00C70F0B">
        <w:rPr>
          <w:szCs w:val="21"/>
        </w:rPr>
        <w:t>3</w:t>
      </w:r>
      <w:r w:rsidRPr="00C70F0B">
        <w:rPr>
          <w:rFonts w:hAnsi="宋体"/>
          <w:szCs w:val="21"/>
        </w:rPr>
        <w:t>份样品及其检验报告；每份样品应为检验需要量的</w:t>
      </w:r>
      <w:r w:rsidRPr="00C70F0B">
        <w:rPr>
          <w:szCs w:val="21"/>
        </w:rPr>
        <w:t>5</w:t>
      </w:r>
      <w:r w:rsidRPr="00C70F0B">
        <w:rPr>
          <w:rFonts w:hAnsi="宋体"/>
          <w:szCs w:val="21"/>
        </w:rPr>
        <w:t>～</w:t>
      </w:r>
      <w:r w:rsidRPr="00C70F0B">
        <w:rPr>
          <w:szCs w:val="21"/>
        </w:rPr>
        <w:t>10</w:t>
      </w:r>
      <w:r w:rsidRPr="00C70F0B">
        <w:rPr>
          <w:rFonts w:hAnsi="宋体"/>
          <w:szCs w:val="21"/>
        </w:rPr>
        <w:t>倍。必要时，还需提供适当的对照品。</w:t>
      </w:r>
    </w:p>
    <w:p w:rsidR="002A4617" w:rsidRPr="00C70F0B" w:rsidRDefault="002A4617" w:rsidP="002A4617">
      <w:pPr>
        <w:spacing w:line="360" w:lineRule="auto"/>
        <w:ind w:firstLineChars="200" w:firstLine="420"/>
        <w:rPr>
          <w:b/>
          <w:szCs w:val="21"/>
        </w:rPr>
      </w:pPr>
      <w:r w:rsidRPr="00C70F0B">
        <w:rPr>
          <w:rFonts w:hAnsi="宋体"/>
          <w:szCs w:val="21"/>
        </w:rPr>
        <w:t>评价兽药安全性的毒理学试验必须在农业部认定、并具有</w:t>
      </w:r>
      <w:r w:rsidRPr="00C70F0B">
        <w:rPr>
          <w:szCs w:val="21"/>
        </w:rPr>
        <w:t>GLP</w:t>
      </w:r>
      <w:r w:rsidRPr="00C70F0B">
        <w:rPr>
          <w:rFonts w:hAnsi="宋体"/>
          <w:szCs w:val="21"/>
        </w:rPr>
        <w:t>试验条件的机构进行。</w:t>
      </w:r>
    </w:p>
    <w:p w:rsidR="002A4617" w:rsidRPr="001F244E" w:rsidRDefault="002A4617" w:rsidP="002A4617">
      <w:pPr>
        <w:spacing w:line="360" w:lineRule="auto"/>
        <w:rPr>
          <w:rFonts w:eastAsia="黑体"/>
          <w:sz w:val="28"/>
          <w:szCs w:val="28"/>
        </w:rPr>
      </w:pPr>
      <w:r w:rsidRPr="001F244E">
        <w:rPr>
          <w:rFonts w:eastAsia="黑体"/>
          <w:sz w:val="28"/>
          <w:szCs w:val="28"/>
        </w:rPr>
        <w:t>（</w:t>
      </w:r>
      <w:r>
        <w:rPr>
          <w:rFonts w:eastAsia="黑体" w:hint="eastAsia"/>
          <w:sz w:val="28"/>
          <w:szCs w:val="28"/>
        </w:rPr>
        <w:t>三</w:t>
      </w:r>
      <w:r w:rsidRPr="001F244E">
        <w:rPr>
          <w:rFonts w:eastAsia="黑体"/>
          <w:sz w:val="28"/>
          <w:szCs w:val="28"/>
        </w:rPr>
        <w:t>）试验方法</w:t>
      </w:r>
    </w:p>
    <w:p w:rsidR="002A4617" w:rsidRPr="00C70F0B" w:rsidRDefault="002A4617" w:rsidP="002A4617">
      <w:pPr>
        <w:spacing w:line="360" w:lineRule="auto"/>
        <w:ind w:firstLineChars="200" w:firstLine="420"/>
        <w:rPr>
          <w:rFonts w:hAnsi="宋体"/>
          <w:szCs w:val="21"/>
        </w:rPr>
      </w:pPr>
      <w:r w:rsidRPr="00C70F0B">
        <w:rPr>
          <w:rFonts w:hAnsi="宋体"/>
          <w:szCs w:val="21"/>
        </w:rPr>
        <w:t>毒理学试验方法和操作技术的标准化是实现国际规范和实验室</w:t>
      </w:r>
      <w:proofErr w:type="gramStart"/>
      <w:r w:rsidRPr="00C70F0B">
        <w:rPr>
          <w:rFonts w:hAnsi="宋体"/>
          <w:szCs w:val="21"/>
        </w:rPr>
        <w:t>间数据</w:t>
      </w:r>
      <w:proofErr w:type="gramEnd"/>
      <w:r w:rsidRPr="00C70F0B">
        <w:rPr>
          <w:rFonts w:hAnsi="宋体"/>
          <w:szCs w:val="21"/>
        </w:rPr>
        <w:t>比较的基础。因此兽药安全性毒理学评定中各项试验方法力求标准化、规范化，并应有质量控制。一般情况下各类毒理学试验应按农业部颁发的相应的试验规范进行。</w:t>
      </w:r>
    </w:p>
    <w:p w:rsidR="002A4617" w:rsidRPr="00C70F0B" w:rsidRDefault="002A4617" w:rsidP="002A4617">
      <w:pPr>
        <w:spacing w:line="360" w:lineRule="auto"/>
        <w:ind w:firstLineChars="200" w:firstLine="420"/>
        <w:rPr>
          <w:rFonts w:hAnsi="宋体"/>
          <w:szCs w:val="21"/>
        </w:rPr>
      </w:pPr>
      <w:r w:rsidRPr="00C70F0B">
        <w:rPr>
          <w:rFonts w:hAnsi="宋体"/>
          <w:szCs w:val="21"/>
        </w:rPr>
        <w:t>对毒理学试验不仅要了解每项试验所能说明的问题，还应该了解试验的局限性或难以说明的问题，以便为安全性评价做出一个比较恰当的结论。所以，各类毒理学试验应在农业部指定的试验单位进行。</w:t>
      </w:r>
    </w:p>
    <w:p w:rsidR="002A4617" w:rsidRPr="001F244E" w:rsidRDefault="002A4617" w:rsidP="002A4617">
      <w:pPr>
        <w:spacing w:line="360" w:lineRule="auto"/>
        <w:rPr>
          <w:rFonts w:eastAsia="黑体"/>
          <w:sz w:val="28"/>
          <w:szCs w:val="28"/>
        </w:rPr>
      </w:pPr>
      <w:r w:rsidRPr="001F244E">
        <w:rPr>
          <w:rFonts w:eastAsia="黑体"/>
          <w:sz w:val="28"/>
          <w:szCs w:val="28"/>
        </w:rPr>
        <w:t>（四）评价结论</w:t>
      </w:r>
    </w:p>
    <w:p w:rsidR="002A4617" w:rsidRPr="00C70F0B" w:rsidRDefault="002A4617" w:rsidP="002A4617">
      <w:pPr>
        <w:spacing w:line="360" w:lineRule="auto"/>
        <w:ind w:firstLineChars="200" w:firstLine="420"/>
        <w:rPr>
          <w:rFonts w:hAnsi="宋体"/>
          <w:szCs w:val="21"/>
        </w:rPr>
      </w:pPr>
      <w:r w:rsidRPr="00C70F0B">
        <w:rPr>
          <w:rFonts w:hAnsi="宋体"/>
          <w:szCs w:val="21"/>
        </w:rPr>
        <w:t>在对各类兽药的安全性下结论时，应由专家组根据毒理学试验的数据和结果，同时进行社会效益和经济效益的分析，并考虑其对环境质量和自然资源的影响，充分权衡利弊，做出合理的评价，提出对受试兽药是否同意使用、禁用、限用或安全接触和使用的条件以及预防对策的建议，为兽药主管部门最后决策提供科学依据。</w:t>
      </w:r>
    </w:p>
    <w:p w:rsidR="00751717" w:rsidRPr="002A4617" w:rsidRDefault="00751717" w:rsidP="002A4617"/>
    <w:sectPr w:rsidR="00751717" w:rsidRPr="002A4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2A4617"/>
    <w:rsid w:val="00347420"/>
    <w:rsid w:val="004A3691"/>
    <w:rsid w:val="00733551"/>
    <w:rsid w:val="00751717"/>
    <w:rsid w:val="008E7B66"/>
    <w:rsid w:val="008F0423"/>
    <w:rsid w:val="008F2F08"/>
    <w:rsid w:val="00AB23AD"/>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691"/>
    <w:pPr>
      <w:widowControl w:val="0"/>
      <w:jc w:val="both"/>
    </w:pPr>
    <w:rPr>
      <w:rFonts w:ascii="Times New Roman" w:eastAsia="宋体" w:hAnsi="Times New Roman" w:cs="Times New Roman"/>
      <w:szCs w:val="24"/>
    </w:rPr>
  </w:style>
  <w:style w:type="paragraph" w:styleId="1">
    <w:name w:val="heading 1"/>
    <w:basedOn w:val="a"/>
    <w:next w:val="a"/>
    <w:link w:val="10"/>
    <w:qFormat/>
    <w:rsid w:val="000D43D9"/>
    <w:pPr>
      <w:keepNext/>
      <w:keepLines/>
      <w:spacing w:before="340" w:after="330" w:line="578" w:lineRule="auto"/>
      <w:outlineLvl w:val="0"/>
    </w:pPr>
    <w:rPr>
      <w:b/>
      <w:bCs/>
      <w:kern w:val="44"/>
      <w:sz w:val="44"/>
      <w:szCs w:val="44"/>
    </w:rPr>
  </w:style>
  <w:style w:type="paragraph" w:styleId="3">
    <w:name w:val="heading 3"/>
    <w:basedOn w:val="a"/>
    <w:next w:val="a"/>
    <w:link w:val="30"/>
    <w:qFormat/>
    <w:rsid w:val="004A36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4A3691"/>
    <w:rPr>
      <w:rFonts w:ascii="Times New Roman" w:eastAsia="宋体" w:hAnsi="Times New Roman" w:cs="Times New Roman"/>
      <w:b/>
      <w:bCs/>
      <w:sz w:val="32"/>
      <w:szCs w:val="32"/>
    </w:rPr>
  </w:style>
  <w:style w:type="paragraph" w:customStyle="1" w:styleId="4CharChar">
    <w:name w:val="标题 4 + 四号 Char Char"/>
    <w:basedOn w:val="4"/>
    <w:link w:val="4CharCharChar"/>
    <w:rsid w:val="004A3691"/>
  </w:style>
  <w:style w:type="paragraph" w:customStyle="1" w:styleId="4">
    <w:name w:val="标题 4 + 加粗"/>
    <w:basedOn w:val="a"/>
    <w:link w:val="4Char"/>
    <w:rsid w:val="004A3691"/>
    <w:pPr>
      <w:autoSpaceDE w:val="0"/>
      <w:autoSpaceDN w:val="0"/>
      <w:adjustRightInd w:val="0"/>
      <w:jc w:val="left"/>
    </w:pPr>
    <w:rPr>
      <w:b/>
      <w:bCs/>
      <w:szCs w:val="21"/>
    </w:rPr>
  </w:style>
  <w:style w:type="character" w:customStyle="1" w:styleId="4Char">
    <w:name w:val="标题 4 + 加粗 Char"/>
    <w:link w:val="4"/>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3">
    <w:name w:val="Hyperlink"/>
    <w:uiPriority w:val="99"/>
    <w:rsid w:val="004A3691"/>
    <w:rPr>
      <w:color w:val="0000FF"/>
      <w:u w:val="single"/>
    </w:rPr>
  </w:style>
  <w:style w:type="character" w:customStyle="1" w:styleId="10">
    <w:name w:val="标题 1 字符"/>
    <w:basedOn w:val="a0"/>
    <w:link w:val="1"/>
    <w:rsid w:val="000D43D9"/>
    <w:rPr>
      <w:rFonts w:ascii="Times New Roman" w:eastAsia="宋体" w:hAnsi="Times New Roman" w:cs="Times New Roman"/>
      <w:b/>
      <w:bCs/>
      <w:kern w:val="44"/>
      <w:sz w:val="44"/>
      <w:szCs w:val="44"/>
    </w:rPr>
  </w:style>
  <w:style w:type="paragraph" w:customStyle="1" w:styleId="11">
    <w:name w:val="样式1"/>
    <w:basedOn w:val="a"/>
    <w:next w:val="a4"/>
    <w:rsid w:val="00EC33AC"/>
    <w:rPr>
      <w:rFonts w:ascii="宋体" w:hAnsi="Courier New"/>
      <w:szCs w:val="21"/>
    </w:rPr>
  </w:style>
  <w:style w:type="paragraph" w:styleId="a4">
    <w:name w:val="Plain Text"/>
    <w:basedOn w:val="a"/>
    <w:link w:val="a5"/>
    <w:unhideWhenUsed/>
    <w:rsid w:val="00EC33AC"/>
    <w:rPr>
      <w:rFonts w:asciiTheme="minorEastAsia" w:eastAsiaTheme="minorEastAsia" w:hAnsi="Courier New" w:cs="Courier New"/>
    </w:rPr>
  </w:style>
  <w:style w:type="character" w:customStyle="1" w:styleId="a5">
    <w:name w:val="纯文本 字符"/>
    <w:basedOn w:val="a0"/>
    <w:link w:val="a4"/>
    <w:rsid w:val="00EC33AC"/>
    <w:rPr>
      <w:rFonts w:asciiTheme="minorEastAsia" w:hAnsi="Courier New" w:cs="Courier New"/>
      <w:szCs w:val="24"/>
    </w:rPr>
  </w:style>
  <w:style w:type="paragraph" w:customStyle="1" w:styleId="40">
    <w:name w:val="标题 4 +"/>
    <w:basedOn w:val="3"/>
    <w:rsid w:val="00073ECD"/>
    <w:rPr>
      <w:kern w:val="0"/>
    </w:rPr>
  </w:style>
  <w:style w:type="paragraph" w:styleId="31">
    <w:name w:val="Body Text Indent 3"/>
    <w:basedOn w:val="a"/>
    <w:link w:val="32"/>
    <w:rsid w:val="00AB23AD"/>
    <w:pPr>
      <w:spacing w:after="120"/>
      <w:ind w:leftChars="200" w:left="420"/>
    </w:pPr>
    <w:rPr>
      <w:sz w:val="16"/>
      <w:szCs w:val="16"/>
    </w:rPr>
  </w:style>
  <w:style w:type="character" w:customStyle="1" w:styleId="32">
    <w:name w:val="正文文本缩进 3 字符"/>
    <w:basedOn w:val="a0"/>
    <w:link w:val="31"/>
    <w:rsid w:val="00AB23AD"/>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2024-03-18T08:53:00Z</dcterms:created>
  <dcterms:modified xsi:type="dcterms:W3CDTF">2024-03-18T08:53:00Z</dcterms:modified>
</cp:coreProperties>
</file>