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08" w:rsidRPr="00DA0E42" w:rsidRDefault="008F2F08" w:rsidP="008F2F08">
      <w:pPr>
        <w:spacing w:line="360" w:lineRule="auto"/>
        <w:jc w:val="center"/>
        <w:outlineLvl w:val="1"/>
        <w:rPr>
          <w:rFonts w:eastAsia="黑体"/>
          <w:sz w:val="36"/>
          <w:szCs w:val="36"/>
        </w:rPr>
      </w:pPr>
      <w:bookmarkStart w:id="0" w:name="_Toc515364881"/>
      <w:bookmarkStart w:id="1" w:name="_Toc515302124"/>
      <w:bookmarkStart w:id="2" w:name="_Toc515278846"/>
      <w:bookmarkStart w:id="3" w:name="_Toc515277019"/>
      <w:bookmarkStart w:id="4" w:name="_Toc514595502"/>
      <w:bookmarkStart w:id="5" w:name="_Toc514227201"/>
      <w:bookmarkStart w:id="6" w:name="_Toc514226752"/>
      <w:bookmarkStart w:id="7" w:name="_Toc308442090"/>
      <w:bookmarkStart w:id="8" w:name="_GoBack"/>
      <w:r w:rsidRPr="00DA0E42">
        <w:rPr>
          <w:rFonts w:eastAsia="黑体"/>
          <w:sz w:val="36"/>
          <w:szCs w:val="36"/>
        </w:rPr>
        <w:t>兽用化学药物临床药代动力学</w:t>
      </w:r>
      <w:bookmarkEnd w:id="0"/>
      <w:bookmarkEnd w:id="1"/>
      <w:bookmarkEnd w:id="2"/>
      <w:bookmarkEnd w:id="3"/>
      <w:bookmarkEnd w:id="4"/>
      <w:bookmarkEnd w:id="5"/>
      <w:bookmarkEnd w:id="6"/>
      <w:r w:rsidRPr="00DA0E42">
        <w:rPr>
          <w:rFonts w:eastAsia="黑体"/>
          <w:sz w:val="36"/>
          <w:szCs w:val="36"/>
        </w:rPr>
        <w:t>试验指导原则</w:t>
      </w:r>
      <w:bookmarkEnd w:id="7"/>
    </w:p>
    <w:bookmarkEnd w:id="8"/>
    <w:p w:rsidR="008F2F08" w:rsidRPr="00DA0E42" w:rsidRDefault="008F2F08" w:rsidP="008F2F08">
      <w:pPr>
        <w:spacing w:line="360" w:lineRule="auto"/>
        <w:jc w:val="center"/>
        <w:rPr>
          <w:rFonts w:eastAsia="黑体"/>
          <w:bCs/>
          <w:sz w:val="30"/>
          <w:szCs w:val="30"/>
        </w:rPr>
      </w:pPr>
      <w:r w:rsidRPr="00DA0E42">
        <w:rPr>
          <w:rFonts w:eastAsia="黑体"/>
          <w:bCs/>
          <w:sz w:val="30"/>
          <w:szCs w:val="30"/>
        </w:rPr>
        <w:t>一、概述</w:t>
      </w:r>
    </w:p>
    <w:p w:rsidR="008F2F08" w:rsidRPr="00DA0E42" w:rsidRDefault="008F2F08" w:rsidP="008F2F08">
      <w:pPr>
        <w:spacing w:line="360" w:lineRule="auto"/>
        <w:rPr>
          <w:rFonts w:eastAsia="黑体"/>
          <w:sz w:val="28"/>
          <w:szCs w:val="28"/>
        </w:rPr>
      </w:pPr>
      <w:r w:rsidRPr="00DA0E42">
        <w:rPr>
          <w:rFonts w:eastAsia="黑体"/>
          <w:sz w:val="28"/>
          <w:szCs w:val="28"/>
        </w:rPr>
        <w:t>（一）定义与目的</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新兽药的临床药代动力学是研究药物</w:t>
      </w:r>
      <w:proofErr w:type="gramStart"/>
      <w:r w:rsidRPr="00B57F1D">
        <w:rPr>
          <w:color w:val="000000"/>
          <w:kern w:val="0"/>
          <w:szCs w:val="21"/>
        </w:rPr>
        <w:t>在靶动物</w:t>
      </w:r>
      <w:proofErr w:type="gramEnd"/>
      <w:r w:rsidRPr="00B57F1D">
        <w:rPr>
          <w:color w:val="000000"/>
          <w:kern w:val="0"/>
          <w:szCs w:val="21"/>
        </w:rPr>
        <w:t>体内的吸收、分布、代谢和排泄的规律，</w:t>
      </w:r>
      <w:r w:rsidRPr="00B57F1D">
        <w:rPr>
          <w:szCs w:val="21"/>
        </w:rPr>
        <w:t>对药物在动物体内随时间变化而发生的量变规律进行测定，其目的是通过试验获取新兽药</w:t>
      </w:r>
      <w:proofErr w:type="gramStart"/>
      <w:r w:rsidRPr="00B57F1D">
        <w:rPr>
          <w:szCs w:val="21"/>
        </w:rPr>
        <w:t>在靶动物</w:t>
      </w:r>
      <w:proofErr w:type="gramEnd"/>
      <w:r w:rsidRPr="00B57F1D">
        <w:rPr>
          <w:szCs w:val="21"/>
        </w:rPr>
        <w:t>的药动学参数。药动学参数是评价兽药质量的重要指标之一，</w:t>
      </w:r>
      <w:r w:rsidRPr="00B57F1D">
        <w:rPr>
          <w:kern w:val="24"/>
          <w:szCs w:val="21"/>
        </w:rPr>
        <w:t>是药物制剂学研究的主要依据和工具，</w:t>
      </w:r>
      <w:r w:rsidRPr="00B57F1D">
        <w:rPr>
          <w:szCs w:val="21"/>
        </w:rPr>
        <w:t>也是制定合理的给药方案（包括剂量、疗程、给药途径、给药间隔等）的重要理论和实践依据。</w:t>
      </w:r>
    </w:p>
    <w:p w:rsidR="008F2F08" w:rsidRPr="00DA0E42" w:rsidRDefault="008F2F08" w:rsidP="008F2F08">
      <w:pPr>
        <w:spacing w:line="360" w:lineRule="auto"/>
        <w:rPr>
          <w:rFonts w:eastAsia="黑体"/>
          <w:sz w:val="28"/>
          <w:szCs w:val="28"/>
        </w:rPr>
      </w:pPr>
      <w:r w:rsidRPr="00DA0E42">
        <w:rPr>
          <w:rFonts w:eastAsia="黑体"/>
          <w:sz w:val="28"/>
          <w:szCs w:val="28"/>
        </w:rPr>
        <w:t>（二）适用范围</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本指导原则适用于兽用化学药物</w:t>
      </w:r>
      <w:proofErr w:type="gramStart"/>
      <w:r w:rsidRPr="00B57F1D">
        <w:rPr>
          <w:color w:val="000000"/>
          <w:kern w:val="0"/>
          <w:szCs w:val="21"/>
        </w:rPr>
        <w:t>在靶动物</w:t>
      </w:r>
      <w:proofErr w:type="gramEnd"/>
      <w:r w:rsidRPr="00B57F1D">
        <w:rPr>
          <w:color w:val="000000"/>
          <w:kern w:val="0"/>
          <w:szCs w:val="21"/>
        </w:rPr>
        <w:t>进行临床药代动力学试验。各试验单位可根据不同药品的特点，参考本技术指导原则，科学合理地进行试验设计，并对试验结果进行综合评价。</w:t>
      </w:r>
    </w:p>
    <w:p w:rsidR="008F2F08" w:rsidRPr="00DA0E42" w:rsidRDefault="008F2F08" w:rsidP="008F2F08">
      <w:pPr>
        <w:spacing w:line="360" w:lineRule="auto"/>
        <w:jc w:val="center"/>
        <w:rPr>
          <w:rFonts w:eastAsia="黑体"/>
          <w:bCs/>
          <w:sz w:val="30"/>
          <w:szCs w:val="30"/>
        </w:rPr>
      </w:pPr>
      <w:r w:rsidRPr="00DA0E42">
        <w:rPr>
          <w:rFonts w:eastAsia="黑体"/>
          <w:bCs/>
          <w:sz w:val="30"/>
          <w:szCs w:val="30"/>
        </w:rPr>
        <w:t>二、分析方法</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由于生物样品一般来自全血、血清、血浆、尿液或其他组织，具有取样量少、药物浓度低、内源性物质的干扰多（如激素、维生素、胆汁以及可能同服的其他药物）以及个体差异大等特点，因此必须建立灵敏、专一、精确、可靠的生物样品定量分析方法，并对方法进行确证。</w:t>
      </w:r>
    </w:p>
    <w:p w:rsidR="008F2F08" w:rsidRPr="00DA0E42" w:rsidRDefault="008F2F08" w:rsidP="008F2F08">
      <w:pPr>
        <w:spacing w:line="360" w:lineRule="auto"/>
        <w:rPr>
          <w:rFonts w:eastAsia="黑体"/>
          <w:sz w:val="28"/>
          <w:szCs w:val="28"/>
        </w:rPr>
      </w:pPr>
      <w:r w:rsidRPr="00DA0E42">
        <w:rPr>
          <w:rFonts w:eastAsia="黑体"/>
          <w:sz w:val="28"/>
          <w:szCs w:val="28"/>
        </w:rPr>
        <w:t>（一）常用分析方法</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目前常用的分析方法主要有：</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1.</w:t>
      </w:r>
      <w:r w:rsidRPr="00B57F1D">
        <w:rPr>
          <w:rFonts w:eastAsia="黑体"/>
          <w:szCs w:val="21"/>
        </w:rPr>
        <w:t>色谱法</w:t>
      </w:r>
      <w:r w:rsidRPr="00B57F1D">
        <w:rPr>
          <w:color w:val="000000"/>
          <w:kern w:val="0"/>
          <w:szCs w:val="21"/>
        </w:rPr>
        <w:t>：气相色谱法</w:t>
      </w:r>
      <w:r w:rsidRPr="00B57F1D">
        <w:rPr>
          <w:color w:val="000000"/>
          <w:kern w:val="0"/>
          <w:szCs w:val="21"/>
        </w:rPr>
        <w:t>(GC)</w:t>
      </w:r>
      <w:r w:rsidRPr="00B57F1D">
        <w:rPr>
          <w:color w:val="000000"/>
          <w:kern w:val="0"/>
          <w:szCs w:val="21"/>
        </w:rPr>
        <w:t>、高效液相色谱法</w:t>
      </w:r>
      <w:r w:rsidRPr="00B57F1D">
        <w:rPr>
          <w:color w:val="000000"/>
          <w:kern w:val="0"/>
          <w:szCs w:val="21"/>
        </w:rPr>
        <w:t>(HPLC)</w:t>
      </w:r>
      <w:r w:rsidRPr="00B57F1D">
        <w:rPr>
          <w:color w:val="000000"/>
          <w:kern w:val="0"/>
          <w:szCs w:val="21"/>
        </w:rPr>
        <w:t>、色谱－质谱联用法（</w:t>
      </w:r>
      <w:r w:rsidRPr="00B57F1D">
        <w:rPr>
          <w:color w:val="000000"/>
          <w:kern w:val="0"/>
          <w:szCs w:val="21"/>
        </w:rPr>
        <w:t>LC-MS</w:t>
      </w:r>
      <w:r w:rsidRPr="00B57F1D">
        <w:rPr>
          <w:color w:val="000000"/>
          <w:kern w:val="0"/>
          <w:szCs w:val="21"/>
        </w:rPr>
        <w:t>、</w:t>
      </w:r>
      <w:r w:rsidRPr="00B57F1D">
        <w:rPr>
          <w:color w:val="000000"/>
          <w:kern w:val="0"/>
          <w:szCs w:val="21"/>
        </w:rPr>
        <w:t>LC-MS-MS</w:t>
      </w:r>
      <w:r w:rsidRPr="00B57F1D">
        <w:rPr>
          <w:color w:val="000000"/>
          <w:kern w:val="0"/>
          <w:szCs w:val="21"/>
        </w:rPr>
        <w:t>、</w:t>
      </w:r>
      <w:r w:rsidRPr="00B57F1D">
        <w:rPr>
          <w:color w:val="000000"/>
          <w:kern w:val="0"/>
          <w:szCs w:val="21"/>
        </w:rPr>
        <w:t>GC-MS</w:t>
      </w:r>
      <w:r w:rsidRPr="00B57F1D">
        <w:rPr>
          <w:color w:val="000000"/>
          <w:kern w:val="0"/>
          <w:szCs w:val="21"/>
        </w:rPr>
        <w:t>、</w:t>
      </w:r>
      <w:r w:rsidRPr="00B57F1D">
        <w:rPr>
          <w:color w:val="000000"/>
          <w:kern w:val="0"/>
          <w:szCs w:val="21"/>
        </w:rPr>
        <w:t>GC-MS-MS</w:t>
      </w:r>
      <w:r w:rsidRPr="00B57F1D">
        <w:rPr>
          <w:color w:val="000000"/>
          <w:kern w:val="0"/>
          <w:szCs w:val="21"/>
        </w:rPr>
        <w:t>）等，可用于大多数药物的检测。从目前发展看，生物样品的分析一般首选色谱法，如</w:t>
      </w:r>
      <w:r w:rsidRPr="00B57F1D">
        <w:rPr>
          <w:color w:val="000000"/>
          <w:kern w:val="0"/>
          <w:szCs w:val="21"/>
        </w:rPr>
        <w:t>HPLC</w:t>
      </w:r>
      <w:r w:rsidRPr="00B57F1D">
        <w:rPr>
          <w:color w:val="000000"/>
          <w:kern w:val="0"/>
          <w:szCs w:val="21"/>
        </w:rPr>
        <w:t>、</w:t>
      </w:r>
      <w:r w:rsidRPr="00B57F1D">
        <w:rPr>
          <w:color w:val="000000"/>
          <w:kern w:val="0"/>
          <w:szCs w:val="21"/>
        </w:rPr>
        <w:t>GC</w:t>
      </w:r>
      <w:r w:rsidRPr="00B57F1D">
        <w:rPr>
          <w:color w:val="000000"/>
          <w:kern w:val="0"/>
          <w:szCs w:val="21"/>
        </w:rPr>
        <w:t>法或</w:t>
      </w:r>
      <w:r w:rsidRPr="00B57F1D">
        <w:rPr>
          <w:color w:val="000000"/>
          <w:kern w:val="0"/>
          <w:szCs w:val="21"/>
        </w:rPr>
        <w:t>LC-MS</w:t>
      </w:r>
      <w:r w:rsidRPr="00B57F1D">
        <w:rPr>
          <w:color w:val="000000"/>
          <w:kern w:val="0"/>
          <w:szCs w:val="21"/>
        </w:rPr>
        <w:t>、</w:t>
      </w:r>
      <w:r w:rsidRPr="00B57F1D">
        <w:rPr>
          <w:color w:val="000000"/>
          <w:kern w:val="0"/>
          <w:szCs w:val="21"/>
        </w:rPr>
        <w:t>GC-MS</w:t>
      </w:r>
      <w:r w:rsidRPr="00B57F1D">
        <w:rPr>
          <w:color w:val="000000"/>
          <w:kern w:val="0"/>
          <w:szCs w:val="21"/>
        </w:rPr>
        <w:t>法，这类方法灵敏度、特异性、准确性一般都能适应临床药代动力学试验的需要，大约</w:t>
      </w:r>
      <w:r w:rsidRPr="00B57F1D">
        <w:rPr>
          <w:color w:val="000000"/>
          <w:kern w:val="0"/>
          <w:szCs w:val="21"/>
        </w:rPr>
        <w:t>90%</w:t>
      </w:r>
      <w:r w:rsidRPr="00B57F1D">
        <w:rPr>
          <w:color w:val="000000"/>
          <w:kern w:val="0"/>
          <w:szCs w:val="21"/>
        </w:rPr>
        <w:t>的药物浓度测定可以用色谱法来完成。具体选用何种分析方法应根据药物的化学结构、理化性质、仪器条件以及借鉴文献方法多方面因素来考虑确定。</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2.</w:t>
      </w:r>
      <w:r w:rsidRPr="00B57F1D">
        <w:rPr>
          <w:rFonts w:eastAsia="黑体"/>
          <w:szCs w:val="21"/>
        </w:rPr>
        <w:t>免疫学方法</w:t>
      </w:r>
      <w:r w:rsidRPr="00B57F1D">
        <w:rPr>
          <w:color w:val="000000"/>
          <w:kern w:val="0"/>
          <w:szCs w:val="21"/>
        </w:rPr>
        <w:t>：放射免疫分析法、酶免疫分析法、荧光免疫分析法等，多用于蛋白质多肽类物质的检测。</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3.</w:t>
      </w:r>
      <w:r w:rsidRPr="00B57F1D">
        <w:rPr>
          <w:rFonts w:eastAsia="黑体"/>
          <w:szCs w:val="21"/>
        </w:rPr>
        <w:t>微生物学方法</w:t>
      </w:r>
      <w:r w:rsidRPr="00B57F1D">
        <w:rPr>
          <w:color w:val="000000"/>
          <w:kern w:val="0"/>
          <w:szCs w:val="21"/>
        </w:rPr>
        <w:t>：主要用于抗生素或部分抗寄生虫药的检测，如果抗微生物药的代谢产</w:t>
      </w:r>
      <w:r w:rsidRPr="00B57F1D">
        <w:rPr>
          <w:color w:val="000000"/>
          <w:kern w:val="0"/>
          <w:szCs w:val="21"/>
        </w:rPr>
        <w:lastRenderedPageBreak/>
        <w:t>物仍有抗菌活性的，则不宜选用微生物法。</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（二）方法学验证</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生物样品测定的关键是方法学的验证。方法学验证是整个药代动力学试验的基础。这是药代动力学研究有别于其他药理毒理研究的特殊之处。所有药代动力学试验结果，都依赖于生物样品的测定，只有可靠的方法才能得出可靠的结果。在通过特异性、灵敏度、精密度、准确度、稳定性等研究建立了检测方法，得到了标准曲线后，在检测过程中还应进行</w:t>
      </w:r>
      <w:proofErr w:type="gramStart"/>
      <w:r w:rsidRPr="00B57F1D">
        <w:rPr>
          <w:color w:val="000000"/>
          <w:kern w:val="0"/>
          <w:szCs w:val="21"/>
        </w:rPr>
        <w:t>方法学质控</w:t>
      </w:r>
      <w:proofErr w:type="gramEnd"/>
      <w:r w:rsidRPr="00B57F1D">
        <w:rPr>
          <w:color w:val="000000"/>
          <w:kern w:val="0"/>
          <w:szCs w:val="21"/>
        </w:rPr>
        <w:t>，制备</w:t>
      </w:r>
      <w:r w:rsidRPr="00B57F1D">
        <w:rPr>
          <w:kern w:val="0"/>
          <w:szCs w:val="21"/>
        </w:rPr>
        <w:t>随行</w:t>
      </w:r>
      <w:r w:rsidRPr="00B57F1D">
        <w:rPr>
          <w:color w:val="000000"/>
          <w:kern w:val="0"/>
          <w:szCs w:val="21"/>
        </w:rPr>
        <w:t>标准曲线并对质控样品进行测定，以确保检测方法的可靠性。建立可靠的和</w:t>
      </w:r>
      <w:proofErr w:type="gramStart"/>
      <w:r w:rsidRPr="00B57F1D">
        <w:rPr>
          <w:color w:val="000000"/>
          <w:kern w:val="0"/>
          <w:szCs w:val="21"/>
        </w:rPr>
        <w:t>可</w:t>
      </w:r>
      <w:proofErr w:type="gramEnd"/>
      <w:r w:rsidRPr="00B57F1D">
        <w:rPr>
          <w:color w:val="000000"/>
          <w:kern w:val="0"/>
          <w:szCs w:val="21"/>
        </w:rPr>
        <w:t>重复的定量分析方法是进行临床药代动力学试验的关键之一。为了保证分析方法可靠，必须对方法进行充分验证，一般应进行以下几方面的考察。</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1.</w:t>
      </w:r>
      <w:r w:rsidRPr="00B57F1D">
        <w:rPr>
          <w:rFonts w:eastAsia="黑体"/>
          <w:szCs w:val="21"/>
        </w:rPr>
        <w:t>特异性</w:t>
      </w:r>
      <w:r w:rsidRPr="00B57F1D">
        <w:rPr>
          <w:rFonts w:eastAsia="黑体"/>
          <w:szCs w:val="21"/>
        </w:rPr>
        <w:t xml:space="preserve"> </w:t>
      </w:r>
      <w:r w:rsidRPr="00B57F1D">
        <w:rPr>
          <w:color w:val="000000"/>
          <w:kern w:val="0"/>
          <w:szCs w:val="21"/>
        </w:rPr>
        <w:t xml:space="preserve"> </w:t>
      </w:r>
      <w:r w:rsidRPr="00B57F1D">
        <w:rPr>
          <w:color w:val="000000"/>
          <w:kern w:val="0"/>
          <w:szCs w:val="21"/>
        </w:rPr>
        <w:t>指在样品中存在干扰成分的情况下，分析方法能够准确、专一地测定分析物的能力。必须证明所测定物质是受试药品的原形药物或特定活性代谢物，生物样品所含内源性物质和相应代谢物、降解产物不得干扰对样品的测定，如果有几个分析物，应保证每一个分析物都不被干扰。应确定保证分析方法的最佳检测条件。对于色谱法至少要考察</w:t>
      </w:r>
      <w:r w:rsidRPr="00B57F1D">
        <w:rPr>
          <w:color w:val="000000"/>
          <w:kern w:val="0"/>
          <w:szCs w:val="21"/>
        </w:rPr>
        <w:t>6</w:t>
      </w:r>
      <w:r w:rsidRPr="00B57F1D">
        <w:rPr>
          <w:color w:val="000000"/>
          <w:kern w:val="0"/>
          <w:szCs w:val="21"/>
        </w:rPr>
        <w:t>个不同来源空白生物样品色谱图、空白生物样品外加对照物质色谱图（注明浓度）及用药后的生物样品色谱图。采用</w:t>
      </w:r>
      <w:r w:rsidRPr="00B57F1D">
        <w:rPr>
          <w:color w:val="000000"/>
          <w:kern w:val="0"/>
          <w:szCs w:val="21"/>
        </w:rPr>
        <w:t>LC-MS</w:t>
      </w:r>
      <w:r w:rsidRPr="00B57F1D">
        <w:rPr>
          <w:color w:val="000000"/>
          <w:kern w:val="0"/>
          <w:szCs w:val="21"/>
        </w:rPr>
        <w:t>、</w:t>
      </w:r>
      <w:r w:rsidRPr="00B57F1D">
        <w:rPr>
          <w:color w:val="000000"/>
          <w:kern w:val="0"/>
          <w:szCs w:val="21"/>
        </w:rPr>
        <w:t>LC-MS/MS</w:t>
      </w:r>
      <w:r w:rsidRPr="00B57F1D">
        <w:rPr>
          <w:color w:val="000000"/>
          <w:kern w:val="0"/>
          <w:szCs w:val="21"/>
        </w:rPr>
        <w:t>法时应注意考察分析过程中的基质效应。</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2.</w:t>
      </w:r>
      <w:r w:rsidRPr="00B57F1D">
        <w:rPr>
          <w:rFonts w:eastAsia="黑体"/>
          <w:szCs w:val="21"/>
        </w:rPr>
        <w:t>标准曲线和定量范围</w:t>
      </w:r>
      <w:r w:rsidRPr="00B57F1D">
        <w:rPr>
          <w:color w:val="000000"/>
          <w:kern w:val="0"/>
          <w:szCs w:val="21"/>
        </w:rPr>
        <w:t xml:space="preserve">  </w:t>
      </w:r>
      <w:r w:rsidRPr="00B57F1D">
        <w:rPr>
          <w:color w:val="000000"/>
          <w:kern w:val="0"/>
          <w:szCs w:val="21"/>
        </w:rPr>
        <w:t>标准曲线反映了所测定物质浓度与仪器响应值之间的关系，一般用回归分析法（如用加权最小二乘法等）所得的回归方程来评价。应提供标准曲线的线性方程和相关系数，说明其线性相关程度。标准曲线高低浓度范围为定量范围，在定量范围内浓度测定结果应达到试验要求的精密度和准确度。</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配制标准样品应使用与待测样品相同的生物基质。</w:t>
      </w:r>
      <w:r w:rsidRPr="00B57F1D">
        <w:rPr>
          <w:szCs w:val="21"/>
        </w:rPr>
        <w:t>不同</w:t>
      </w:r>
      <w:r w:rsidRPr="00B57F1D">
        <w:rPr>
          <w:color w:val="000000"/>
          <w:kern w:val="0"/>
          <w:szCs w:val="21"/>
        </w:rPr>
        <w:t>生物基质</w:t>
      </w:r>
      <w:r w:rsidRPr="00B57F1D">
        <w:rPr>
          <w:szCs w:val="21"/>
        </w:rPr>
        <w:t>的样品应制备各自的标准曲线。</w:t>
      </w:r>
      <w:r w:rsidRPr="00B57F1D">
        <w:rPr>
          <w:color w:val="000000"/>
          <w:kern w:val="0"/>
          <w:szCs w:val="21"/>
        </w:rPr>
        <w:t>用于建立标准曲线的标准浓度个数取决于分析物可能的浓度范围和分析物</w:t>
      </w:r>
      <w:r w:rsidRPr="00B57F1D">
        <w:rPr>
          <w:color w:val="000000"/>
          <w:kern w:val="0"/>
          <w:szCs w:val="21"/>
        </w:rPr>
        <w:t>/</w:t>
      </w:r>
      <w:r w:rsidRPr="00B57F1D">
        <w:rPr>
          <w:color w:val="000000"/>
          <w:kern w:val="0"/>
          <w:szCs w:val="21"/>
        </w:rPr>
        <w:t>响应值关系的性质。必须至少用</w:t>
      </w:r>
      <w:r w:rsidRPr="00B57F1D">
        <w:rPr>
          <w:color w:val="000000"/>
          <w:kern w:val="0"/>
          <w:szCs w:val="21"/>
        </w:rPr>
        <w:t>6</w:t>
      </w:r>
      <w:r w:rsidRPr="00B57F1D">
        <w:rPr>
          <w:color w:val="000000"/>
          <w:kern w:val="0"/>
          <w:szCs w:val="21"/>
        </w:rPr>
        <w:t>个浓度建立标准曲线，对于非线性相关可能需要更多浓度点。定量范围要能覆盖全部待测的生物样品浓度范围，</w:t>
      </w:r>
      <w:proofErr w:type="gramStart"/>
      <w:r w:rsidRPr="00B57F1D">
        <w:rPr>
          <w:color w:val="000000"/>
          <w:kern w:val="0"/>
          <w:szCs w:val="21"/>
        </w:rPr>
        <w:t>不</w:t>
      </w:r>
      <w:proofErr w:type="gramEnd"/>
      <w:r w:rsidRPr="00B57F1D">
        <w:rPr>
          <w:color w:val="000000"/>
          <w:kern w:val="0"/>
          <w:szCs w:val="21"/>
        </w:rPr>
        <w:t>得用定量范围外推的方法求算未知样品的浓度。建立标准曲线时应随测空白生物样品，但计算时不包括该点，仅用于评价干扰状况。当线性范围较宽的时候，推荐采用加权的方法对标准曲线进行计算，以使低浓度点计算得比较准确。标准曲线需经统计学分析，如进行相关与回归分析。相关系数要求：色谱法大于</w:t>
      </w:r>
      <w:r w:rsidRPr="00B57F1D">
        <w:rPr>
          <w:color w:val="000000"/>
          <w:kern w:val="0"/>
          <w:szCs w:val="21"/>
        </w:rPr>
        <w:t>0.99</w:t>
      </w:r>
      <w:r w:rsidRPr="00B57F1D">
        <w:rPr>
          <w:color w:val="000000"/>
          <w:kern w:val="0"/>
          <w:szCs w:val="21"/>
        </w:rPr>
        <w:t>，生物法大于</w:t>
      </w:r>
      <w:r w:rsidRPr="00B57F1D">
        <w:rPr>
          <w:color w:val="000000"/>
          <w:kern w:val="0"/>
          <w:szCs w:val="21"/>
        </w:rPr>
        <w:t>0.98</w:t>
      </w:r>
      <w:r w:rsidRPr="00B57F1D">
        <w:rPr>
          <w:color w:val="000000"/>
          <w:kern w:val="0"/>
          <w:szCs w:val="21"/>
        </w:rPr>
        <w:t>。</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3.</w:t>
      </w:r>
      <w:r w:rsidRPr="00B57F1D">
        <w:rPr>
          <w:rFonts w:eastAsia="黑体"/>
          <w:szCs w:val="21"/>
        </w:rPr>
        <w:t>检测限和定量限</w:t>
      </w:r>
      <w:r w:rsidRPr="00B57F1D">
        <w:rPr>
          <w:color w:val="000000"/>
          <w:kern w:val="0"/>
          <w:szCs w:val="21"/>
        </w:rPr>
        <w:t xml:space="preserve">  </w:t>
      </w:r>
      <w:r w:rsidRPr="00B57F1D">
        <w:rPr>
          <w:color w:val="000000"/>
          <w:kern w:val="0"/>
          <w:szCs w:val="21"/>
        </w:rPr>
        <w:t>建立分析方法时，应测定背景信号（噪音）的标准偏差，确定方法的检测限</w:t>
      </w:r>
      <w:r w:rsidRPr="00B57F1D">
        <w:rPr>
          <w:color w:val="000000"/>
          <w:kern w:val="0"/>
          <w:szCs w:val="21"/>
        </w:rPr>
        <w:t>(limit of detection</w:t>
      </w:r>
      <w:r w:rsidRPr="00B57F1D">
        <w:rPr>
          <w:color w:val="000000"/>
          <w:kern w:val="0"/>
          <w:szCs w:val="21"/>
        </w:rPr>
        <w:t>，</w:t>
      </w:r>
      <w:r w:rsidRPr="00B57F1D">
        <w:rPr>
          <w:color w:val="000000"/>
          <w:kern w:val="0"/>
          <w:szCs w:val="21"/>
        </w:rPr>
        <w:t>LOD)</w:t>
      </w:r>
      <w:r w:rsidRPr="00B57F1D">
        <w:rPr>
          <w:color w:val="000000"/>
          <w:kern w:val="0"/>
          <w:szCs w:val="21"/>
        </w:rPr>
        <w:t>和定量限</w:t>
      </w:r>
      <w:r w:rsidRPr="00B57F1D">
        <w:rPr>
          <w:color w:val="000000"/>
          <w:kern w:val="0"/>
          <w:szCs w:val="21"/>
        </w:rPr>
        <w:t>(limit of quantitation</w:t>
      </w:r>
      <w:r w:rsidRPr="00B57F1D">
        <w:rPr>
          <w:color w:val="000000"/>
          <w:kern w:val="0"/>
          <w:szCs w:val="21"/>
        </w:rPr>
        <w:t>，</w:t>
      </w:r>
      <w:r w:rsidRPr="00B57F1D">
        <w:rPr>
          <w:color w:val="000000"/>
          <w:kern w:val="0"/>
          <w:szCs w:val="21"/>
        </w:rPr>
        <w:t>LOQ)</w:t>
      </w:r>
      <w:r w:rsidRPr="00B57F1D">
        <w:rPr>
          <w:color w:val="000000"/>
          <w:kern w:val="0"/>
          <w:szCs w:val="21"/>
        </w:rPr>
        <w:t>。</w:t>
      </w:r>
      <w:r w:rsidRPr="00B57F1D">
        <w:rPr>
          <w:color w:val="000000"/>
          <w:kern w:val="0"/>
          <w:szCs w:val="21"/>
        </w:rPr>
        <w:t>LOD</w:t>
      </w:r>
      <w:r w:rsidRPr="00B57F1D">
        <w:rPr>
          <w:color w:val="000000"/>
          <w:kern w:val="0"/>
          <w:szCs w:val="21"/>
        </w:rPr>
        <w:t>为</w:t>
      </w:r>
      <w:r w:rsidRPr="00B57F1D">
        <w:rPr>
          <w:color w:val="000000"/>
          <w:kern w:val="0"/>
          <w:szCs w:val="21"/>
        </w:rPr>
        <w:t>3</w:t>
      </w:r>
      <w:r w:rsidRPr="00B57F1D">
        <w:rPr>
          <w:color w:val="000000"/>
          <w:kern w:val="0"/>
          <w:szCs w:val="21"/>
        </w:rPr>
        <w:t>倍信噪比，</w:t>
      </w:r>
      <w:r w:rsidRPr="00B57F1D">
        <w:rPr>
          <w:color w:val="000000"/>
          <w:kern w:val="0"/>
          <w:szCs w:val="21"/>
        </w:rPr>
        <w:lastRenderedPageBreak/>
        <w:t>LOQ</w:t>
      </w:r>
      <w:r w:rsidRPr="00B57F1D">
        <w:rPr>
          <w:color w:val="000000"/>
          <w:kern w:val="0"/>
          <w:szCs w:val="21"/>
        </w:rPr>
        <w:t>为</w:t>
      </w:r>
      <w:r w:rsidRPr="00B57F1D">
        <w:rPr>
          <w:color w:val="000000"/>
          <w:kern w:val="0"/>
          <w:szCs w:val="21"/>
        </w:rPr>
        <w:t>10</w:t>
      </w:r>
      <w:r w:rsidRPr="00B57F1D">
        <w:rPr>
          <w:color w:val="000000"/>
          <w:kern w:val="0"/>
          <w:szCs w:val="21"/>
        </w:rPr>
        <w:t>倍信噪比。</w:t>
      </w:r>
      <w:r w:rsidRPr="00B57F1D">
        <w:rPr>
          <w:color w:val="000000"/>
          <w:kern w:val="0"/>
          <w:szCs w:val="21"/>
        </w:rPr>
        <w:t>LOQ</w:t>
      </w:r>
      <w:r w:rsidRPr="00B57F1D">
        <w:rPr>
          <w:color w:val="000000"/>
          <w:kern w:val="0"/>
          <w:szCs w:val="21"/>
        </w:rPr>
        <w:t>一般是标准曲线的最低浓度，表示测定样品中符合准确度和精密度要求的最低药物浓度。</w:t>
      </w:r>
      <w:r w:rsidRPr="00B57F1D">
        <w:rPr>
          <w:color w:val="000000"/>
          <w:kern w:val="0"/>
          <w:szCs w:val="21"/>
        </w:rPr>
        <w:t>LOQ</w:t>
      </w:r>
      <w:r w:rsidRPr="00B57F1D">
        <w:rPr>
          <w:color w:val="000000"/>
          <w:kern w:val="0"/>
          <w:szCs w:val="21"/>
        </w:rPr>
        <w:t>应能满足测定</w:t>
      </w:r>
      <w:r w:rsidRPr="00B57F1D">
        <w:rPr>
          <w:color w:val="000000"/>
          <w:kern w:val="0"/>
          <w:szCs w:val="21"/>
        </w:rPr>
        <w:t>3</w:t>
      </w:r>
      <w:r w:rsidRPr="00B57F1D">
        <w:rPr>
          <w:color w:val="000000"/>
          <w:kern w:val="0"/>
          <w:szCs w:val="21"/>
        </w:rPr>
        <w:t>～</w:t>
      </w:r>
      <w:r w:rsidRPr="00B57F1D">
        <w:rPr>
          <w:color w:val="000000"/>
          <w:kern w:val="0"/>
          <w:szCs w:val="21"/>
        </w:rPr>
        <w:t>5</w:t>
      </w:r>
      <w:r w:rsidRPr="00B57F1D">
        <w:rPr>
          <w:color w:val="000000"/>
          <w:kern w:val="0"/>
          <w:szCs w:val="21"/>
        </w:rPr>
        <w:t>个消除半衰期时样品中的药物浓度或能检测出</w:t>
      </w:r>
      <w:proofErr w:type="spellStart"/>
      <w:r w:rsidRPr="00B57F1D">
        <w:rPr>
          <w:color w:val="000000"/>
          <w:kern w:val="0"/>
          <w:szCs w:val="21"/>
        </w:rPr>
        <w:t>C</w:t>
      </w:r>
      <w:r w:rsidRPr="00B57F1D">
        <w:rPr>
          <w:color w:val="000000"/>
          <w:kern w:val="0"/>
          <w:szCs w:val="21"/>
          <w:vertAlign w:val="subscript"/>
        </w:rPr>
        <w:t>max</w:t>
      </w:r>
      <w:proofErr w:type="spellEnd"/>
      <w:r w:rsidRPr="00B57F1D">
        <w:rPr>
          <w:color w:val="000000"/>
          <w:kern w:val="0"/>
          <w:szCs w:val="21"/>
        </w:rPr>
        <w:t>的</w:t>
      </w:r>
      <w:r w:rsidRPr="00B57F1D">
        <w:rPr>
          <w:color w:val="000000"/>
          <w:kern w:val="0"/>
          <w:szCs w:val="21"/>
        </w:rPr>
        <w:t>1/10</w:t>
      </w:r>
      <w:r w:rsidRPr="00B57F1D">
        <w:rPr>
          <w:color w:val="000000"/>
          <w:kern w:val="0"/>
          <w:szCs w:val="21"/>
        </w:rPr>
        <w:t>～</w:t>
      </w:r>
      <w:r w:rsidRPr="00B57F1D">
        <w:rPr>
          <w:color w:val="000000"/>
          <w:kern w:val="0"/>
          <w:szCs w:val="21"/>
        </w:rPr>
        <w:t>1/20</w:t>
      </w:r>
      <w:r w:rsidRPr="00B57F1D">
        <w:rPr>
          <w:color w:val="000000"/>
          <w:kern w:val="0"/>
          <w:szCs w:val="21"/>
        </w:rPr>
        <w:t>的药物浓度。其准确度应在真实浓度的</w:t>
      </w:r>
      <w:r w:rsidRPr="00B57F1D">
        <w:rPr>
          <w:color w:val="000000"/>
          <w:kern w:val="0"/>
          <w:szCs w:val="21"/>
        </w:rPr>
        <w:t>80%</w:t>
      </w:r>
      <w:r w:rsidRPr="00B57F1D">
        <w:rPr>
          <w:color w:val="000000"/>
          <w:kern w:val="0"/>
          <w:szCs w:val="21"/>
        </w:rPr>
        <w:t>～</w:t>
      </w:r>
      <w:r w:rsidRPr="00B57F1D">
        <w:rPr>
          <w:color w:val="000000"/>
          <w:kern w:val="0"/>
          <w:szCs w:val="21"/>
        </w:rPr>
        <w:t>120%</w:t>
      </w:r>
      <w:r w:rsidRPr="00B57F1D">
        <w:rPr>
          <w:color w:val="000000"/>
          <w:kern w:val="0"/>
          <w:szCs w:val="21"/>
        </w:rPr>
        <w:t>范围内，相对标准差</w:t>
      </w:r>
      <w:r w:rsidRPr="00B57F1D">
        <w:rPr>
          <w:color w:val="000000"/>
          <w:kern w:val="0"/>
          <w:szCs w:val="21"/>
        </w:rPr>
        <w:t>(RSD)</w:t>
      </w:r>
      <w:r w:rsidRPr="00B57F1D">
        <w:rPr>
          <w:color w:val="000000"/>
          <w:kern w:val="0"/>
          <w:szCs w:val="21"/>
        </w:rPr>
        <w:t>应小于</w:t>
      </w:r>
      <w:r w:rsidRPr="00B57F1D">
        <w:rPr>
          <w:color w:val="000000"/>
          <w:kern w:val="0"/>
          <w:szCs w:val="21"/>
        </w:rPr>
        <w:t>20%</w:t>
      </w:r>
      <w:r w:rsidRPr="00B57F1D">
        <w:rPr>
          <w:color w:val="000000"/>
          <w:kern w:val="0"/>
          <w:szCs w:val="21"/>
        </w:rPr>
        <w:t>。应由至少</w:t>
      </w:r>
      <w:r w:rsidRPr="00B57F1D">
        <w:rPr>
          <w:color w:val="000000"/>
          <w:kern w:val="0"/>
          <w:szCs w:val="21"/>
        </w:rPr>
        <w:t>5</w:t>
      </w:r>
      <w:r w:rsidRPr="00B57F1D">
        <w:rPr>
          <w:color w:val="000000"/>
          <w:kern w:val="0"/>
          <w:szCs w:val="21"/>
        </w:rPr>
        <w:t>个标准样品测试结果证明。</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 xml:space="preserve">4. </w:t>
      </w:r>
      <w:r w:rsidRPr="00B57F1D">
        <w:rPr>
          <w:rFonts w:eastAsia="黑体"/>
          <w:szCs w:val="21"/>
        </w:rPr>
        <w:t>提取回收率、精密度与准确度</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从生物样本基质中回收得到分析物质的响应值除以标准品产生的响应值即为分析物的提取回收率。也可以说是将供试生物样品中分析物提取出来供分析的比例。应考察高、中、低</w:t>
      </w:r>
      <w:r w:rsidRPr="00B57F1D">
        <w:rPr>
          <w:color w:val="000000"/>
          <w:kern w:val="0"/>
          <w:szCs w:val="21"/>
        </w:rPr>
        <w:t>3</w:t>
      </w:r>
      <w:r w:rsidRPr="00B57F1D">
        <w:rPr>
          <w:color w:val="000000"/>
          <w:kern w:val="0"/>
          <w:szCs w:val="21"/>
        </w:rPr>
        <w:t>个浓度的提取回收率，每个浓度至少要重复</w:t>
      </w:r>
      <w:r w:rsidRPr="00B57F1D">
        <w:rPr>
          <w:color w:val="000000"/>
          <w:kern w:val="0"/>
          <w:szCs w:val="21"/>
        </w:rPr>
        <w:t>5</w:t>
      </w:r>
      <w:r w:rsidRPr="00B57F1D">
        <w:rPr>
          <w:color w:val="000000"/>
          <w:kern w:val="0"/>
          <w:szCs w:val="21"/>
        </w:rPr>
        <w:t>次，其结果应当符合回收率和精密度要求。要求回收率大于</w:t>
      </w:r>
      <w:r w:rsidRPr="00B57F1D">
        <w:rPr>
          <w:color w:val="000000"/>
          <w:kern w:val="0"/>
          <w:szCs w:val="21"/>
        </w:rPr>
        <w:t>70%</w:t>
      </w:r>
      <w:r w:rsidRPr="00B57F1D">
        <w:rPr>
          <w:color w:val="000000"/>
          <w:kern w:val="0"/>
          <w:szCs w:val="21"/>
        </w:rPr>
        <w:t>，达不到要求应说明原因。</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精密度是指在确定的分析条件下，相同基质中相同浓度样品的一系列测量值的分散程度。通常用质控样品的</w:t>
      </w:r>
      <w:proofErr w:type="gramStart"/>
      <w:r w:rsidRPr="00B57F1D">
        <w:rPr>
          <w:color w:val="000000"/>
          <w:kern w:val="0"/>
          <w:szCs w:val="21"/>
        </w:rPr>
        <w:t>批内和批间</w:t>
      </w:r>
      <w:proofErr w:type="gramEnd"/>
      <w:r w:rsidRPr="00B57F1D">
        <w:rPr>
          <w:color w:val="000000"/>
          <w:kern w:val="0"/>
          <w:szCs w:val="21"/>
        </w:rPr>
        <w:t>RSD</w:t>
      </w:r>
      <w:r w:rsidRPr="00B57F1D">
        <w:rPr>
          <w:color w:val="000000"/>
          <w:kern w:val="0"/>
          <w:szCs w:val="21"/>
        </w:rPr>
        <w:t>来考察方法的精密度。一般</w:t>
      </w:r>
      <w:r w:rsidRPr="00B57F1D">
        <w:rPr>
          <w:color w:val="000000"/>
          <w:kern w:val="0"/>
          <w:szCs w:val="21"/>
        </w:rPr>
        <w:t>RSD</w:t>
      </w:r>
      <w:r w:rsidRPr="00B57F1D">
        <w:rPr>
          <w:color w:val="000000"/>
          <w:kern w:val="0"/>
          <w:szCs w:val="21"/>
        </w:rPr>
        <w:t>应小于</w:t>
      </w:r>
      <w:r w:rsidRPr="00B57F1D">
        <w:rPr>
          <w:color w:val="000000"/>
          <w:kern w:val="0"/>
          <w:szCs w:val="21"/>
        </w:rPr>
        <w:t>15%</w:t>
      </w:r>
      <w:r w:rsidRPr="00B57F1D">
        <w:rPr>
          <w:color w:val="000000"/>
          <w:kern w:val="0"/>
          <w:szCs w:val="21"/>
        </w:rPr>
        <w:t>，在</w:t>
      </w:r>
      <w:r w:rsidRPr="00B57F1D">
        <w:rPr>
          <w:color w:val="000000"/>
          <w:kern w:val="0"/>
          <w:szCs w:val="21"/>
        </w:rPr>
        <w:t>LOQ</w:t>
      </w:r>
      <w:r w:rsidRPr="00B57F1D">
        <w:rPr>
          <w:color w:val="000000"/>
          <w:kern w:val="0"/>
          <w:szCs w:val="21"/>
        </w:rPr>
        <w:t>附近</w:t>
      </w:r>
      <w:r w:rsidRPr="00B57F1D">
        <w:rPr>
          <w:color w:val="000000"/>
          <w:kern w:val="0"/>
          <w:szCs w:val="21"/>
        </w:rPr>
        <w:t>RSD</w:t>
      </w:r>
      <w:r w:rsidRPr="00B57F1D">
        <w:rPr>
          <w:color w:val="000000"/>
          <w:kern w:val="0"/>
          <w:szCs w:val="21"/>
        </w:rPr>
        <w:t>应小于</w:t>
      </w:r>
      <w:r w:rsidRPr="00B57F1D">
        <w:rPr>
          <w:color w:val="000000"/>
          <w:kern w:val="0"/>
          <w:szCs w:val="21"/>
        </w:rPr>
        <w:t>20%</w:t>
      </w:r>
      <w:r w:rsidRPr="00B57F1D">
        <w:rPr>
          <w:color w:val="000000"/>
          <w:kern w:val="0"/>
          <w:szCs w:val="21"/>
        </w:rPr>
        <w:t>。</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准确度是指在确定的分析条件下，测得的生物样品浓度与真实浓度的接近程度</w:t>
      </w:r>
      <w:r w:rsidRPr="00B57F1D">
        <w:rPr>
          <w:color w:val="000000"/>
          <w:kern w:val="0"/>
          <w:szCs w:val="21"/>
        </w:rPr>
        <w:t>(</w:t>
      </w:r>
      <w:r w:rsidRPr="00B57F1D">
        <w:rPr>
          <w:color w:val="000000"/>
          <w:kern w:val="0"/>
          <w:szCs w:val="21"/>
        </w:rPr>
        <w:t>即质控样品的实测浓度与真实浓度的偏差</w:t>
      </w:r>
      <w:r w:rsidRPr="00B57F1D">
        <w:rPr>
          <w:color w:val="000000"/>
          <w:kern w:val="0"/>
          <w:szCs w:val="21"/>
        </w:rPr>
        <w:t>)</w:t>
      </w:r>
      <w:r w:rsidRPr="00B57F1D">
        <w:rPr>
          <w:color w:val="000000"/>
          <w:kern w:val="0"/>
          <w:szCs w:val="21"/>
        </w:rPr>
        <w:t>，准确度的测定通常使用模拟生物样品测定，以测得的浓度与添加的理论浓度比较计算求得。准确度一般以求相对回收率表示，应在</w:t>
      </w:r>
      <w:r w:rsidRPr="00B57F1D">
        <w:rPr>
          <w:color w:val="000000"/>
          <w:kern w:val="0"/>
          <w:szCs w:val="21"/>
        </w:rPr>
        <w:t>85%</w:t>
      </w:r>
      <w:r w:rsidRPr="00B57F1D">
        <w:rPr>
          <w:color w:val="000000"/>
          <w:kern w:val="0"/>
          <w:szCs w:val="21"/>
        </w:rPr>
        <w:t>～</w:t>
      </w:r>
      <w:r w:rsidRPr="00B57F1D">
        <w:rPr>
          <w:color w:val="000000"/>
          <w:kern w:val="0"/>
          <w:szCs w:val="21"/>
        </w:rPr>
        <w:t>115%</w:t>
      </w:r>
      <w:r w:rsidRPr="00B57F1D">
        <w:rPr>
          <w:color w:val="000000"/>
          <w:kern w:val="0"/>
          <w:szCs w:val="21"/>
        </w:rPr>
        <w:t>范围内</w:t>
      </w:r>
      <w:r w:rsidRPr="00B57F1D">
        <w:rPr>
          <w:color w:val="000000"/>
          <w:kern w:val="0"/>
          <w:szCs w:val="21"/>
        </w:rPr>
        <w:t>(</w:t>
      </w:r>
      <w:r w:rsidRPr="00B57F1D">
        <w:rPr>
          <w:color w:val="000000"/>
          <w:kern w:val="0"/>
          <w:szCs w:val="21"/>
        </w:rPr>
        <w:t>一般偏差应少于</w:t>
      </w:r>
      <w:r w:rsidRPr="00B57F1D">
        <w:rPr>
          <w:color w:val="000000"/>
          <w:kern w:val="0"/>
          <w:szCs w:val="21"/>
        </w:rPr>
        <w:t>15%)</w:t>
      </w:r>
      <w:r w:rsidRPr="00B57F1D">
        <w:rPr>
          <w:color w:val="000000"/>
          <w:kern w:val="0"/>
          <w:szCs w:val="21"/>
        </w:rPr>
        <w:t>，在</w:t>
      </w:r>
      <w:r w:rsidRPr="00B57F1D">
        <w:rPr>
          <w:color w:val="000000"/>
          <w:kern w:val="0"/>
          <w:szCs w:val="21"/>
        </w:rPr>
        <w:t>LOQ</w:t>
      </w:r>
      <w:r w:rsidRPr="00B57F1D">
        <w:rPr>
          <w:color w:val="000000"/>
          <w:kern w:val="0"/>
          <w:szCs w:val="21"/>
        </w:rPr>
        <w:t>附近应在</w:t>
      </w:r>
      <w:r w:rsidRPr="00B57F1D">
        <w:rPr>
          <w:color w:val="000000"/>
          <w:kern w:val="0"/>
          <w:szCs w:val="21"/>
        </w:rPr>
        <w:t>80%</w:t>
      </w:r>
      <w:r w:rsidRPr="00B57F1D">
        <w:rPr>
          <w:color w:val="000000"/>
          <w:kern w:val="0"/>
          <w:szCs w:val="21"/>
        </w:rPr>
        <w:t>～</w:t>
      </w:r>
      <w:r w:rsidRPr="00B57F1D">
        <w:rPr>
          <w:color w:val="000000"/>
          <w:kern w:val="0"/>
          <w:szCs w:val="21"/>
        </w:rPr>
        <w:t>120%</w:t>
      </w:r>
      <w:r w:rsidRPr="00B57F1D">
        <w:rPr>
          <w:color w:val="000000"/>
          <w:kern w:val="0"/>
          <w:szCs w:val="21"/>
        </w:rPr>
        <w:t>范围内。</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一般要求选择高、中、低</w:t>
      </w:r>
      <w:r w:rsidRPr="00B57F1D">
        <w:rPr>
          <w:color w:val="000000"/>
          <w:kern w:val="0"/>
          <w:szCs w:val="21"/>
        </w:rPr>
        <w:t>3</w:t>
      </w:r>
      <w:r w:rsidRPr="00B57F1D">
        <w:rPr>
          <w:color w:val="000000"/>
          <w:kern w:val="0"/>
          <w:szCs w:val="21"/>
        </w:rPr>
        <w:t>个浓度的质控样品同时进行方法的精密度和准确度考察。低浓度选择接近于标准曲线的最低浓度；高浓度接近于标准曲线的上限；中间选一个浓度。在</w:t>
      </w:r>
      <w:proofErr w:type="gramStart"/>
      <w:r w:rsidRPr="00B57F1D">
        <w:rPr>
          <w:color w:val="000000"/>
          <w:kern w:val="0"/>
          <w:szCs w:val="21"/>
        </w:rPr>
        <w:t>测定批内精密度</w:t>
      </w:r>
      <w:proofErr w:type="gramEnd"/>
      <w:r w:rsidRPr="00B57F1D">
        <w:rPr>
          <w:color w:val="000000"/>
          <w:kern w:val="0"/>
          <w:szCs w:val="21"/>
        </w:rPr>
        <w:t>时，每一浓度至少制备并测定</w:t>
      </w:r>
      <w:r w:rsidRPr="00B57F1D">
        <w:rPr>
          <w:color w:val="000000"/>
          <w:kern w:val="0"/>
          <w:szCs w:val="21"/>
        </w:rPr>
        <w:t>5</w:t>
      </w:r>
      <w:r w:rsidRPr="00B57F1D">
        <w:rPr>
          <w:color w:val="000000"/>
          <w:kern w:val="0"/>
          <w:szCs w:val="21"/>
        </w:rPr>
        <w:t>个样品。为</w:t>
      </w:r>
      <w:proofErr w:type="gramStart"/>
      <w:r w:rsidRPr="00B57F1D">
        <w:rPr>
          <w:color w:val="000000"/>
          <w:kern w:val="0"/>
          <w:szCs w:val="21"/>
        </w:rPr>
        <w:t>获得批间精密度</w:t>
      </w:r>
      <w:proofErr w:type="gramEnd"/>
      <w:r w:rsidRPr="00B57F1D">
        <w:rPr>
          <w:color w:val="000000"/>
          <w:kern w:val="0"/>
          <w:szCs w:val="21"/>
        </w:rPr>
        <w:t>应至少在不同</w:t>
      </w:r>
      <w:proofErr w:type="gramStart"/>
      <w:r w:rsidRPr="00B57F1D">
        <w:rPr>
          <w:color w:val="000000"/>
          <w:kern w:val="0"/>
          <w:szCs w:val="21"/>
        </w:rPr>
        <w:t>天连续</w:t>
      </w:r>
      <w:proofErr w:type="gramEnd"/>
      <w:r w:rsidRPr="00B57F1D">
        <w:rPr>
          <w:color w:val="000000"/>
          <w:kern w:val="0"/>
          <w:szCs w:val="21"/>
        </w:rPr>
        <w:t>制备并测定</w:t>
      </w:r>
      <w:r w:rsidRPr="00B57F1D">
        <w:rPr>
          <w:color w:val="000000"/>
          <w:kern w:val="0"/>
          <w:szCs w:val="21"/>
        </w:rPr>
        <w:t>3</w:t>
      </w:r>
      <w:r w:rsidRPr="00B57F1D">
        <w:rPr>
          <w:color w:val="000000"/>
          <w:kern w:val="0"/>
          <w:szCs w:val="21"/>
        </w:rPr>
        <w:t>个分析批，至少</w:t>
      </w:r>
      <w:r w:rsidRPr="00B57F1D">
        <w:rPr>
          <w:color w:val="000000"/>
          <w:kern w:val="0"/>
          <w:szCs w:val="21"/>
        </w:rPr>
        <w:t>45</w:t>
      </w:r>
      <w:r w:rsidRPr="00B57F1D">
        <w:rPr>
          <w:color w:val="000000"/>
          <w:kern w:val="0"/>
          <w:szCs w:val="21"/>
        </w:rPr>
        <w:t>个样品。</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rFonts w:eastAsia="黑体"/>
          <w:szCs w:val="21"/>
        </w:rPr>
        <w:t>5.</w:t>
      </w:r>
      <w:r w:rsidRPr="00B57F1D">
        <w:rPr>
          <w:rFonts w:eastAsia="黑体"/>
          <w:szCs w:val="21"/>
        </w:rPr>
        <w:t>样品稳定性</w:t>
      </w:r>
      <w:r w:rsidRPr="00B57F1D">
        <w:rPr>
          <w:color w:val="000000"/>
          <w:kern w:val="0"/>
          <w:szCs w:val="21"/>
        </w:rPr>
        <w:t xml:space="preserve">  </w:t>
      </w:r>
      <w:r w:rsidRPr="00B57F1D">
        <w:rPr>
          <w:color w:val="000000"/>
          <w:kern w:val="0"/>
          <w:szCs w:val="21"/>
        </w:rPr>
        <w:t>根据具体情况，对含药生物样品在室温、冰冻和冻融条件下以及不同存放时间进行稳定性考察，以确定生物样品的存放条件和时间。还应注意考察储备液的稳定性以及样品处理后的溶液中分析物的稳定性，以保证检测结果的准确性和重现性。</w:t>
      </w:r>
    </w:p>
    <w:p w:rsidR="008F2F08" w:rsidRPr="00B57F1D" w:rsidRDefault="008F2F08" w:rsidP="008F2F08">
      <w:pPr>
        <w:autoSpaceDE w:val="0"/>
        <w:autoSpaceDN w:val="0"/>
        <w:adjustRightInd w:val="0"/>
        <w:spacing w:line="360" w:lineRule="auto"/>
        <w:ind w:firstLineChars="200" w:firstLine="420"/>
        <w:rPr>
          <w:rFonts w:eastAsia="黑体"/>
          <w:szCs w:val="21"/>
        </w:rPr>
      </w:pPr>
      <w:r w:rsidRPr="00B57F1D">
        <w:rPr>
          <w:rFonts w:eastAsia="黑体"/>
          <w:szCs w:val="21"/>
        </w:rPr>
        <w:t>6.</w:t>
      </w:r>
      <w:r w:rsidRPr="00B57F1D">
        <w:rPr>
          <w:rFonts w:eastAsia="黑体"/>
          <w:szCs w:val="21"/>
        </w:rPr>
        <w:t>微生物学分析</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上述分析方法验证的很多参数和原则也适用于微生物学或免疫学分析，但在方法验证中应考虑到它们的一些特殊之处。微生物学或免疫学分析的标准曲线本质上是非线性的，所以应采用比化学分析更多的浓度点来建立标准曲线。结果的准确度是关键的因素，如果重复测定能够改善准确度，则应在方法验证和未知样品测定中采用同样的步骤。</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微生物学或免疫学分析方法验证实验应包括在几天内进行的</w:t>
      </w:r>
      <w:r w:rsidRPr="00B57F1D">
        <w:rPr>
          <w:color w:val="000000"/>
          <w:kern w:val="0"/>
          <w:szCs w:val="21"/>
        </w:rPr>
        <w:t>6</w:t>
      </w:r>
      <w:r w:rsidRPr="00B57F1D">
        <w:rPr>
          <w:color w:val="000000"/>
          <w:kern w:val="0"/>
          <w:szCs w:val="21"/>
        </w:rPr>
        <w:t>个分析批，每个分析批包括</w:t>
      </w:r>
      <w:r w:rsidRPr="00B57F1D">
        <w:rPr>
          <w:color w:val="000000"/>
          <w:kern w:val="0"/>
          <w:szCs w:val="21"/>
        </w:rPr>
        <w:t>4</w:t>
      </w:r>
      <w:r w:rsidRPr="00B57F1D">
        <w:rPr>
          <w:color w:val="000000"/>
          <w:kern w:val="0"/>
          <w:szCs w:val="21"/>
        </w:rPr>
        <w:t>个浓度（</w:t>
      </w:r>
      <w:r w:rsidRPr="00B57F1D">
        <w:rPr>
          <w:color w:val="000000"/>
          <w:kern w:val="0"/>
          <w:szCs w:val="21"/>
        </w:rPr>
        <w:t>LOQ</w:t>
      </w:r>
      <w:r w:rsidRPr="00B57F1D">
        <w:rPr>
          <w:color w:val="000000"/>
          <w:kern w:val="0"/>
          <w:szCs w:val="21"/>
        </w:rPr>
        <w:t>，低、中、高浓度）的</w:t>
      </w:r>
      <w:proofErr w:type="gramStart"/>
      <w:r w:rsidRPr="00B57F1D">
        <w:rPr>
          <w:color w:val="000000"/>
          <w:kern w:val="0"/>
          <w:szCs w:val="21"/>
        </w:rPr>
        <w:t>质控双样本</w:t>
      </w:r>
      <w:proofErr w:type="gramEnd"/>
      <w:r w:rsidRPr="00B57F1D">
        <w:rPr>
          <w:color w:val="000000"/>
          <w:kern w:val="0"/>
          <w:szCs w:val="21"/>
        </w:rPr>
        <w:t>。</w:t>
      </w:r>
    </w:p>
    <w:p w:rsidR="008F2F08" w:rsidRPr="00B57F1D" w:rsidRDefault="008F2F08" w:rsidP="008F2F08">
      <w:pPr>
        <w:autoSpaceDE w:val="0"/>
        <w:autoSpaceDN w:val="0"/>
        <w:adjustRightInd w:val="0"/>
        <w:spacing w:line="360" w:lineRule="auto"/>
        <w:ind w:firstLineChars="200" w:firstLine="420"/>
        <w:rPr>
          <w:rFonts w:eastAsia="黑体"/>
          <w:szCs w:val="21"/>
        </w:rPr>
      </w:pPr>
      <w:r w:rsidRPr="00B57F1D">
        <w:rPr>
          <w:rFonts w:eastAsia="黑体"/>
          <w:szCs w:val="21"/>
        </w:rPr>
        <w:lastRenderedPageBreak/>
        <w:t>7.</w:t>
      </w:r>
      <w:proofErr w:type="gramStart"/>
      <w:r w:rsidRPr="00B57F1D">
        <w:rPr>
          <w:rFonts w:eastAsia="黑体"/>
          <w:szCs w:val="21"/>
        </w:rPr>
        <w:t>方法学质控</w:t>
      </w:r>
      <w:proofErr w:type="gramEnd"/>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应在生物样本分析方法验证完成以后开始测定未知样品。在测定生物样品中的药物浓度时应进行质量控制，以保证所建立的方法在实际应用中的可靠性。推荐由独立的分析人员配制不同浓度的质控样品对分析方法进行考核。</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每个未知样品一般测定一次，必要时可进行复测。来自同一个体的生物样品最好在同一批中测定。每个分析批生物样品测定时应建立新的标准曲线，并随行测定高、中、低三个浓度的质控样品。每个浓度至少双样本，并应均匀分布在未知样品测试顺序中。当一个分析批中未知样品数目较多时，应增加各浓度质控样品数，</w:t>
      </w:r>
      <w:proofErr w:type="gramStart"/>
      <w:r w:rsidRPr="00B57F1D">
        <w:rPr>
          <w:color w:val="000000"/>
          <w:kern w:val="0"/>
          <w:szCs w:val="21"/>
        </w:rPr>
        <w:t>使质控</w:t>
      </w:r>
      <w:proofErr w:type="gramEnd"/>
      <w:r w:rsidRPr="00B57F1D">
        <w:rPr>
          <w:color w:val="000000"/>
          <w:kern w:val="0"/>
          <w:szCs w:val="21"/>
        </w:rPr>
        <w:t>样品数大于未知样品总数的</w:t>
      </w:r>
      <w:r w:rsidRPr="00B57F1D">
        <w:rPr>
          <w:color w:val="000000"/>
          <w:kern w:val="0"/>
          <w:szCs w:val="21"/>
        </w:rPr>
        <w:t>5%</w:t>
      </w:r>
      <w:r w:rsidRPr="00B57F1D">
        <w:rPr>
          <w:color w:val="000000"/>
          <w:kern w:val="0"/>
          <w:szCs w:val="21"/>
        </w:rPr>
        <w:t>。质控样品测定结果的偏差一般应小于</w:t>
      </w:r>
      <w:r w:rsidRPr="00B57F1D">
        <w:rPr>
          <w:color w:val="000000"/>
          <w:kern w:val="0"/>
          <w:szCs w:val="21"/>
        </w:rPr>
        <w:t>15%</w:t>
      </w:r>
      <w:r w:rsidRPr="00B57F1D">
        <w:rPr>
          <w:color w:val="000000"/>
          <w:kern w:val="0"/>
          <w:szCs w:val="21"/>
        </w:rPr>
        <w:t>，低浓度点偏差一般应小于</w:t>
      </w:r>
      <w:r w:rsidRPr="00B57F1D">
        <w:rPr>
          <w:color w:val="000000"/>
          <w:kern w:val="0"/>
          <w:szCs w:val="21"/>
        </w:rPr>
        <w:t>20%</w:t>
      </w:r>
      <w:r w:rsidRPr="00B57F1D">
        <w:rPr>
          <w:color w:val="000000"/>
          <w:kern w:val="0"/>
          <w:szCs w:val="21"/>
        </w:rPr>
        <w:t>。如质控样品测定结果不符合上述要求，则该分析批样品测试结果作废。</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标准曲线的范围不能外延，任何浓度高于定量上限的样品，应采用相应的空白基质稀释后重新测定。对于浓度低于定量限的样品，在进行药代动力学分析时，在达到</w:t>
      </w:r>
      <w:proofErr w:type="spellStart"/>
      <w:r w:rsidRPr="00B57F1D">
        <w:rPr>
          <w:color w:val="000000"/>
          <w:kern w:val="0"/>
          <w:szCs w:val="21"/>
        </w:rPr>
        <w:t>C</w:t>
      </w:r>
      <w:r w:rsidRPr="00B57F1D">
        <w:rPr>
          <w:color w:val="000000"/>
          <w:kern w:val="0"/>
          <w:szCs w:val="21"/>
          <w:vertAlign w:val="subscript"/>
        </w:rPr>
        <w:t>max</w:t>
      </w:r>
      <w:proofErr w:type="spellEnd"/>
      <w:r w:rsidRPr="00B57F1D">
        <w:rPr>
          <w:color w:val="000000"/>
          <w:kern w:val="0"/>
          <w:szCs w:val="21"/>
        </w:rPr>
        <w:t>以前取样的样品应以零值计算，在达到</w:t>
      </w:r>
      <w:proofErr w:type="spellStart"/>
      <w:r w:rsidRPr="00B57F1D">
        <w:rPr>
          <w:color w:val="000000"/>
          <w:kern w:val="0"/>
          <w:szCs w:val="21"/>
        </w:rPr>
        <w:t>C</w:t>
      </w:r>
      <w:r w:rsidRPr="00B57F1D">
        <w:rPr>
          <w:color w:val="000000"/>
          <w:kern w:val="0"/>
          <w:szCs w:val="21"/>
          <w:vertAlign w:val="subscript"/>
        </w:rPr>
        <w:t>max</w:t>
      </w:r>
      <w:proofErr w:type="spellEnd"/>
      <w:r w:rsidRPr="00B57F1D">
        <w:rPr>
          <w:color w:val="000000"/>
          <w:kern w:val="0"/>
          <w:szCs w:val="21"/>
        </w:rPr>
        <w:t>以后取样的样品应以无法定量</w:t>
      </w:r>
      <w:r w:rsidRPr="00B57F1D">
        <w:rPr>
          <w:color w:val="000000"/>
          <w:kern w:val="0"/>
          <w:szCs w:val="21"/>
        </w:rPr>
        <w:t>(Not detectable</w:t>
      </w:r>
      <w:r w:rsidRPr="00B57F1D">
        <w:rPr>
          <w:color w:val="000000"/>
          <w:kern w:val="0"/>
          <w:szCs w:val="21"/>
        </w:rPr>
        <w:t>，</w:t>
      </w:r>
      <w:r w:rsidRPr="00B57F1D">
        <w:rPr>
          <w:color w:val="000000"/>
          <w:kern w:val="0"/>
          <w:szCs w:val="21"/>
        </w:rPr>
        <w:t>ND)</w:t>
      </w:r>
      <w:r w:rsidRPr="00B57F1D">
        <w:rPr>
          <w:color w:val="000000"/>
          <w:kern w:val="0"/>
          <w:szCs w:val="21"/>
        </w:rPr>
        <w:t>计算，以减小零值对</w:t>
      </w:r>
      <w:r w:rsidRPr="00B57F1D">
        <w:rPr>
          <w:color w:val="000000"/>
          <w:kern w:val="0"/>
          <w:szCs w:val="21"/>
        </w:rPr>
        <w:t>AUC</w:t>
      </w:r>
      <w:r w:rsidRPr="00B57F1D">
        <w:rPr>
          <w:color w:val="000000"/>
          <w:kern w:val="0"/>
          <w:szCs w:val="21"/>
        </w:rPr>
        <w:t>计算的影响。</w:t>
      </w:r>
    </w:p>
    <w:p w:rsidR="008F2F08" w:rsidRPr="00DA0E42" w:rsidRDefault="008F2F08" w:rsidP="008F2F08">
      <w:pPr>
        <w:autoSpaceDE w:val="0"/>
        <w:autoSpaceDN w:val="0"/>
        <w:adjustRightInd w:val="0"/>
        <w:spacing w:line="360" w:lineRule="auto"/>
        <w:ind w:firstLineChars="200" w:firstLine="420"/>
        <w:rPr>
          <w:color w:val="000000"/>
          <w:kern w:val="0"/>
          <w:sz w:val="24"/>
        </w:rPr>
      </w:pPr>
      <w:r w:rsidRPr="00B57F1D">
        <w:rPr>
          <w:color w:val="000000"/>
          <w:kern w:val="0"/>
          <w:szCs w:val="21"/>
        </w:rPr>
        <w:t>整个分析过程应当遵从预先制订的实验室</w:t>
      </w:r>
      <w:r w:rsidRPr="00B57F1D">
        <w:rPr>
          <w:color w:val="000000"/>
          <w:kern w:val="0"/>
          <w:szCs w:val="21"/>
        </w:rPr>
        <w:t>SOP</w:t>
      </w:r>
      <w:r w:rsidRPr="00B57F1D">
        <w:rPr>
          <w:color w:val="000000"/>
          <w:kern w:val="0"/>
          <w:szCs w:val="21"/>
        </w:rPr>
        <w:t>以及</w:t>
      </w:r>
      <w:r w:rsidRPr="00B57F1D">
        <w:rPr>
          <w:color w:val="000000"/>
          <w:kern w:val="0"/>
          <w:szCs w:val="21"/>
        </w:rPr>
        <w:t>GLP</w:t>
      </w:r>
      <w:r w:rsidRPr="00B57F1D">
        <w:rPr>
          <w:color w:val="000000"/>
          <w:kern w:val="0"/>
          <w:szCs w:val="21"/>
        </w:rPr>
        <w:t>原则。</w:t>
      </w:r>
    </w:p>
    <w:p w:rsidR="008F2F08" w:rsidRPr="00DA0E42" w:rsidRDefault="008F2F08" w:rsidP="008F2F08">
      <w:pPr>
        <w:spacing w:line="360" w:lineRule="auto"/>
        <w:jc w:val="center"/>
        <w:rPr>
          <w:rFonts w:eastAsia="黑体"/>
          <w:bCs/>
          <w:sz w:val="30"/>
          <w:szCs w:val="30"/>
        </w:rPr>
      </w:pPr>
      <w:r w:rsidRPr="00DA0E42">
        <w:rPr>
          <w:rFonts w:eastAsia="黑体"/>
          <w:bCs/>
          <w:sz w:val="30"/>
          <w:szCs w:val="30"/>
        </w:rPr>
        <w:t>三、试验设计</w:t>
      </w:r>
    </w:p>
    <w:p w:rsidR="008F2F08" w:rsidRPr="00B57F1D" w:rsidRDefault="008F2F08" w:rsidP="008F2F08">
      <w:pPr>
        <w:autoSpaceDE w:val="0"/>
        <w:autoSpaceDN w:val="0"/>
        <w:adjustRightInd w:val="0"/>
        <w:spacing w:line="360" w:lineRule="auto"/>
        <w:ind w:firstLineChars="200" w:firstLine="420"/>
        <w:rPr>
          <w:color w:val="000000"/>
          <w:kern w:val="0"/>
          <w:szCs w:val="21"/>
        </w:rPr>
      </w:pPr>
      <w:bookmarkStart w:id="9" w:name="_Toc515364884"/>
      <w:bookmarkStart w:id="10" w:name="_Toc515302127"/>
      <w:bookmarkStart w:id="11" w:name="_Toc515278849"/>
      <w:bookmarkStart w:id="12" w:name="_Toc515277022"/>
      <w:bookmarkStart w:id="13" w:name="_Toc514595505"/>
      <w:bookmarkStart w:id="14" w:name="_Toc514227204"/>
      <w:bookmarkStart w:id="15" w:name="_Toc514226755"/>
      <w:r w:rsidRPr="00B57F1D">
        <w:rPr>
          <w:color w:val="000000"/>
          <w:kern w:val="0"/>
          <w:szCs w:val="21"/>
        </w:rPr>
        <w:t>本试验在临床阶段进行，目的是探讨药物在成年</w:t>
      </w:r>
      <w:proofErr w:type="gramStart"/>
      <w:r w:rsidRPr="00B57F1D">
        <w:rPr>
          <w:color w:val="000000"/>
          <w:kern w:val="0"/>
          <w:szCs w:val="21"/>
        </w:rPr>
        <w:t>靶动物</w:t>
      </w:r>
      <w:proofErr w:type="gramEnd"/>
      <w:r w:rsidRPr="00B57F1D">
        <w:rPr>
          <w:color w:val="000000"/>
          <w:kern w:val="0"/>
          <w:szCs w:val="21"/>
        </w:rPr>
        <w:t>体内吸收、分布和消除（代谢和排泄）的特点。由于各种疾病的病理状态均可不同程度的对药物的药代动力学产生影响，为了客观反映药物在动物体的药代动力学特征，故多选择健康成年靶动物。</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健康成年</w:t>
      </w:r>
      <w:proofErr w:type="gramStart"/>
      <w:r w:rsidRPr="00B57F1D">
        <w:rPr>
          <w:color w:val="000000"/>
          <w:kern w:val="0"/>
          <w:szCs w:val="21"/>
        </w:rPr>
        <w:t>靶动物</w:t>
      </w:r>
      <w:proofErr w:type="gramEnd"/>
      <w:r w:rsidRPr="00B57F1D">
        <w:rPr>
          <w:color w:val="000000"/>
          <w:kern w:val="0"/>
          <w:szCs w:val="21"/>
        </w:rPr>
        <w:t>的药代动力学试验包括静脉注射给药、内服给药、肌内（或皮下）注射给药、其他途径（如透皮剂、气雾剂）给药的药代动力学试验。</w:t>
      </w:r>
    </w:p>
    <w:p w:rsidR="008F2F08" w:rsidRPr="00B57F1D" w:rsidRDefault="008F2F08" w:rsidP="008F2F08">
      <w:pPr>
        <w:autoSpaceDE w:val="0"/>
        <w:autoSpaceDN w:val="0"/>
        <w:adjustRightInd w:val="0"/>
        <w:spacing w:line="360" w:lineRule="auto"/>
        <w:ind w:firstLineChars="200" w:firstLine="420"/>
        <w:rPr>
          <w:color w:val="000000"/>
          <w:kern w:val="0"/>
          <w:szCs w:val="21"/>
        </w:rPr>
      </w:pPr>
      <w:r w:rsidRPr="00B57F1D">
        <w:rPr>
          <w:color w:val="000000"/>
          <w:kern w:val="0"/>
          <w:szCs w:val="21"/>
        </w:rPr>
        <w:t>供内服给药的药物，需进行静注和内服给药的药动学试验；可供内服和注射的药物，则还须增加肌内（或皮下）注射给药的药动学试验；其他途径给药的药物，则需进行静注和其他途径给药的药动学试验。不能静注的药物，可测定相对生物利用度。</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（一）单次给药的药代动力学试验</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1.</w:t>
      </w:r>
      <w:r w:rsidRPr="0026693D">
        <w:rPr>
          <w:rFonts w:eastAsia="黑体"/>
          <w:szCs w:val="21"/>
        </w:rPr>
        <w:t>试验动物及数量</w:t>
      </w:r>
      <w:r w:rsidRPr="0026693D">
        <w:rPr>
          <w:color w:val="000000"/>
          <w:kern w:val="0"/>
          <w:szCs w:val="21"/>
        </w:rPr>
        <w:t xml:space="preserve">  </w:t>
      </w:r>
      <w:r w:rsidRPr="0026693D">
        <w:rPr>
          <w:color w:val="000000"/>
          <w:kern w:val="0"/>
          <w:szCs w:val="21"/>
        </w:rPr>
        <w:t>应为健康成年靶动物。每个剂量组：大动物</w:t>
      </w:r>
      <w:r w:rsidRPr="0026693D">
        <w:rPr>
          <w:color w:val="000000"/>
          <w:kern w:val="0"/>
          <w:szCs w:val="21"/>
        </w:rPr>
        <w:t>5~6</w:t>
      </w:r>
      <w:r w:rsidRPr="0026693D">
        <w:rPr>
          <w:color w:val="000000"/>
          <w:kern w:val="0"/>
          <w:szCs w:val="21"/>
        </w:rPr>
        <w:t>头，中动物</w:t>
      </w:r>
      <w:r w:rsidRPr="0026693D">
        <w:rPr>
          <w:color w:val="000000"/>
          <w:kern w:val="0"/>
          <w:szCs w:val="21"/>
        </w:rPr>
        <w:t>6~8</w:t>
      </w:r>
      <w:r w:rsidRPr="0026693D">
        <w:rPr>
          <w:color w:val="000000"/>
          <w:kern w:val="0"/>
          <w:szCs w:val="21"/>
        </w:rPr>
        <w:t>头，小动物</w:t>
      </w:r>
      <w:r w:rsidRPr="0026693D">
        <w:rPr>
          <w:color w:val="000000"/>
          <w:kern w:val="0"/>
          <w:szCs w:val="21"/>
        </w:rPr>
        <w:t>8~10</w:t>
      </w:r>
      <w:r w:rsidRPr="0026693D">
        <w:rPr>
          <w:color w:val="000000"/>
          <w:kern w:val="0"/>
          <w:szCs w:val="21"/>
        </w:rPr>
        <w:t>头，禽</w:t>
      </w:r>
      <w:r w:rsidRPr="0026693D">
        <w:rPr>
          <w:color w:val="000000"/>
          <w:kern w:val="0"/>
          <w:szCs w:val="21"/>
        </w:rPr>
        <w:t>12~15</w:t>
      </w:r>
      <w:r w:rsidRPr="0026693D">
        <w:rPr>
          <w:color w:val="000000"/>
          <w:kern w:val="0"/>
          <w:szCs w:val="21"/>
        </w:rPr>
        <w:t>只。</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2.</w:t>
      </w:r>
      <w:r w:rsidRPr="0026693D">
        <w:rPr>
          <w:rFonts w:eastAsia="黑体"/>
          <w:szCs w:val="21"/>
        </w:rPr>
        <w:t>受试药物</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kern w:val="24"/>
          <w:szCs w:val="21"/>
        </w:rPr>
        <w:t>供试药品应与临床验证的药品一致，应提供受试药品的名称、批号、来源、纯度、保存</w:t>
      </w:r>
      <w:r w:rsidRPr="0026693D">
        <w:rPr>
          <w:kern w:val="24"/>
          <w:szCs w:val="21"/>
        </w:rPr>
        <w:lastRenderedPageBreak/>
        <w:t>条件及配制方法。在试验前应对药品的质量进行检</w:t>
      </w:r>
      <w:r w:rsidRPr="0026693D">
        <w:rPr>
          <w:color w:val="000000"/>
          <w:kern w:val="0"/>
          <w:szCs w:val="21"/>
        </w:rPr>
        <w:t>查测定。给药剂量、途径与临床应用一致。</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w:t>
      </w:r>
      <w:r w:rsidRPr="0026693D">
        <w:rPr>
          <w:color w:val="000000"/>
          <w:kern w:val="0"/>
          <w:szCs w:val="21"/>
        </w:rPr>
        <w:t>1</w:t>
      </w:r>
      <w:r w:rsidRPr="0026693D">
        <w:rPr>
          <w:color w:val="000000"/>
          <w:kern w:val="0"/>
          <w:szCs w:val="21"/>
        </w:rPr>
        <w:t>）药物质量</w:t>
      </w:r>
      <w:r w:rsidRPr="0026693D">
        <w:rPr>
          <w:color w:val="000000"/>
          <w:kern w:val="0"/>
          <w:szCs w:val="21"/>
        </w:rPr>
        <w:t xml:space="preserve">  </w:t>
      </w:r>
      <w:r w:rsidRPr="0026693D">
        <w:rPr>
          <w:color w:val="000000"/>
          <w:kern w:val="0"/>
          <w:szCs w:val="21"/>
        </w:rPr>
        <w:t>试验药品应当在符合《兽药生产质量管理规范》条件的车间制备，并经检验符合质量标准。</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w:t>
      </w:r>
      <w:r w:rsidRPr="0026693D">
        <w:rPr>
          <w:color w:val="000000"/>
          <w:kern w:val="0"/>
          <w:szCs w:val="21"/>
        </w:rPr>
        <w:t>2</w:t>
      </w:r>
      <w:r w:rsidRPr="0026693D">
        <w:rPr>
          <w:color w:val="000000"/>
          <w:kern w:val="0"/>
          <w:szCs w:val="21"/>
        </w:rPr>
        <w:t>）药品保管</w:t>
      </w:r>
      <w:r w:rsidRPr="0026693D">
        <w:rPr>
          <w:color w:val="000000"/>
          <w:kern w:val="0"/>
          <w:szCs w:val="21"/>
        </w:rPr>
        <w:t xml:space="preserve">  </w:t>
      </w:r>
      <w:r w:rsidRPr="0026693D">
        <w:rPr>
          <w:color w:val="000000"/>
          <w:kern w:val="0"/>
          <w:szCs w:val="21"/>
        </w:rPr>
        <w:t>试验药品应有专人保管，记录药品使用情况。试验结束后剩余药品和使用药品应与记录相符。</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3.</w:t>
      </w:r>
      <w:r w:rsidRPr="0026693D">
        <w:rPr>
          <w:rFonts w:eastAsia="黑体"/>
          <w:szCs w:val="21"/>
        </w:rPr>
        <w:t>药物剂量</w:t>
      </w:r>
      <w:r w:rsidRPr="0026693D">
        <w:rPr>
          <w:color w:val="000000"/>
          <w:kern w:val="0"/>
          <w:szCs w:val="21"/>
        </w:rPr>
        <w:t xml:space="preserve">  </w:t>
      </w:r>
      <w:r w:rsidRPr="0026693D">
        <w:rPr>
          <w:color w:val="000000"/>
          <w:kern w:val="0"/>
          <w:szCs w:val="21"/>
        </w:rPr>
        <w:t>一般选用低、中、高三种剂量。剂量的确定主要根据临床耐受性试验的结果，并参考在实验动物的药效学、药代动力学及毒理学试验的结果，以及经讨论后确定的拟在临床试验时采用的治疗剂量推算。高剂量组剂量必须小于或等于</w:t>
      </w:r>
      <w:proofErr w:type="gramStart"/>
      <w:r w:rsidRPr="0026693D">
        <w:rPr>
          <w:color w:val="000000"/>
          <w:kern w:val="0"/>
          <w:szCs w:val="21"/>
        </w:rPr>
        <w:t>靶动物</w:t>
      </w:r>
      <w:proofErr w:type="gramEnd"/>
      <w:r w:rsidRPr="0026693D">
        <w:rPr>
          <w:color w:val="000000"/>
          <w:kern w:val="0"/>
          <w:szCs w:val="21"/>
        </w:rPr>
        <w:t>最大耐受的剂量，但一般应高于治疗剂量。</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应能够根据试验结果对药物的药代动力学特性做出判断，如该药呈线性或非线性药代动力学特征等，以及剂量与体内药物浓度的关系，为临床合理用药提供有价值的参考信息。</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4.</w:t>
      </w:r>
      <w:r w:rsidRPr="0026693D">
        <w:rPr>
          <w:rFonts w:eastAsia="黑体"/>
          <w:szCs w:val="21"/>
        </w:rPr>
        <w:t>给药</w:t>
      </w:r>
      <w:r w:rsidRPr="0026693D">
        <w:rPr>
          <w:color w:val="000000"/>
          <w:kern w:val="0"/>
          <w:szCs w:val="21"/>
        </w:rPr>
        <w:t xml:space="preserve">  </w:t>
      </w:r>
      <w:r w:rsidRPr="0026693D">
        <w:rPr>
          <w:color w:val="000000"/>
          <w:kern w:val="0"/>
          <w:szCs w:val="21"/>
        </w:rPr>
        <w:t>每头动物给药剂量（一般按每千克体重计算）、途径、方法、部位、速度均应一致。</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5.</w:t>
      </w:r>
      <w:r w:rsidRPr="0026693D">
        <w:rPr>
          <w:rFonts w:eastAsia="黑体"/>
          <w:szCs w:val="21"/>
        </w:rPr>
        <w:t>采样</w:t>
      </w:r>
      <w:r w:rsidRPr="0026693D">
        <w:rPr>
          <w:color w:val="000000"/>
          <w:kern w:val="0"/>
          <w:szCs w:val="21"/>
        </w:rPr>
        <w:t xml:space="preserve">  </w:t>
      </w:r>
      <w:r w:rsidRPr="0026693D">
        <w:rPr>
          <w:color w:val="000000"/>
          <w:kern w:val="0"/>
          <w:szCs w:val="21"/>
        </w:rPr>
        <w:t>一般采用血浆或血清，必要时也可采用尿液或其他样品。</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w:t>
      </w:r>
      <w:r w:rsidRPr="0026693D">
        <w:rPr>
          <w:color w:val="000000"/>
          <w:kern w:val="0"/>
          <w:szCs w:val="21"/>
        </w:rPr>
        <w:t>1</w:t>
      </w:r>
      <w:r w:rsidRPr="0026693D">
        <w:rPr>
          <w:color w:val="000000"/>
          <w:kern w:val="0"/>
          <w:szCs w:val="21"/>
        </w:rPr>
        <w:t>）采血途径</w:t>
      </w:r>
      <w:r w:rsidRPr="0026693D">
        <w:rPr>
          <w:color w:val="000000"/>
          <w:kern w:val="0"/>
          <w:szCs w:val="21"/>
        </w:rPr>
        <w:t xml:space="preserve">  </w:t>
      </w:r>
      <w:r w:rsidRPr="0026693D">
        <w:rPr>
          <w:color w:val="000000"/>
          <w:kern w:val="0"/>
          <w:szCs w:val="21"/>
        </w:rPr>
        <w:t>一般采用静脉血液，牛、马、羊可由颈静脉采血，</w:t>
      </w:r>
      <w:proofErr w:type="gramStart"/>
      <w:r w:rsidRPr="0026693D">
        <w:rPr>
          <w:color w:val="000000"/>
          <w:kern w:val="0"/>
          <w:szCs w:val="21"/>
        </w:rPr>
        <w:t>猪由前腔静脉</w:t>
      </w:r>
      <w:proofErr w:type="gramEnd"/>
      <w:r w:rsidRPr="0026693D">
        <w:rPr>
          <w:color w:val="000000"/>
          <w:kern w:val="0"/>
          <w:szCs w:val="21"/>
        </w:rPr>
        <w:t>或耳静脉采血，</w:t>
      </w:r>
      <w:proofErr w:type="gramStart"/>
      <w:r w:rsidRPr="0026693D">
        <w:rPr>
          <w:color w:val="000000"/>
          <w:kern w:val="0"/>
          <w:szCs w:val="21"/>
        </w:rPr>
        <w:t>禽由翼下</w:t>
      </w:r>
      <w:proofErr w:type="gramEnd"/>
      <w:r w:rsidRPr="0026693D">
        <w:rPr>
          <w:color w:val="000000"/>
          <w:kern w:val="0"/>
          <w:szCs w:val="21"/>
        </w:rPr>
        <w:t>静脉采血。</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w:t>
      </w:r>
      <w:r w:rsidRPr="0026693D">
        <w:rPr>
          <w:color w:val="000000"/>
          <w:kern w:val="0"/>
          <w:szCs w:val="21"/>
        </w:rPr>
        <w:t>2</w:t>
      </w:r>
      <w:r w:rsidRPr="0026693D">
        <w:rPr>
          <w:color w:val="000000"/>
          <w:kern w:val="0"/>
          <w:szCs w:val="21"/>
        </w:rPr>
        <w:t>）采样点的确定</w:t>
      </w:r>
      <w:r w:rsidRPr="0026693D">
        <w:rPr>
          <w:color w:val="000000"/>
          <w:kern w:val="0"/>
          <w:szCs w:val="21"/>
        </w:rPr>
        <w:t xml:space="preserve">  </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szCs w:val="21"/>
        </w:rPr>
        <w:t>采样点的安排对完整药</w:t>
      </w:r>
      <w:r w:rsidRPr="0026693D">
        <w:rPr>
          <w:szCs w:val="21"/>
        </w:rPr>
        <w:t>-</w:t>
      </w:r>
      <w:r w:rsidRPr="0026693D">
        <w:rPr>
          <w:szCs w:val="21"/>
        </w:rPr>
        <w:t>时曲线和药动学参数获得影响很大。采样点应覆盖药物的吸收相、分布相和消除相。吸收相不少于</w:t>
      </w:r>
      <w:r w:rsidRPr="0026693D">
        <w:rPr>
          <w:szCs w:val="21"/>
        </w:rPr>
        <w:t>3</w:t>
      </w:r>
      <w:r w:rsidRPr="0026693D">
        <w:rPr>
          <w:szCs w:val="21"/>
        </w:rPr>
        <w:t>个点，</w:t>
      </w:r>
      <w:proofErr w:type="gramStart"/>
      <w:r w:rsidRPr="0026693D">
        <w:rPr>
          <w:szCs w:val="21"/>
        </w:rPr>
        <w:t>血药峰浓度</w:t>
      </w:r>
      <w:proofErr w:type="gramEnd"/>
      <w:r w:rsidRPr="0026693D">
        <w:rPr>
          <w:szCs w:val="21"/>
        </w:rPr>
        <w:t>（</w:t>
      </w:r>
      <w:proofErr w:type="spellStart"/>
      <w:r w:rsidRPr="0026693D">
        <w:rPr>
          <w:szCs w:val="21"/>
        </w:rPr>
        <w:t>C</w:t>
      </w:r>
      <w:r w:rsidRPr="0026693D">
        <w:rPr>
          <w:szCs w:val="21"/>
          <w:vertAlign w:val="subscript"/>
        </w:rPr>
        <w:t>max</w:t>
      </w:r>
      <w:proofErr w:type="spellEnd"/>
      <w:r w:rsidRPr="0026693D">
        <w:rPr>
          <w:szCs w:val="21"/>
        </w:rPr>
        <w:t>）附近至少要</w:t>
      </w:r>
      <w:r w:rsidRPr="0026693D">
        <w:rPr>
          <w:szCs w:val="21"/>
        </w:rPr>
        <w:t>3</w:t>
      </w:r>
      <w:r w:rsidRPr="0026693D">
        <w:rPr>
          <w:szCs w:val="21"/>
        </w:rPr>
        <w:t>个点，消除相</w:t>
      </w:r>
      <w:r w:rsidRPr="0026693D">
        <w:rPr>
          <w:szCs w:val="21"/>
        </w:rPr>
        <w:t>4~6</w:t>
      </w:r>
      <w:r w:rsidRPr="0026693D">
        <w:rPr>
          <w:szCs w:val="21"/>
        </w:rPr>
        <w:t>个点。对于血管外给药吸收快的药物，应避免第一个点是峰浓度。采样时间至少应持续到</w:t>
      </w:r>
      <w:r w:rsidRPr="0026693D">
        <w:rPr>
          <w:szCs w:val="21"/>
        </w:rPr>
        <w:t>3</w:t>
      </w:r>
      <w:r w:rsidRPr="0026693D">
        <w:rPr>
          <w:szCs w:val="21"/>
        </w:rPr>
        <w:t>～</w:t>
      </w:r>
      <w:r w:rsidRPr="0026693D">
        <w:rPr>
          <w:szCs w:val="21"/>
        </w:rPr>
        <w:t>5</w:t>
      </w:r>
      <w:r w:rsidRPr="0026693D">
        <w:rPr>
          <w:szCs w:val="21"/>
        </w:rPr>
        <w:t>个消除半衰期（</w:t>
      </w:r>
      <w:r w:rsidRPr="0026693D">
        <w:rPr>
          <w:szCs w:val="21"/>
        </w:rPr>
        <w:t>t</w:t>
      </w:r>
      <w:r w:rsidRPr="0026693D">
        <w:rPr>
          <w:szCs w:val="21"/>
          <w:vertAlign w:val="subscript"/>
        </w:rPr>
        <w:t>1/2</w:t>
      </w:r>
      <w:r w:rsidRPr="0026693D">
        <w:rPr>
          <w:szCs w:val="21"/>
        </w:rPr>
        <w:t>）或</w:t>
      </w:r>
      <w:proofErr w:type="spellStart"/>
      <w:r w:rsidRPr="0026693D">
        <w:rPr>
          <w:szCs w:val="21"/>
        </w:rPr>
        <w:t>C</w:t>
      </w:r>
      <w:r w:rsidRPr="0026693D">
        <w:rPr>
          <w:szCs w:val="21"/>
          <w:vertAlign w:val="subscript"/>
        </w:rPr>
        <w:t>max</w:t>
      </w:r>
      <w:proofErr w:type="spellEnd"/>
      <w:r w:rsidRPr="0026693D">
        <w:rPr>
          <w:szCs w:val="21"/>
        </w:rPr>
        <w:t xml:space="preserve"> </w:t>
      </w:r>
      <w:r w:rsidRPr="0026693D">
        <w:rPr>
          <w:szCs w:val="21"/>
        </w:rPr>
        <w:t>的</w:t>
      </w:r>
      <w:r w:rsidRPr="0026693D">
        <w:rPr>
          <w:szCs w:val="21"/>
        </w:rPr>
        <w:t>1/20~1/10</w:t>
      </w:r>
      <w:r w:rsidRPr="0026693D">
        <w:rPr>
          <w:szCs w:val="21"/>
        </w:rPr>
        <w:t>。给药前采空白样品。</w:t>
      </w:r>
      <w:r w:rsidRPr="0026693D">
        <w:rPr>
          <w:color w:val="000000"/>
          <w:kern w:val="0"/>
          <w:szCs w:val="21"/>
        </w:rPr>
        <w:t>例如：某待测药物的峰时预试结果约为</w:t>
      </w:r>
      <w:r w:rsidRPr="0026693D">
        <w:rPr>
          <w:color w:val="000000"/>
          <w:kern w:val="0"/>
          <w:szCs w:val="21"/>
        </w:rPr>
        <w:t>1</w:t>
      </w:r>
      <w:r w:rsidRPr="0026693D">
        <w:rPr>
          <w:color w:val="000000"/>
          <w:kern w:val="0"/>
          <w:szCs w:val="21"/>
        </w:rPr>
        <w:t>小时，消除半衰期为</w:t>
      </w:r>
      <w:r w:rsidRPr="0026693D">
        <w:rPr>
          <w:color w:val="000000"/>
          <w:kern w:val="0"/>
          <w:szCs w:val="21"/>
        </w:rPr>
        <w:t>3</w:t>
      </w:r>
      <w:r w:rsidRPr="0026693D">
        <w:rPr>
          <w:color w:val="000000"/>
          <w:kern w:val="0"/>
          <w:szCs w:val="21"/>
        </w:rPr>
        <w:t>～</w:t>
      </w:r>
      <w:r w:rsidRPr="0026693D">
        <w:rPr>
          <w:color w:val="000000"/>
          <w:kern w:val="0"/>
          <w:szCs w:val="21"/>
        </w:rPr>
        <w:t>4</w:t>
      </w:r>
      <w:r w:rsidRPr="0026693D">
        <w:rPr>
          <w:color w:val="000000"/>
          <w:kern w:val="0"/>
          <w:szCs w:val="21"/>
        </w:rPr>
        <w:t>小时，则采血点可设计为：</w:t>
      </w:r>
      <w:r w:rsidRPr="0026693D">
        <w:rPr>
          <w:color w:val="000000"/>
          <w:kern w:val="0"/>
          <w:szCs w:val="21"/>
        </w:rPr>
        <w:t>10</w:t>
      </w:r>
      <w:r w:rsidRPr="0026693D">
        <w:rPr>
          <w:color w:val="000000"/>
          <w:kern w:val="0"/>
          <w:szCs w:val="21"/>
        </w:rPr>
        <w:t>、</w:t>
      </w:r>
      <w:r w:rsidRPr="0026693D">
        <w:rPr>
          <w:color w:val="000000"/>
          <w:kern w:val="0"/>
          <w:szCs w:val="21"/>
        </w:rPr>
        <w:t>15</w:t>
      </w:r>
      <w:r w:rsidRPr="0026693D">
        <w:rPr>
          <w:color w:val="000000"/>
          <w:kern w:val="0"/>
          <w:szCs w:val="21"/>
        </w:rPr>
        <w:t>、</w:t>
      </w:r>
      <w:r w:rsidRPr="0026693D">
        <w:rPr>
          <w:color w:val="000000"/>
          <w:kern w:val="0"/>
          <w:szCs w:val="21"/>
        </w:rPr>
        <w:t>30</w:t>
      </w:r>
      <w:r w:rsidRPr="0026693D">
        <w:rPr>
          <w:color w:val="000000"/>
          <w:kern w:val="0"/>
          <w:szCs w:val="21"/>
        </w:rPr>
        <w:t>、</w:t>
      </w:r>
      <w:r w:rsidRPr="0026693D">
        <w:rPr>
          <w:color w:val="000000"/>
          <w:kern w:val="0"/>
          <w:szCs w:val="21"/>
        </w:rPr>
        <w:t>45</w:t>
      </w:r>
      <w:r w:rsidRPr="0026693D">
        <w:rPr>
          <w:color w:val="000000"/>
          <w:kern w:val="0"/>
          <w:szCs w:val="21"/>
        </w:rPr>
        <w:t>、</w:t>
      </w:r>
      <w:r w:rsidRPr="0026693D">
        <w:rPr>
          <w:color w:val="000000"/>
          <w:kern w:val="0"/>
          <w:szCs w:val="21"/>
        </w:rPr>
        <w:t>60</w:t>
      </w:r>
      <w:r w:rsidRPr="0026693D">
        <w:rPr>
          <w:color w:val="000000"/>
          <w:kern w:val="0"/>
          <w:szCs w:val="21"/>
        </w:rPr>
        <w:t>分钟和</w:t>
      </w:r>
      <w:r w:rsidRPr="0026693D">
        <w:rPr>
          <w:color w:val="000000"/>
          <w:kern w:val="0"/>
          <w:szCs w:val="21"/>
        </w:rPr>
        <w:t>1.5</w:t>
      </w:r>
      <w:r w:rsidRPr="0026693D">
        <w:rPr>
          <w:color w:val="000000"/>
          <w:kern w:val="0"/>
          <w:szCs w:val="21"/>
        </w:rPr>
        <w:t>、</w:t>
      </w:r>
      <w:r w:rsidRPr="0026693D">
        <w:rPr>
          <w:color w:val="000000"/>
          <w:kern w:val="0"/>
          <w:szCs w:val="21"/>
        </w:rPr>
        <w:t>2</w:t>
      </w:r>
      <w:r w:rsidRPr="0026693D">
        <w:rPr>
          <w:color w:val="000000"/>
          <w:kern w:val="0"/>
          <w:szCs w:val="21"/>
        </w:rPr>
        <w:t>、</w:t>
      </w:r>
      <w:r w:rsidRPr="0026693D">
        <w:rPr>
          <w:color w:val="000000"/>
          <w:kern w:val="0"/>
          <w:szCs w:val="21"/>
        </w:rPr>
        <w:t>4</w:t>
      </w:r>
      <w:r w:rsidRPr="0026693D">
        <w:rPr>
          <w:color w:val="000000"/>
          <w:kern w:val="0"/>
          <w:szCs w:val="21"/>
        </w:rPr>
        <w:t>、</w:t>
      </w:r>
      <w:r w:rsidRPr="0026693D">
        <w:rPr>
          <w:color w:val="000000"/>
          <w:kern w:val="0"/>
          <w:szCs w:val="21"/>
        </w:rPr>
        <w:t>8</w:t>
      </w:r>
      <w:r w:rsidRPr="0026693D">
        <w:rPr>
          <w:color w:val="000000"/>
          <w:kern w:val="0"/>
          <w:szCs w:val="21"/>
        </w:rPr>
        <w:t>、</w:t>
      </w:r>
      <w:r w:rsidRPr="0026693D">
        <w:rPr>
          <w:color w:val="000000"/>
          <w:kern w:val="0"/>
          <w:szCs w:val="21"/>
        </w:rPr>
        <w:t>16</w:t>
      </w:r>
      <w:r w:rsidRPr="0026693D">
        <w:rPr>
          <w:color w:val="000000"/>
          <w:kern w:val="0"/>
          <w:szCs w:val="21"/>
        </w:rPr>
        <w:t>、</w:t>
      </w:r>
      <w:r w:rsidRPr="0026693D">
        <w:rPr>
          <w:color w:val="000000"/>
          <w:kern w:val="0"/>
          <w:szCs w:val="21"/>
        </w:rPr>
        <w:t>24</w:t>
      </w:r>
      <w:r w:rsidRPr="0026693D">
        <w:rPr>
          <w:color w:val="000000"/>
          <w:kern w:val="0"/>
          <w:szCs w:val="21"/>
        </w:rPr>
        <w:t>小时。一般最后一个点的血药浓度应等于或在定量限以下。</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如果同时收集尿样时，则应收集给药前尿样及给药后不同时间段的全部尿样。取样点的确定可参考在实验动物的药代动力学试验中药物排泄过程的特点，应包括开始排泄时间，排泄高峰及排泄基本结束的全过程。</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为保证最佳的采样点，建议在正式试验前进行</w:t>
      </w:r>
      <w:proofErr w:type="gramStart"/>
      <w:r w:rsidRPr="0026693D">
        <w:rPr>
          <w:color w:val="000000"/>
          <w:kern w:val="0"/>
          <w:szCs w:val="21"/>
        </w:rPr>
        <w:t>预试验</w:t>
      </w:r>
      <w:proofErr w:type="gramEnd"/>
      <w:r w:rsidRPr="0026693D">
        <w:rPr>
          <w:color w:val="000000"/>
          <w:kern w:val="0"/>
          <w:szCs w:val="21"/>
        </w:rPr>
        <w:t>工作，然后根据</w:t>
      </w:r>
      <w:proofErr w:type="gramStart"/>
      <w:r w:rsidRPr="0026693D">
        <w:rPr>
          <w:color w:val="000000"/>
          <w:kern w:val="0"/>
          <w:szCs w:val="21"/>
        </w:rPr>
        <w:t>预试验</w:t>
      </w:r>
      <w:proofErr w:type="gramEnd"/>
      <w:r w:rsidRPr="0026693D">
        <w:rPr>
          <w:color w:val="000000"/>
          <w:kern w:val="0"/>
          <w:szCs w:val="21"/>
        </w:rPr>
        <w:t>的结果，审核并修正原设计的采样点。</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6.</w:t>
      </w:r>
      <w:r w:rsidRPr="0026693D">
        <w:rPr>
          <w:rFonts w:eastAsia="黑体"/>
          <w:szCs w:val="21"/>
        </w:rPr>
        <w:t>参数计算</w:t>
      </w:r>
    </w:p>
    <w:p w:rsidR="008F2F08" w:rsidRPr="0026693D" w:rsidRDefault="008F2F08" w:rsidP="008F2F08">
      <w:pPr>
        <w:autoSpaceDE w:val="0"/>
        <w:autoSpaceDN w:val="0"/>
        <w:adjustRightInd w:val="0"/>
        <w:spacing w:line="360" w:lineRule="auto"/>
        <w:ind w:firstLine="480"/>
        <w:rPr>
          <w:color w:val="000000"/>
          <w:kern w:val="0"/>
          <w:szCs w:val="21"/>
        </w:rPr>
      </w:pPr>
      <w:r w:rsidRPr="0026693D">
        <w:rPr>
          <w:color w:val="000000"/>
          <w:kern w:val="0"/>
          <w:szCs w:val="21"/>
        </w:rPr>
        <w:t>用药代动力学计算软件处理每一动物的血药浓度</w:t>
      </w:r>
      <w:r w:rsidRPr="0026693D">
        <w:rPr>
          <w:color w:val="000000"/>
          <w:kern w:val="0"/>
          <w:szCs w:val="21"/>
        </w:rPr>
        <w:t>-</w:t>
      </w:r>
      <w:r w:rsidRPr="0026693D">
        <w:rPr>
          <w:color w:val="000000"/>
          <w:kern w:val="0"/>
          <w:szCs w:val="21"/>
        </w:rPr>
        <w:t>时间数据，获得药代动力学参数，对</w:t>
      </w:r>
      <w:r w:rsidRPr="0026693D">
        <w:rPr>
          <w:color w:val="000000"/>
          <w:kern w:val="0"/>
          <w:szCs w:val="21"/>
        </w:rPr>
        <w:lastRenderedPageBreak/>
        <w:t>其进行分析，说明其临床意义，并对临床给药方案提出建议，如：剂量（首次剂量、维持剂量）、途径、给药间隔时间、疗程等。</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药代动力学计算软件主要用于数据处理、计算药代动力学参数、模型判断、统计学分析及图形显示等。目前国内外常用的药代动力学软件有</w:t>
      </w:r>
      <w:r w:rsidRPr="0026693D">
        <w:rPr>
          <w:color w:val="000000"/>
          <w:kern w:val="0"/>
          <w:szCs w:val="21"/>
        </w:rPr>
        <w:t>MCPKP</w:t>
      </w:r>
      <w:r w:rsidRPr="0026693D">
        <w:rPr>
          <w:color w:val="000000"/>
          <w:kern w:val="0"/>
          <w:szCs w:val="21"/>
        </w:rPr>
        <w:t>、</w:t>
      </w:r>
      <w:r w:rsidRPr="0026693D">
        <w:rPr>
          <w:color w:val="000000"/>
          <w:kern w:val="0"/>
          <w:szCs w:val="21"/>
        </w:rPr>
        <w:t>3P97</w:t>
      </w:r>
      <w:r w:rsidRPr="0026693D">
        <w:rPr>
          <w:color w:val="000000"/>
          <w:kern w:val="0"/>
          <w:szCs w:val="21"/>
        </w:rPr>
        <w:t>、</w:t>
      </w:r>
      <w:proofErr w:type="spellStart"/>
      <w:r w:rsidRPr="0026693D">
        <w:rPr>
          <w:color w:val="000000"/>
          <w:kern w:val="0"/>
          <w:szCs w:val="21"/>
        </w:rPr>
        <w:t>WinNonlin</w:t>
      </w:r>
      <w:proofErr w:type="spellEnd"/>
      <w:r w:rsidRPr="0026693D">
        <w:rPr>
          <w:color w:val="000000"/>
          <w:kern w:val="0"/>
          <w:szCs w:val="21"/>
        </w:rPr>
        <w:t>、</w:t>
      </w:r>
      <w:r w:rsidRPr="0026693D">
        <w:rPr>
          <w:color w:val="000000"/>
          <w:kern w:val="0"/>
          <w:szCs w:val="21"/>
        </w:rPr>
        <w:t>NONMEN</w:t>
      </w:r>
      <w:r w:rsidRPr="0026693D">
        <w:rPr>
          <w:color w:val="000000"/>
          <w:kern w:val="0"/>
          <w:szCs w:val="21"/>
        </w:rPr>
        <w:t>、</w:t>
      </w:r>
      <w:r w:rsidRPr="0026693D">
        <w:rPr>
          <w:color w:val="000000"/>
          <w:kern w:val="0"/>
          <w:szCs w:val="21"/>
        </w:rPr>
        <w:t>PKBP-N1</w:t>
      </w:r>
      <w:r w:rsidRPr="0026693D">
        <w:rPr>
          <w:color w:val="000000"/>
          <w:kern w:val="0"/>
          <w:szCs w:val="21"/>
        </w:rPr>
        <w:t>、</w:t>
      </w:r>
      <w:r w:rsidRPr="0026693D">
        <w:rPr>
          <w:color w:val="000000"/>
          <w:kern w:val="0"/>
          <w:szCs w:val="21"/>
        </w:rPr>
        <w:t>NDST</w:t>
      </w:r>
      <w:r w:rsidRPr="0026693D">
        <w:rPr>
          <w:color w:val="000000"/>
          <w:kern w:val="0"/>
          <w:szCs w:val="21"/>
        </w:rPr>
        <w:t>及</w:t>
      </w:r>
      <w:r w:rsidRPr="0026693D">
        <w:rPr>
          <w:color w:val="000000"/>
          <w:kern w:val="0"/>
          <w:szCs w:val="21"/>
        </w:rPr>
        <w:t>ABE</w:t>
      </w:r>
      <w:r w:rsidRPr="0026693D">
        <w:rPr>
          <w:color w:val="000000"/>
          <w:kern w:val="0"/>
          <w:szCs w:val="21"/>
        </w:rPr>
        <w:t>等，在实际工作中可根据需要合理选用。</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试验中测得的每头</w:t>
      </w:r>
      <w:proofErr w:type="gramStart"/>
      <w:r w:rsidRPr="0026693D">
        <w:rPr>
          <w:color w:val="000000"/>
          <w:kern w:val="0"/>
          <w:szCs w:val="21"/>
        </w:rPr>
        <w:t>靶动物</w:t>
      </w:r>
      <w:proofErr w:type="gramEnd"/>
      <w:r w:rsidRPr="0026693D">
        <w:rPr>
          <w:color w:val="000000"/>
          <w:kern w:val="0"/>
          <w:szCs w:val="21"/>
        </w:rPr>
        <w:t>的血药浓度</w:t>
      </w:r>
      <w:r w:rsidRPr="0026693D">
        <w:rPr>
          <w:color w:val="000000"/>
          <w:kern w:val="0"/>
          <w:szCs w:val="21"/>
        </w:rPr>
        <w:t>-</w:t>
      </w:r>
      <w:r w:rsidRPr="0026693D">
        <w:rPr>
          <w:color w:val="000000"/>
          <w:kern w:val="0"/>
          <w:szCs w:val="21"/>
        </w:rPr>
        <w:t>时间数据，绘制每头</w:t>
      </w:r>
      <w:proofErr w:type="gramStart"/>
      <w:r w:rsidRPr="0026693D">
        <w:rPr>
          <w:color w:val="000000"/>
          <w:kern w:val="0"/>
          <w:szCs w:val="21"/>
        </w:rPr>
        <w:t>靶动物</w:t>
      </w:r>
      <w:proofErr w:type="gramEnd"/>
      <w:r w:rsidRPr="0026693D">
        <w:rPr>
          <w:color w:val="000000"/>
          <w:kern w:val="0"/>
          <w:szCs w:val="21"/>
        </w:rPr>
        <w:t>的药</w:t>
      </w:r>
      <w:r w:rsidRPr="0026693D">
        <w:rPr>
          <w:color w:val="000000"/>
          <w:kern w:val="0"/>
          <w:szCs w:val="21"/>
        </w:rPr>
        <w:t>-</w:t>
      </w:r>
      <w:r w:rsidRPr="0026693D">
        <w:rPr>
          <w:color w:val="000000"/>
          <w:kern w:val="0"/>
          <w:szCs w:val="21"/>
        </w:rPr>
        <w:t>时曲线及平均药</w:t>
      </w:r>
      <w:r w:rsidRPr="0026693D">
        <w:rPr>
          <w:color w:val="000000"/>
          <w:kern w:val="0"/>
          <w:szCs w:val="21"/>
        </w:rPr>
        <w:t>-</w:t>
      </w:r>
      <w:r w:rsidRPr="0026693D">
        <w:rPr>
          <w:color w:val="000000"/>
          <w:kern w:val="0"/>
          <w:szCs w:val="21"/>
        </w:rPr>
        <w:t>时曲线，一般可用房室模型或非房室模型分析，进行药代动力学参数的计算，求得药物的主要药代动力学参数，以全面反映药物</w:t>
      </w:r>
      <w:proofErr w:type="gramStart"/>
      <w:r w:rsidRPr="0026693D">
        <w:rPr>
          <w:color w:val="000000"/>
          <w:kern w:val="0"/>
          <w:szCs w:val="21"/>
        </w:rPr>
        <w:t>在靶动物</w:t>
      </w:r>
      <w:proofErr w:type="gramEnd"/>
      <w:r w:rsidRPr="0026693D">
        <w:rPr>
          <w:color w:val="000000"/>
          <w:kern w:val="0"/>
          <w:szCs w:val="21"/>
        </w:rPr>
        <w:t>体内吸收、分布和消除的特点。主要药代动力学参数有：</w:t>
      </w:r>
      <w:proofErr w:type="spellStart"/>
      <w:r w:rsidRPr="0026693D">
        <w:rPr>
          <w:color w:val="000000"/>
          <w:kern w:val="0"/>
          <w:szCs w:val="21"/>
        </w:rPr>
        <w:t>K</w:t>
      </w:r>
      <w:r w:rsidRPr="0026693D">
        <w:rPr>
          <w:color w:val="000000"/>
          <w:kern w:val="0"/>
          <w:szCs w:val="21"/>
          <w:vertAlign w:val="subscript"/>
        </w:rPr>
        <w:t>a</w:t>
      </w:r>
      <w:proofErr w:type="spellEnd"/>
      <w:r w:rsidRPr="0026693D">
        <w:rPr>
          <w:color w:val="000000"/>
          <w:kern w:val="0"/>
          <w:szCs w:val="21"/>
        </w:rPr>
        <w:t>、</w:t>
      </w:r>
      <w:proofErr w:type="spellStart"/>
      <w:r w:rsidRPr="0026693D">
        <w:rPr>
          <w:color w:val="000000"/>
          <w:kern w:val="0"/>
          <w:szCs w:val="21"/>
        </w:rPr>
        <w:t>K</w:t>
      </w:r>
      <w:r w:rsidRPr="0026693D">
        <w:rPr>
          <w:color w:val="000000"/>
          <w:kern w:val="0"/>
          <w:szCs w:val="21"/>
          <w:vertAlign w:val="subscript"/>
        </w:rPr>
        <w:t>e</w:t>
      </w:r>
      <w:proofErr w:type="spellEnd"/>
      <w:r w:rsidRPr="0026693D">
        <w:rPr>
          <w:color w:val="000000"/>
          <w:kern w:val="0"/>
          <w:szCs w:val="21"/>
        </w:rPr>
        <w:t>、</w:t>
      </w:r>
      <w:proofErr w:type="spellStart"/>
      <w:r w:rsidRPr="0026693D">
        <w:rPr>
          <w:color w:val="000000"/>
          <w:kern w:val="0"/>
          <w:szCs w:val="21"/>
        </w:rPr>
        <w:t>t</w:t>
      </w:r>
      <w:r w:rsidRPr="0026693D">
        <w:rPr>
          <w:color w:val="000000"/>
          <w:kern w:val="0"/>
          <w:szCs w:val="21"/>
          <w:vertAlign w:val="subscript"/>
        </w:rPr>
        <w:t>max</w:t>
      </w:r>
      <w:proofErr w:type="spellEnd"/>
      <w:r w:rsidRPr="0026693D">
        <w:rPr>
          <w:color w:val="000000"/>
          <w:kern w:val="0"/>
          <w:szCs w:val="21"/>
        </w:rPr>
        <w:t>、</w:t>
      </w:r>
      <w:proofErr w:type="spellStart"/>
      <w:r w:rsidRPr="0026693D">
        <w:rPr>
          <w:color w:val="000000"/>
          <w:kern w:val="0"/>
          <w:szCs w:val="21"/>
        </w:rPr>
        <w:t>C</w:t>
      </w:r>
      <w:r w:rsidRPr="0026693D">
        <w:rPr>
          <w:color w:val="000000"/>
          <w:kern w:val="0"/>
          <w:szCs w:val="21"/>
          <w:vertAlign w:val="subscript"/>
        </w:rPr>
        <w:t>max</w:t>
      </w:r>
      <w:proofErr w:type="spellEnd"/>
      <w:r w:rsidRPr="0026693D">
        <w:rPr>
          <w:color w:val="000000"/>
          <w:kern w:val="0"/>
          <w:szCs w:val="21"/>
        </w:rPr>
        <w:t>、</w:t>
      </w:r>
      <w:r w:rsidRPr="0026693D">
        <w:rPr>
          <w:color w:val="000000"/>
          <w:kern w:val="0"/>
          <w:szCs w:val="21"/>
        </w:rPr>
        <w:t>AUC</w:t>
      </w:r>
      <w:r w:rsidRPr="0026693D">
        <w:rPr>
          <w:color w:val="000000"/>
          <w:kern w:val="0"/>
          <w:szCs w:val="21"/>
        </w:rPr>
        <w:t>、</w:t>
      </w:r>
      <w:r w:rsidRPr="0026693D">
        <w:rPr>
          <w:color w:val="000000"/>
          <w:kern w:val="0"/>
          <w:szCs w:val="21"/>
        </w:rPr>
        <w:t>F</w:t>
      </w:r>
      <w:r w:rsidRPr="0026693D">
        <w:rPr>
          <w:color w:val="000000"/>
          <w:kern w:val="0"/>
          <w:szCs w:val="21"/>
        </w:rPr>
        <w:t>、</w:t>
      </w:r>
      <w:r w:rsidRPr="0026693D">
        <w:rPr>
          <w:color w:val="000000"/>
          <w:kern w:val="0"/>
          <w:szCs w:val="21"/>
        </w:rPr>
        <w:t>t</w:t>
      </w:r>
      <w:r w:rsidRPr="0026693D">
        <w:rPr>
          <w:color w:val="000000"/>
          <w:kern w:val="0"/>
          <w:szCs w:val="21"/>
          <w:vertAlign w:val="subscript"/>
        </w:rPr>
        <w:t>1/2</w:t>
      </w:r>
      <w:r w:rsidRPr="0026693D">
        <w:rPr>
          <w:color w:val="000000"/>
          <w:kern w:val="0"/>
          <w:szCs w:val="21"/>
        </w:rPr>
        <w:t>、</w:t>
      </w:r>
      <w:r w:rsidRPr="0026693D">
        <w:rPr>
          <w:color w:val="000000"/>
          <w:kern w:val="0"/>
          <w:szCs w:val="21"/>
        </w:rPr>
        <w:t>MRT</w:t>
      </w:r>
      <w:r w:rsidRPr="0026693D">
        <w:rPr>
          <w:color w:val="000000"/>
          <w:kern w:val="0"/>
          <w:szCs w:val="21"/>
        </w:rPr>
        <w:t>和</w:t>
      </w:r>
      <w:r w:rsidRPr="0026693D">
        <w:rPr>
          <w:color w:val="000000"/>
          <w:kern w:val="0"/>
          <w:szCs w:val="21"/>
        </w:rPr>
        <w:t>CL</w:t>
      </w:r>
      <w:r w:rsidRPr="0026693D">
        <w:rPr>
          <w:color w:val="000000"/>
          <w:kern w:val="0"/>
          <w:szCs w:val="21"/>
        </w:rPr>
        <w:t>等，</w:t>
      </w:r>
      <w:proofErr w:type="spellStart"/>
      <w:r w:rsidRPr="0026693D">
        <w:rPr>
          <w:color w:val="000000"/>
          <w:kern w:val="0"/>
          <w:szCs w:val="21"/>
        </w:rPr>
        <w:t>K</w:t>
      </w:r>
      <w:r w:rsidRPr="0026693D">
        <w:rPr>
          <w:color w:val="000000"/>
          <w:kern w:val="0"/>
          <w:szCs w:val="21"/>
          <w:vertAlign w:val="subscript"/>
        </w:rPr>
        <w:t>a</w:t>
      </w:r>
      <w:proofErr w:type="spellEnd"/>
      <w:r w:rsidRPr="0026693D">
        <w:rPr>
          <w:color w:val="000000"/>
          <w:kern w:val="0"/>
          <w:szCs w:val="21"/>
        </w:rPr>
        <w:t>、</w:t>
      </w:r>
      <w:r w:rsidRPr="0026693D">
        <w:rPr>
          <w:color w:val="000000"/>
          <w:kern w:val="0"/>
          <w:szCs w:val="21"/>
        </w:rPr>
        <w:t>F</w:t>
      </w:r>
      <w:r w:rsidRPr="0026693D">
        <w:rPr>
          <w:color w:val="000000"/>
          <w:kern w:val="0"/>
          <w:szCs w:val="21"/>
        </w:rPr>
        <w:t>主要反映药物吸收速率和程度；</w:t>
      </w:r>
      <w:proofErr w:type="spellStart"/>
      <w:r w:rsidRPr="0026693D">
        <w:rPr>
          <w:color w:val="000000"/>
          <w:kern w:val="0"/>
          <w:szCs w:val="21"/>
        </w:rPr>
        <w:t>Vd</w:t>
      </w:r>
      <w:proofErr w:type="spellEnd"/>
      <w:r w:rsidRPr="0026693D">
        <w:rPr>
          <w:color w:val="000000"/>
          <w:kern w:val="0"/>
          <w:szCs w:val="21"/>
        </w:rPr>
        <w:t>主要反映理论上药物在体内占有的分布容积；而</w:t>
      </w:r>
      <w:proofErr w:type="spellStart"/>
      <w:r w:rsidRPr="0026693D">
        <w:rPr>
          <w:color w:val="000000"/>
          <w:kern w:val="0"/>
          <w:szCs w:val="21"/>
        </w:rPr>
        <w:t>K</w:t>
      </w:r>
      <w:r w:rsidRPr="0026693D">
        <w:rPr>
          <w:color w:val="000000"/>
          <w:kern w:val="0"/>
          <w:szCs w:val="21"/>
          <w:vertAlign w:val="subscript"/>
        </w:rPr>
        <w:t>e</w:t>
      </w:r>
      <w:proofErr w:type="spellEnd"/>
      <w:r w:rsidRPr="0026693D">
        <w:rPr>
          <w:color w:val="000000"/>
          <w:kern w:val="0"/>
          <w:szCs w:val="21"/>
        </w:rPr>
        <w:t>、</w:t>
      </w:r>
      <w:r w:rsidRPr="0026693D">
        <w:rPr>
          <w:color w:val="000000"/>
          <w:kern w:val="0"/>
          <w:szCs w:val="21"/>
        </w:rPr>
        <w:t>t</w:t>
      </w:r>
      <w:r w:rsidRPr="0026693D">
        <w:rPr>
          <w:color w:val="000000"/>
          <w:kern w:val="0"/>
          <w:szCs w:val="21"/>
          <w:vertAlign w:val="subscript"/>
        </w:rPr>
        <w:t>1/2</w:t>
      </w:r>
      <w:r w:rsidRPr="0026693D">
        <w:rPr>
          <w:color w:val="000000"/>
          <w:kern w:val="0"/>
          <w:szCs w:val="21"/>
        </w:rPr>
        <w:t>、</w:t>
      </w:r>
      <w:r w:rsidRPr="0026693D">
        <w:rPr>
          <w:color w:val="000000"/>
          <w:kern w:val="0"/>
          <w:szCs w:val="21"/>
        </w:rPr>
        <w:t>MRT</w:t>
      </w:r>
      <w:r w:rsidRPr="0026693D">
        <w:rPr>
          <w:color w:val="000000"/>
          <w:kern w:val="0"/>
          <w:szCs w:val="21"/>
        </w:rPr>
        <w:t>和</w:t>
      </w:r>
      <w:r w:rsidRPr="0026693D">
        <w:rPr>
          <w:color w:val="000000"/>
          <w:kern w:val="0"/>
          <w:szCs w:val="21"/>
        </w:rPr>
        <w:t>CL</w:t>
      </w:r>
      <w:r w:rsidRPr="0026693D">
        <w:rPr>
          <w:color w:val="000000"/>
          <w:kern w:val="0"/>
          <w:szCs w:val="21"/>
        </w:rPr>
        <w:t>等主要反映药物从血液循环中消除的特点。</w:t>
      </w:r>
    </w:p>
    <w:p w:rsidR="008F2F08" w:rsidRPr="00DA0E42" w:rsidRDefault="008F2F08" w:rsidP="008F2F08">
      <w:pPr>
        <w:autoSpaceDE w:val="0"/>
        <w:autoSpaceDN w:val="0"/>
        <w:adjustRightInd w:val="0"/>
        <w:spacing w:line="360" w:lineRule="auto"/>
        <w:ind w:firstLineChars="200" w:firstLine="420"/>
        <w:rPr>
          <w:color w:val="000000"/>
          <w:kern w:val="0"/>
          <w:sz w:val="24"/>
        </w:rPr>
      </w:pPr>
      <w:r w:rsidRPr="0026693D">
        <w:rPr>
          <w:color w:val="000000"/>
          <w:kern w:val="0"/>
          <w:szCs w:val="21"/>
        </w:rPr>
        <w:t>从尿药浓度估算药物经肾排泄的速率和总量。</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（二）多次给药的药代动力学试验</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当药物在临床上将连续多次应用时，需明确多次给药的药代动力学特征。根据试验目的，应考</w:t>
      </w:r>
      <w:proofErr w:type="gramStart"/>
      <w:r w:rsidRPr="0026693D">
        <w:rPr>
          <w:color w:val="000000"/>
          <w:kern w:val="0"/>
          <w:szCs w:val="21"/>
        </w:rPr>
        <w:t>察药物</w:t>
      </w:r>
      <w:proofErr w:type="gramEnd"/>
      <w:r w:rsidRPr="0026693D">
        <w:rPr>
          <w:color w:val="000000"/>
          <w:kern w:val="0"/>
          <w:szCs w:val="21"/>
        </w:rPr>
        <w:t>多次给药后的稳态浓度（</w:t>
      </w:r>
      <w:proofErr w:type="spellStart"/>
      <w:r w:rsidRPr="0026693D">
        <w:rPr>
          <w:color w:val="000000"/>
          <w:kern w:val="0"/>
          <w:szCs w:val="21"/>
        </w:rPr>
        <w:t>C</w:t>
      </w:r>
      <w:r w:rsidRPr="0026693D">
        <w:rPr>
          <w:color w:val="000000"/>
          <w:kern w:val="0"/>
          <w:szCs w:val="21"/>
          <w:vertAlign w:val="subscript"/>
        </w:rPr>
        <w:t>ss</w:t>
      </w:r>
      <w:proofErr w:type="spellEnd"/>
      <w:r w:rsidRPr="0026693D">
        <w:rPr>
          <w:color w:val="000000"/>
          <w:kern w:val="0"/>
          <w:szCs w:val="21"/>
        </w:rPr>
        <w:t>），达到稳态浓度的速率和程度，药物谷、峰浓度之间的波动系数（</w:t>
      </w:r>
      <w:r w:rsidRPr="0026693D">
        <w:rPr>
          <w:color w:val="000000"/>
          <w:kern w:val="0"/>
          <w:szCs w:val="21"/>
        </w:rPr>
        <w:t>DF</w:t>
      </w:r>
      <w:r w:rsidRPr="0026693D">
        <w:rPr>
          <w:color w:val="000000"/>
          <w:kern w:val="0"/>
          <w:szCs w:val="21"/>
        </w:rPr>
        <w:t>），是否存在药物蓄积作用，明确</w:t>
      </w:r>
      <w:proofErr w:type="spellStart"/>
      <w:r w:rsidRPr="0026693D">
        <w:rPr>
          <w:color w:val="000000"/>
          <w:kern w:val="0"/>
          <w:szCs w:val="21"/>
        </w:rPr>
        <w:t>Css</w:t>
      </w:r>
      <w:proofErr w:type="spellEnd"/>
      <w:r w:rsidRPr="0026693D">
        <w:rPr>
          <w:color w:val="000000"/>
          <w:kern w:val="0"/>
          <w:szCs w:val="21"/>
        </w:rPr>
        <w:t>和临床药理效应（药效和不良反应）的关系。</w:t>
      </w:r>
      <w:r w:rsidRPr="0026693D">
        <w:rPr>
          <w:color w:val="000000"/>
          <w:kern w:val="0"/>
          <w:szCs w:val="21"/>
        </w:rPr>
        <w:t xml:space="preserve"> </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1.</w:t>
      </w:r>
      <w:r w:rsidRPr="0026693D">
        <w:rPr>
          <w:rFonts w:eastAsia="黑体"/>
          <w:szCs w:val="21"/>
        </w:rPr>
        <w:t>试验动物与数量</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均同单次给药的药代动力学试验。</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2.</w:t>
      </w:r>
      <w:r w:rsidRPr="0026693D">
        <w:rPr>
          <w:rFonts w:eastAsia="黑体"/>
          <w:szCs w:val="21"/>
        </w:rPr>
        <w:t>受试药物</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同单次给药的药代动力学试验。</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3.</w:t>
      </w:r>
      <w:r w:rsidRPr="0026693D">
        <w:rPr>
          <w:rFonts w:eastAsia="黑体"/>
          <w:szCs w:val="21"/>
        </w:rPr>
        <w:t>药物剂量</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采用临床试验拟订的一种治疗剂量，并根据单次给药的药代动力学参数中消除半衰期和临床试验给药方案中制订的给药间歇以及给药日数，确定总给药次数和总剂量。</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4.</w:t>
      </w:r>
      <w:r w:rsidRPr="0026693D">
        <w:rPr>
          <w:rFonts w:eastAsia="黑体"/>
          <w:szCs w:val="21"/>
        </w:rPr>
        <w:t>采样点的确定</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根据单剂量药代动力学求得的消除半衰期，估算药物可能达到稳态浓度的时间。一般采样点最好安排在早上空腹给药前，以排除饲料、时辰以及其他因素的干扰。应连续测定</w:t>
      </w:r>
      <w:r w:rsidRPr="0026693D">
        <w:rPr>
          <w:color w:val="000000"/>
          <w:kern w:val="0"/>
          <w:szCs w:val="21"/>
        </w:rPr>
        <w:t>3</w:t>
      </w:r>
      <w:r w:rsidRPr="0026693D">
        <w:rPr>
          <w:color w:val="000000"/>
          <w:kern w:val="0"/>
          <w:szCs w:val="21"/>
        </w:rPr>
        <w:t>次（一般为连续</w:t>
      </w:r>
      <w:r w:rsidRPr="0026693D">
        <w:rPr>
          <w:color w:val="000000"/>
          <w:kern w:val="0"/>
          <w:szCs w:val="21"/>
        </w:rPr>
        <w:t>3</w:t>
      </w:r>
      <w:r w:rsidRPr="0026693D">
        <w:rPr>
          <w:color w:val="000000"/>
          <w:kern w:val="0"/>
          <w:szCs w:val="21"/>
        </w:rPr>
        <w:t>天的）谷浓度（给药前）以确定已达稳态浓度。当确定已达稳态浓度后，在最后</w:t>
      </w:r>
      <w:r w:rsidRPr="0026693D">
        <w:rPr>
          <w:color w:val="000000"/>
          <w:kern w:val="0"/>
          <w:szCs w:val="21"/>
        </w:rPr>
        <w:t>1</w:t>
      </w:r>
      <w:r w:rsidRPr="0026693D">
        <w:rPr>
          <w:color w:val="000000"/>
          <w:kern w:val="0"/>
          <w:szCs w:val="21"/>
        </w:rPr>
        <w:t>次给药后，采集一系列血样，时间点包括各时相（同单次给药），以测定各时间点的</w:t>
      </w:r>
      <w:r w:rsidRPr="0026693D">
        <w:rPr>
          <w:color w:val="000000"/>
          <w:kern w:val="0"/>
          <w:szCs w:val="21"/>
        </w:rPr>
        <w:lastRenderedPageBreak/>
        <w:t>血药浓度，获得稳态血药浓度</w:t>
      </w:r>
      <w:r w:rsidRPr="0026693D">
        <w:rPr>
          <w:color w:val="000000"/>
          <w:kern w:val="0"/>
          <w:szCs w:val="21"/>
        </w:rPr>
        <w:t>-</w:t>
      </w:r>
      <w:r w:rsidRPr="0026693D">
        <w:rPr>
          <w:color w:val="000000"/>
          <w:kern w:val="0"/>
          <w:szCs w:val="21"/>
        </w:rPr>
        <w:t>时间曲线。</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5.</w:t>
      </w:r>
      <w:r w:rsidRPr="0026693D">
        <w:rPr>
          <w:rFonts w:eastAsia="黑体"/>
          <w:szCs w:val="21"/>
        </w:rPr>
        <w:t>参数计算</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根据试验中测定的</w:t>
      </w:r>
      <w:r w:rsidRPr="0026693D">
        <w:rPr>
          <w:color w:val="000000"/>
          <w:kern w:val="0"/>
          <w:szCs w:val="21"/>
        </w:rPr>
        <w:t>3</w:t>
      </w:r>
      <w:r w:rsidRPr="0026693D">
        <w:rPr>
          <w:color w:val="000000"/>
          <w:kern w:val="0"/>
          <w:szCs w:val="21"/>
        </w:rPr>
        <w:t>次谷浓度及稳态血药浓度</w:t>
      </w:r>
      <w:r w:rsidRPr="0026693D">
        <w:rPr>
          <w:color w:val="000000"/>
          <w:kern w:val="0"/>
          <w:szCs w:val="21"/>
        </w:rPr>
        <w:t>-</w:t>
      </w:r>
      <w:r w:rsidRPr="0026693D">
        <w:rPr>
          <w:color w:val="000000"/>
          <w:kern w:val="0"/>
          <w:szCs w:val="21"/>
        </w:rPr>
        <w:t>时间数据，绘制多次给药后药</w:t>
      </w:r>
      <w:r w:rsidRPr="0026693D">
        <w:rPr>
          <w:color w:val="000000"/>
          <w:kern w:val="0"/>
          <w:szCs w:val="21"/>
        </w:rPr>
        <w:t>-</w:t>
      </w:r>
      <w:r w:rsidRPr="0026693D">
        <w:rPr>
          <w:color w:val="000000"/>
          <w:kern w:val="0"/>
          <w:szCs w:val="21"/>
        </w:rPr>
        <w:t>时曲线，求得相应的药代动力学参数，包括峰时间（</w:t>
      </w:r>
      <w:proofErr w:type="spellStart"/>
      <w:r w:rsidRPr="0026693D">
        <w:rPr>
          <w:color w:val="000000"/>
          <w:kern w:val="0"/>
          <w:szCs w:val="21"/>
        </w:rPr>
        <w:t>t</w:t>
      </w:r>
      <w:r w:rsidRPr="0026693D">
        <w:rPr>
          <w:color w:val="000000"/>
          <w:kern w:val="0"/>
          <w:szCs w:val="21"/>
          <w:vertAlign w:val="subscript"/>
        </w:rPr>
        <w:t>max</w:t>
      </w:r>
      <w:proofErr w:type="spellEnd"/>
      <w:r w:rsidRPr="0026693D">
        <w:rPr>
          <w:color w:val="000000"/>
          <w:kern w:val="0"/>
          <w:szCs w:val="21"/>
        </w:rPr>
        <w:t>）、峰浓度（</w:t>
      </w:r>
      <w:proofErr w:type="spellStart"/>
      <w:r w:rsidRPr="0026693D">
        <w:rPr>
          <w:color w:val="000000"/>
          <w:kern w:val="0"/>
          <w:szCs w:val="21"/>
        </w:rPr>
        <w:t>C</w:t>
      </w:r>
      <w:r w:rsidRPr="0026693D">
        <w:rPr>
          <w:color w:val="000000"/>
          <w:kern w:val="0"/>
          <w:szCs w:val="21"/>
          <w:vertAlign w:val="subscript"/>
        </w:rPr>
        <w:t>max</w:t>
      </w:r>
      <w:proofErr w:type="spellEnd"/>
      <w:r w:rsidRPr="0026693D">
        <w:rPr>
          <w:color w:val="000000"/>
          <w:kern w:val="0"/>
          <w:szCs w:val="21"/>
        </w:rPr>
        <w:t>）、消除半衰期（</w:t>
      </w:r>
      <w:r w:rsidRPr="0026693D">
        <w:rPr>
          <w:color w:val="000000"/>
          <w:kern w:val="0"/>
          <w:szCs w:val="21"/>
        </w:rPr>
        <w:t>t</w:t>
      </w:r>
      <w:r w:rsidRPr="0026693D">
        <w:rPr>
          <w:color w:val="000000"/>
          <w:kern w:val="0"/>
          <w:szCs w:val="21"/>
          <w:vertAlign w:val="subscript"/>
        </w:rPr>
        <w:t>1/2</w:t>
      </w:r>
      <w:r w:rsidRPr="0026693D">
        <w:rPr>
          <w:color w:val="000000"/>
          <w:kern w:val="0"/>
          <w:szCs w:val="21"/>
        </w:rPr>
        <w:t>）、清除率（</w:t>
      </w:r>
      <w:r w:rsidRPr="0026693D">
        <w:rPr>
          <w:color w:val="000000"/>
          <w:kern w:val="0"/>
          <w:szCs w:val="21"/>
        </w:rPr>
        <w:t>CL</w:t>
      </w:r>
      <w:r w:rsidRPr="0026693D">
        <w:rPr>
          <w:color w:val="000000"/>
          <w:kern w:val="0"/>
          <w:szCs w:val="21"/>
        </w:rPr>
        <w:t>）、平均稳态血药浓度（</w:t>
      </w:r>
      <w:r w:rsidRPr="0026693D">
        <w:rPr>
          <w:color w:val="000000"/>
          <w:kern w:val="0"/>
          <w:szCs w:val="21"/>
        </w:rPr>
        <w:t>C</w:t>
      </w:r>
      <w:r w:rsidRPr="0026693D">
        <w:rPr>
          <w:color w:val="000000"/>
          <w:kern w:val="0"/>
          <w:szCs w:val="21"/>
          <w:vertAlign w:val="subscript"/>
        </w:rPr>
        <w:t>av</w:t>
      </w:r>
      <w:r w:rsidRPr="0026693D">
        <w:rPr>
          <w:color w:val="000000"/>
          <w:kern w:val="0"/>
          <w:szCs w:val="21"/>
        </w:rPr>
        <w:t>）、稳态血药浓度</w:t>
      </w:r>
      <w:r w:rsidRPr="0026693D">
        <w:rPr>
          <w:color w:val="000000"/>
          <w:kern w:val="0"/>
          <w:szCs w:val="21"/>
        </w:rPr>
        <w:t>-</w:t>
      </w:r>
      <w:r w:rsidRPr="0026693D">
        <w:rPr>
          <w:color w:val="000000"/>
          <w:kern w:val="0"/>
          <w:szCs w:val="21"/>
        </w:rPr>
        <w:t>时间曲线下面积（</w:t>
      </w:r>
      <w:proofErr w:type="spellStart"/>
      <w:r w:rsidRPr="0026693D">
        <w:rPr>
          <w:color w:val="000000"/>
          <w:kern w:val="0"/>
          <w:szCs w:val="21"/>
        </w:rPr>
        <w:t>AUC</w:t>
      </w:r>
      <w:r w:rsidRPr="0026693D">
        <w:rPr>
          <w:color w:val="000000"/>
          <w:kern w:val="0"/>
          <w:szCs w:val="21"/>
          <w:vertAlign w:val="subscript"/>
        </w:rPr>
        <w:t>ss</w:t>
      </w:r>
      <w:proofErr w:type="spellEnd"/>
      <w:r w:rsidRPr="0026693D">
        <w:rPr>
          <w:color w:val="000000"/>
          <w:kern w:val="0"/>
          <w:szCs w:val="21"/>
        </w:rPr>
        <w:t>）及</w:t>
      </w:r>
      <w:r w:rsidRPr="0026693D">
        <w:rPr>
          <w:color w:val="000000"/>
          <w:kern w:val="0"/>
          <w:szCs w:val="21"/>
        </w:rPr>
        <w:t>DF</w:t>
      </w:r>
      <w:r w:rsidRPr="0026693D">
        <w:rPr>
          <w:color w:val="000000"/>
          <w:kern w:val="0"/>
          <w:szCs w:val="21"/>
        </w:rPr>
        <w:t>（波动系数）等。</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说明多次给药时药物在体内的药代动力学特征，同时应与单剂量给药的相应药代动力学的参数进行比较，观察它们之间是否存在明显的差异，特别在吸收和消除等方面有否显著的改变。</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（三）长效制剂（包括缓释、控释制剂）的药代动力学试验</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长效制剂与普通制剂的药代动力学行为明显不同，因此须进行与参比制剂相比较的单次药代动力学试验（必要时应做多次给药的药动学试验），以证实制剂的长效特征。</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1.</w:t>
      </w:r>
      <w:r w:rsidRPr="0026693D">
        <w:rPr>
          <w:rFonts w:eastAsia="黑体"/>
          <w:szCs w:val="21"/>
        </w:rPr>
        <w:t>试验动物、数量要求、受试药物的要求</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均同单次给药的药代动力学试验和多次给药的药代动力学试验。</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2.</w:t>
      </w:r>
      <w:r w:rsidRPr="0026693D">
        <w:rPr>
          <w:rFonts w:eastAsia="黑体"/>
          <w:szCs w:val="21"/>
        </w:rPr>
        <w:t>参比制剂的选择及受试药物剂量</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根据产品的不同以及试验目的的差别，试验中所选择的参比制剂以及用药剂量的选择都会有所不同。一般而言，</w:t>
      </w:r>
      <w:proofErr w:type="gramStart"/>
      <w:r w:rsidRPr="0026693D">
        <w:rPr>
          <w:color w:val="000000"/>
          <w:kern w:val="0"/>
          <w:szCs w:val="21"/>
        </w:rPr>
        <w:t>其参比</w:t>
      </w:r>
      <w:proofErr w:type="gramEnd"/>
      <w:r w:rsidRPr="0026693D">
        <w:rPr>
          <w:color w:val="000000"/>
          <w:kern w:val="0"/>
          <w:szCs w:val="21"/>
        </w:rPr>
        <w:t>制剂应选</w:t>
      </w:r>
      <w:proofErr w:type="gramStart"/>
      <w:r w:rsidRPr="0026693D">
        <w:rPr>
          <w:color w:val="000000"/>
          <w:kern w:val="0"/>
          <w:szCs w:val="21"/>
        </w:rPr>
        <w:t>择普通</w:t>
      </w:r>
      <w:proofErr w:type="gramEnd"/>
      <w:r w:rsidRPr="0026693D">
        <w:rPr>
          <w:color w:val="000000"/>
          <w:kern w:val="0"/>
          <w:szCs w:val="21"/>
        </w:rPr>
        <w:t>制剂或其他已经上市的长效制剂。而受试制剂和</w:t>
      </w:r>
      <w:proofErr w:type="gramStart"/>
      <w:r w:rsidRPr="0026693D">
        <w:rPr>
          <w:color w:val="000000"/>
          <w:kern w:val="0"/>
          <w:szCs w:val="21"/>
        </w:rPr>
        <w:t>参比</w:t>
      </w:r>
      <w:proofErr w:type="gramEnd"/>
      <w:r w:rsidRPr="0026693D">
        <w:rPr>
          <w:color w:val="000000"/>
          <w:kern w:val="0"/>
          <w:szCs w:val="21"/>
        </w:rPr>
        <w:t>制剂每次用药的剂量和每日用药的次数，则应该按照各自临床用药的方案来制订，但两者每日用药总量通常应该是相同的。</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3.</w:t>
      </w:r>
      <w:r w:rsidRPr="0026693D">
        <w:rPr>
          <w:rFonts w:eastAsia="黑体"/>
          <w:szCs w:val="21"/>
        </w:rPr>
        <w:t>试验设计</w:t>
      </w:r>
      <w:r w:rsidRPr="0026693D">
        <w:rPr>
          <w:rFonts w:eastAsia="黑体"/>
          <w:szCs w:val="21"/>
        </w:rPr>
        <w:t xml:space="preserve"> </w:t>
      </w:r>
      <w:r w:rsidRPr="0026693D">
        <w:rPr>
          <w:color w:val="000000"/>
          <w:kern w:val="0"/>
          <w:szCs w:val="21"/>
        </w:rPr>
        <w:t xml:space="preserve"> </w:t>
      </w:r>
      <w:r w:rsidRPr="0026693D">
        <w:rPr>
          <w:color w:val="000000"/>
          <w:kern w:val="0"/>
          <w:szCs w:val="21"/>
        </w:rPr>
        <w:t>采用随机交叉设计。</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rFonts w:eastAsia="黑体"/>
          <w:szCs w:val="21"/>
        </w:rPr>
        <w:t>4.</w:t>
      </w:r>
      <w:r w:rsidRPr="0026693D">
        <w:rPr>
          <w:rFonts w:eastAsia="黑体"/>
          <w:szCs w:val="21"/>
        </w:rPr>
        <w:t>采样点的确定</w:t>
      </w:r>
      <w:r w:rsidRPr="0026693D">
        <w:rPr>
          <w:color w:val="000000"/>
          <w:kern w:val="0"/>
          <w:szCs w:val="21"/>
        </w:rPr>
        <w:t xml:space="preserve">  </w:t>
      </w:r>
      <w:r w:rsidRPr="0026693D">
        <w:rPr>
          <w:color w:val="000000"/>
          <w:kern w:val="0"/>
          <w:szCs w:val="21"/>
        </w:rPr>
        <w:t>参考单次给药的药代动力学试验和多次给药的药代动力学试验。</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5.</w:t>
      </w:r>
      <w:r w:rsidRPr="0026693D">
        <w:rPr>
          <w:rFonts w:eastAsia="黑体"/>
          <w:szCs w:val="21"/>
        </w:rPr>
        <w:t>药代动力学参数的估算</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根据试验中测定的血药浓度</w:t>
      </w:r>
      <w:r w:rsidRPr="0026693D">
        <w:rPr>
          <w:color w:val="000000"/>
          <w:kern w:val="0"/>
          <w:szCs w:val="21"/>
        </w:rPr>
        <w:t>-</w:t>
      </w:r>
      <w:r w:rsidRPr="0026693D">
        <w:rPr>
          <w:color w:val="000000"/>
          <w:kern w:val="0"/>
          <w:szCs w:val="21"/>
        </w:rPr>
        <w:t>时间数据，绘制单次给药和多次给药后药</w:t>
      </w:r>
      <w:r w:rsidRPr="0026693D">
        <w:rPr>
          <w:color w:val="000000"/>
          <w:kern w:val="0"/>
          <w:szCs w:val="21"/>
        </w:rPr>
        <w:t>-</w:t>
      </w:r>
      <w:r w:rsidRPr="0026693D">
        <w:rPr>
          <w:color w:val="000000"/>
          <w:kern w:val="0"/>
          <w:szCs w:val="21"/>
        </w:rPr>
        <w:t>时曲线，求得相应的药代动力学参数，单次给药主要药代动力学参数有：</w:t>
      </w:r>
      <w:proofErr w:type="spellStart"/>
      <w:r w:rsidRPr="0026693D">
        <w:rPr>
          <w:color w:val="000000"/>
          <w:kern w:val="0"/>
          <w:szCs w:val="21"/>
        </w:rPr>
        <w:t>K</w:t>
      </w:r>
      <w:r w:rsidRPr="0026693D">
        <w:rPr>
          <w:color w:val="000000"/>
          <w:kern w:val="0"/>
          <w:szCs w:val="21"/>
          <w:vertAlign w:val="subscript"/>
        </w:rPr>
        <w:t>a</w:t>
      </w:r>
      <w:proofErr w:type="spellEnd"/>
      <w:r w:rsidRPr="0026693D">
        <w:rPr>
          <w:color w:val="000000"/>
          <w:kern w:val="0"/>
          <w:szCs w:val="21"/>
        </w:rPr>
        <w:t>，</w:t>
      </w:r>
      <w:proofErr w:type="spellStart"/>
      <w:r w:rsidRPr="0026693D">
        <w:rPr>
          <w:color w:val="000000"/>
          <w:kern w:val="0"/>
          <w:szCs w:val="21"/>
        </w:rPr>
        <w:t>t</w:t>
      </w:r>
      <w:r w:rsidRPr="0026693D">
        <w:rPr>
          <w:color w:val="000000"/>
          <w:kern w:val="0"/>
          <w:szCs w:val="21"/>
          <w:vertAlign w:val="subscript"/>
        </w:rPr>
        <w:t>max</w:t>
      </w:r>
      <w:proofErr w:type="spellEnd"/>
      <w:r w:rsidRPr="0026693D">
        <w:rPr>
          <w:color w:val="000000"/>
          <w:kern w:val="0"/>
          <w:szCs w:val="21"/>
        </w:rPr>
        <w:t>，</w:t>
      </w:r>
      <w:proofErr w:type="spellStart"/>
      <w:r w:rsidRPr="0026693D">
        <w:rPr>
          <w:color w:val="000000"/>
          <w:kern w:val="0"/>
          <w:szCs w:val="21"/>
        </w:rPr>
        <w:t>C</w:t>
      </w:r>
      <w:r w:rsidRPr="0026693D">
        <w:rPr>
          <w:color w:val="000000"/>
          <w:kern w:val="0"/>
          <w:szCs w:val="21"/>
          <w:vertAlign w:val="subscript"/>
        </w:rPr>
        <w:t>max</w:t>
      </w:r>
      <w:proofErr w:type="spellEnd"/>
      <w:r w:rsidRPr="0026693D">
        <w:rPr>
          <w:color w:val="000000"/>
          <w:kern w:val="0"/>
          <w:szCs w:val="21"/>
        </w:rPr>
        <w:t>，</w:t>
      </w:r>
      <w:r w:rsidRPr="0026693D">
        <w:rPr>
          <w:color w:val="000000"/>
          <w:kern w:val="0"/>
          <w:szCs w:val="21"/>
        </w:rPr>
        <w:t>AUC</w:t>
      </w:r>
      <w:r w:rsidRPr="0026693D">
        <w:rPr>
          <w:color w:val="000000"/>
          <w:kern w:val="0"/>
          <w:szCs w:val="21"/>
        </w:rPr>
        <w:t>，</w:t>
      </w:r>
      <w:proofErr w:type="spellStart"/>
      <w:r w:rsidRPr="0026693D">
        <w:rPr>
          <w:color w:val="000000"/>
          <w:kern w:val="0"/>
          <w:szCs w:val="21"/>
        </w:rPr>
        <w:t>K</w:t>
      </w:r>
      <w:r w:rsidRPr="0026693D">
        <w:rPr>
          <w:color w:val="000000"/>
          <w:kern w:val="0"/>
          <w:szCs w:val="21"/>
          <w:vertAlign w:val="subscript"/>
        </w:rPr>
        <w:t>el</w:t>
      </w:r>
      <w:proofErr w:type="spellEnd"/>
      <w:r w:rsidRPr="0026693D">
        <w:rPr>
          <w:color w:val="000000"/>
          <w:kern w:val="0"/>
          <w:szCs w:val="21"/>
        </w:rPr>
        <w:t>，</w:t>
      </w:r>
      <w:r w:rsidRPr="0026693D">
        <w:rPr>
          <w:color w:val="000000"/>
          <w:kern w:val="0"/>
          <w:szCs w:val="21"/>
        </w:rPr>
        <w:t>t</w:t>
      </w:r>
      <w:r w:rsidRPr="0026693D">
        <w:rPr>
          <w:color w:val="000000"/>
          <w:kern w:val="0"/>
          <w:szCs w:val="21"/>
          <w:vertAlign w:val="subscript"/>
        </w:rPr>
        <w:t>1/2</w:t>
      </w:r>
      <w:r w:rsidRPr="0026693D">
        <w:rPr>
          <w:color w:val="000000"/>
          <w:kern w:val="0"/>
          <w:szCs w:val="21"/>
        </w:rPr>
        <w:t>，</w:t>
      </w:r>
      <w:r w:rsidRPr="0026693D">
        <w:rPr>
          <w:color w:val="000000"/>
          <w:kern w:val="0"/>
          <w:szCs w:val="21"/>
        </w:rPr>
        <w:t>MRT</w:t>
      </w:r>
      <w:r w:rsidRPr="0026693D">
        <w:rPr>
          <w:color w:val="000000"/>
          <w:kern w:val="0"/>
          <w:szCs w:val="21"/>
        </w:rPr>
        <w:t>和</w:t>
      </w:r>
      <w:r w:rsidRPr="0026693D">
        <w:rPr>
          <w:color w:val="000000"/>
          <w:kern w:val="0"/>
          <w:szCs w:val="21"/>
        </w:rPr>
        <w:t>CL</w:t>
      </w:r>
      <w:r w:rsidRPr="0026693D">
        <w:rPr>
          <w:color w:val="000000"/>
          <w:kern w:val="0"/>
          <w:szCs w:val="21"/>
        </w:rPr>
        <w:t>、相对生物利用度等。多次给药主要药代动力学参数有：峰时间（</w:t>
      </w:r>
      <w:proofErr w:type="spellStart"/>
      <w:r w:rsidRPr="0026693D">
        <w:rPr>
          <w:color w:val="000000"/>
          <w:kern w:val="0"/>
          <w:szCs w:val="21"/>
        </w:rPr>
        <w:t>t</w:t>
      </w:r>
      <w:r w:rsidRPr="0026693D">
        <w:rPr>
          <w:color w:val="000000"/>
          <w:kern w:val="0"/>
          <w:szCs w:val="21"/>
          <w:vertAlign w:val="subscript"/>
        </w:rPr>
        <w:t>max</w:t>
      </w:r>
      <w:proofErr w:type="spellEnd"/>
      <w:r w:rsidRPr="0026693D">
        <w:rPr>
          <w:color w:val="000000"/>
          <w:kern w:val="0"/>
          <w:szCs w:val="21"/>
        </w:rPr>
        <w:t>）、峰浓度（</w:t>
      </w:r>
      <w:proofErr w:type="spellStart"/>
      <w:r w:rsidRPr="0026693D">
        <w:rPr>
          <w:color w:val="000000"/>
          <w:kern w:val="0"/>
          <w:szCs w:val="21"/>
        </w:rPr>
        <w:t>C</w:t>
      </w:r>
      <w:r w:rsidRPr="0026693D">
        <w:rPr>
          <w:color w:val="000000"/>
          <w:kern w:val="0"/>
          <w:szCs w:val="21"/>
          <w:vertAlign w:val="subscript"/>
        </w:rPr>
        <w:t>max</w:t>
      </w:r>
      <w:proofErr w:type="spellEnd"/>
      <w:r w:rsidRPr="0026693D">
        <w:rPr>
          <w:color w:val="000000"/>
          <w:kern w:val="0"/>
          <w:szCs w:val="21"/>
        </w:rPr>
        <w:t>）、消除半衰期（</w:t>
      </w:r>
      <w:r w:rsidRPr="0026693D">
        <w:rPr>
          <w:color w:val="000000"/>
          <w:kern w:val="0"/>
          <w:szCs w:val="21"/>
        </w:rPr>
        <w:t>t</w:t>
      </w:r>
      <w:r w:rsidRPr="0026693D">
        <w:rPr>
          <w:color w:val="000000"/>
          <w:kern w:val="0"/>
          <w:szCs w:val="21"/>
          <w:vertAlign w:val="subscript"/>
        </w:rPr>
        <w:t>1/2</w:t>
      </w:r>
      <w:r w:rsidRPr="0026693D">
        <w:rPr>
          <w:color w:val="000000"/>
          <w:kern w:val="0"/>
          <w:szCs w:val="21"/>
        </w:rPr>
        <w:t>）、清除率（</w:t>
      </w:r>
      <w:r w:rsidRPr="0026693D">
        <w:rPr>
          <w:color w:val="000000"/>
          <w:kern w:val="0"/>
          <w:szCs w:val="21"/>
        </w:rPr>
        <w:t>CL</w:t>
      </w:r>
      <w:r w:rsidRPr="0026693D">
        <w:rPr>
          <w:color w:val="000000"/>
          <w:kern w:val="0"/>
          <w:szCs w:val="21"/>
        </w:rPr>
        <w:t>）、平均稳态血药浓度（</w:t>
      </w:r>
      <w:r w:rsidRPr="0026693D">
        <w:rPr>
          <w:color w:val="000000"/>
          <w:kern w:val="0"/>
          <w:szCs w:val="21"/>
        </w:rPr>
        <w:t>C</w:t>
      </w:r>
      <w:r w:rsidRPr="0026693D">
        <w:rPr>
          <w:color w:val="000000"/>
          <w:kern w:val="0"/>
          <w:szCs w:val="21"/>
          <w:vertAlign w:val="subscript"/>
        </w:rPr>
        <w:t>av</w:t>
      </w:r>
      <w:r w:rsidRPr="0026693D">
        <w:rPr>
          <w:color w:val="000000"/>
          <w:kern w:val="0"/>
          <w:szCs w:val="21"/>
        </w:rPr>
        <w:t>）、稳态血药浓度</w:t>
      </w:r>
      <w:r w:rsidRPr="0026693D">
        <w:rPr>
          <w:color w:val="000000"/>
          <w:kern w:val="0"/>
          <w:szCs w:val="21"/>
        </w:rPr>
        <w:t>-</w:t>
      </w:r>
      <w:r w:rsidRPr="0026693D">
        <w:rPr>
          <w:color w:val="000000"/>
          <w:kern w:val="0"/>
          <w:szCs w:val="21"/>
        </w:rPr>
        <w:t>时间曲线下面积（</w:t>
      </w:r>
      <w:proofErr w:type="spellStart"/>
      <w:r w:rsidRPr="0026693D">
        <w:rPr>
          <w:color w:val="000000"/>
          <w:kern w:val="0"/>
          <w:szCs w:val="21"/>
        </w:rPr>
        <w:t>AUC</w:t>
      </w:r>
      <w:r w:rsidRPr="0026693D">
        <w:rPr>
          <w:color w:val="000000"/>
          <w:kern w:val="0"/>
          <w:szCs w:val="21"/>
          <w:vertAlign w:val="subscript"/>
        </w:rPr>
        <w:t>ss</w:t>
      </w:r>
      <w:proofErr w:type="spellEnd"/>
      <w:r w:rsidRPr="0026693D">
        <w:rPr>
          <w:color w:val="000000"/>
          <w:kern w:val="0"/>
          <w:szCs w:val="21"/>
        </w:rPr>
        <w:t>）及</w:t>
      </w:r>
      <w:r w:rsidRPr="0026693D">
        <w:rPr>
          <w:color w:val="000000"/>
          <w:kern w:val="0"/>
          <w:szCs w:val="21"/>
        </w:rPr>
        <w:t>DF</w:t>
      </w:r>
      <w:r w:rsidRPr="0026693D">
        <w:rPr>
          <w:color w:val="000000"/>
          <w:kern w:val="0"/>
          <w:szCs w:val="21"/>
        </w:rPr>
        <w:t>（波动系数）等。参数的估算方法参照前面内容。</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6.</w:t>
      </w:r>
      <w:r w:rsidRPr="0026693D">
        <w:rPr>
          <w:rFonts w:eastAsia="黑体"/>
          <w:szCs w:val="21"/>
        </w:rPr>
        <w:t>药代动力学参数的统计分析</w:t>
      </w:r>
    </w:p>
    <w:p w:rsidR="008F2F08" w:rsidRPr="00DA0E42" w:rsidRDefault="008F2F08" w:rsidP="008F2F08">
      <w:pPr>
        <w:autoSpaceDE w:val="0"/>
        <w:autoSpaceDN w:val="0"/>
        <w:adjustRightInd w:val="0"/>
        <w:spacing w:line="360" w:lineRule="auto"/>
        <w:ind w:firstLineChars="200" w:firstLine="420"/>
        <w:rPr>
          <w:color w:val="000000"/>
          <w:kern w:val="0"/>
          <w:sz w:val="24"/>
        </w:rPr>
      </w:pPr>
      <w:r w:rsidRPr="0026693D">
        <w:rPr>
          <w:color w:val="000000"/>
          <w:kern w:val="0"/>
          <w:szCs w:val="21"/>
        </w:rPr>
        <w:t>说明长效制剂</w:t>
      </w:r>
      <w:proofErr w:type="gramStart"/>
      <w:r w:rsidRPr="0026693D">
        <w:rPr>
          <w:color w:val="000000"/>
          <w:kern w:val="0"/>
          <w:szCs w:val="21"/>
        </w:rPr>
        <w:t>在靶动物</w:t>
      </w:r>
      <w:proofErr w:type="gramEnd"/>
      <w:r w:rsidRPr="0026693D">
        <w:rPr>
          <w:color w:val="000000"/>
          <w:kern w:val="0"/>
          <w:szCs w:val="21"/>
        </w:rPr>
        <w:t>体内的药代动力学特征，同时应与参比制剂给药的相应药代动力</w:t>
      </w:r>
      <w:r w:rsidRPr="0026693D">
        <w:rPr>
          <w:color w:val="000000"/>
          <w:kern w:val="0"/>
          <w:szCs w:val="21"/>
        </w:rPr>
        <w:lastRenderedPageBreak/>
        <w:t>学的参数进行比较，观察它们之间是否存在明显的差异，特别在吸收和消除或有效血药浓度维持时间等方面有否显著的改变。药动学参数差异的显著性检验一般采用单双侧</w:t>
      </w:r>
      <w:r w:rsidRPr="0026693D">
        <w:rPr>
          <w:color w:val="000000"/>
          <w:kern w:val="0"/>
          <w:szCs w:val="21"/>
        </w:rPr>
        <w:t>t</w:t>
      </w:r>
      <w:r w:rsidRPr="0026693D">
        <w:rPr>
          <w:color w:val="000000"/>
          <w:kern w:val="0"/>
          <w:szCs w:val="21"/>
        </w:rPr>
        <w:t>检验。</w:t>
      </w:r>
    </w:p>
    <w:bookmarkEnd w:id="9"/>
    <w:bookmarkEnd w:id="10"/>
    <w:bookmarkEnd w:id="11"/>
    <w:bookmarkEnd w:id="12"/>
    <w:bookmarkEnd w:id="13"/>
    <w:bookmarkEnd w:id="14"/>
    <w:bookmarkEnd w:id="15"/>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（四）数据分析与评价</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应提供各项实测具体数据，说明数据处理的统计方法。如用计算机处理数据，应指出所用程序的名称。</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对所获取的数据进行科学和全面的分析。应对药物</w:t>
      </w:r>
      <w:proofErr w:type="gramStart"/>
      <w:r w:rsidRPr="0026693D">
        <w:rPr>
          <w:color w:val="000000"/>
          <w:kern w:val="0"/>
          <w:szCs w:val="21"/>
        </w:rPr>
        <w:t>在靶动物</w:t>
      </w:r>
      <w:proofErr w:type="gramEnd"/>
      <w:r w:rsidRPr="0026693D">
        <w:rPr>
          <w:color w:val="000000"/>
          <w:kern w:val="0"/>
          <w:szCs w:val="21"/>
        </w:rPr>
        <w:t>体内的药代动力学特点进行综合性论述：包括吸收、分布和消除的特点；经尿、粪和胆汁的排泄情况；与血浆蛋白结合的程度；并提供药物在体内蓄积的程度及主要蓄积的器官或组织；如为创新药，还应阐明其在体内的代谢、消除过程及物质平衡情况。</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在评价的过程中注意进行综合评价，即把药代动力学特点与药物的制剂选择、有效性和安全性进行横向联系，找出其中的相关性，为药物的整体评价和临床试验提供更多有价值的信息。</w:t>
      </w:r>
    </w:p>
    <w:p w:rsidR="008F2F08" w:rsidRPr="00DA0E42" w:rsidRDefault="008F2F08" w:rsidP="008F2F08">
      <w:pPr>
        <w:spacing w:line="360" w:lineRule="auto"/>
        <w:jc w:val="center"/>
        <w:rPr>
          <w:rFonts w:eastAsia="黑体"/>
          <w:bCs/>
          <w:sz w:val="30"/>
          <w:szCs w:val="30"/>
        </w:rPr>
      </w:pPr>
      <w:r w:rsidRPr="00DA0E42">
        <w:rPr>
          <w:rFonts w:eastAsia="黑体"/>
          <w:bCs/>
          <w:sz w:val="30"/>
          <w:szCs w:val="30"/>
        </w:rPr>
        <w:t>四、试验报告</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试验报告应注明试验的单位、负责人、日期、参加试验的人员（签名盖章）、项目编号。正文前应有简短摘要，缩写词列表，文后附参考文献，附录（如色谱图等）。正文包括下列内容。</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（一）目的意义</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说明项目的重要性、必要性及立项依据。</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（二）分析方法</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分析方法的有效性应通过实验证明。在试验报告中，应提交成功完成这些实验工作的相关资料。建立一般性和特殊性标准操作规程、保存完整的实验记录是分析方法有效性的基本要素。生物分析方法建立中产生的数据和</w:t>
      </w:r>
      <w:r w:rsidRPr="0026693D">
        <w:rPr>
          <w:color w:val="000000"/>
          <w:kern w:val="0"/>
          <w:szCs w:val="21"/>
        </w:rPr>
        <w:t>QC</w:t>
      </w:r>
      <w:r w:rsidRPr="0026693D">
        <w:rPr>
          <w:color w:val="000000"/>
          <w:kern w:val="0"/>
          <w:szCs w:val="21"/>
        </w:rPr>
        <w:t>样品测试结果应全部记录并妥善保存，并提交足够的可供评价的方法</w:t>
      </w:r>
      <w:proofErr w:type="gramStart"/>
      <w:r w:rsidRPr="0026693D">
        <w:rPr>
          <w:color w:val="000000"/>
          <w:kern w:val="0"/>
          <w:szCs w:val="21"/>
        </w:rPr>
        <w:t>学建立</w:t>
      </w:r>
      <w:proofErr w:type="gramEnd"/>
      <w:r w:rsidRPr="0026693D">
        <w:rPr>
          <w:color w:val="000000"/>
          <w:kern w:val="0"/>
          <w:szCs w:val="21"/>
        </w:rPr>
        <w:t>和样品分析的数据。</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提交的数据至少包括：</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1.</w:t>
      </w:r>
      <w:r w:rsidRPr="0026693D">
        <w:rPr>
          <w:rFonts w:eastAsia="黑体"/>
          <w:szCs w:val="21"/>
        </w:rPr>
        <w:t>方法建立数据</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分析方法的详细描述；仪器设备、分析条件，该方法所用对照品（被测药物、代谢物、内标物）的纯度和来源；描述测定选择性、准确度、精密度、回收率、定量限、标准曲线的实验并给出获得的主要数据列表；列出日内日间精密度和准确度的详细结果；描述稳定性考</w:t>
      </w:r>
      <w:r w:rsidRPr="0026693D">
        <w:rPr>
          <w:color w:val="000000"/>
          <w:kern w:val="0"/>
          <w:szCs w:val="21"/>
        </w:rPr>
        <w:lastRenderedPageBreak/>
        <w:t>察及相关数据；根据具体情况提供代表性的色谱图或质谱图并加以说明。</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2.</w:t>
      </w:r>
      <w:r w:rsidRPr="0026693D">
        <w:rPr>
          <w:rFonts w:eastAsia="黑体"/>
          <w:szCs w:val="21"/>
        </w:rPr>
        <w:t>样品分析数据</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样品处理和保存的情况，分析样品时标准曲线列表，用于计算结果的回归方程，</w:t>
      </w:r>
      <w:proofErr w:type="gramStart"/>
      <w:r w:rsidRPr="0026693D">
        <w:rPr>
          <w:color w:val="000000"/>
          <w:kern w:val="0"/>
          <w:szCs w:val="21"/>
        </w:rPr>
        <w:t>各分析批</w:t>
      </w:r>
      <w:proofErr w:type="gramEnd"/>
      <w:r w:rsidRPr="0026693D">
        <w:rPr>
          <w:color w:val="000000"/>
          <w:kern w:val="0"/>
          <w:szCs w:val="21"/>
        </w:rPr>
        <w:t>QC</w:t>
      </w:r>
      <w:r w:rsidRPr="0026693D">
        <w:rPr>
          <w:color w:val="000000"/>
          <w:kern w:val="0"/>
          <w:szCs w:val="21"/>
        </w:rPr>
        <w:t>样品测定结果综合列表并计算</w:t>
      </w:r>
      <w:proofErr w:type="gramStart"/>
      <w:r w:rsidRPr="0026693D">
        <w:rPr>
          <w:color w:val="000000"/>
          <w:kern w:val="0"/>
          <w:szCs w:val="21"/>
        </w:rPr>
        <w:t>批内和批间</w:t>
      </w:r>
      <w:proofErr w:type="gramEnd"/>
      <w:r w:rsidRPr="0026693D">
        <w:rPr>
          <w:color w:val="000000"/>
          <w:kern w:val="0"/>
          <w:szCs w:val="21"/>
        </w:rPr>
        <w:t>精密度、准确度，</w:t>
      </w:r>
      <w:proofErr w:type="gramStart"/>
      <w:r w:rsidRPr="0026693D">
        <w:rPr>
          <w:color w:val="000000"/>
          <w:kern w:val="0"/>
          <w:szCs w:val="21"/>
        </w:rPr>
        <w:t>各分析批</w:t>
      </w:r>
      <w:proofErr w:type="gramEnd"/>
      <w:r w:rsidRPr="0026693D">
        <w:rPr>
          <w:color w:val="000000"/>
          <w:kern w:val="0"/>
          <w:szCs w:val="21"/>
        </w:rPr>
        <w:t>包括的未知样品，浓度计算结果。</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提交</w:t>
      </w:r>
      <w:r w:rsidRPr="0026693D">
        <w:rPr>
          <w:color w:val="000000"/>
          <w:kern w:val="0"/>
          <w:szCs w:val="21"/>
        </w:rPr>
        <w:t>20%</w:t>
      </w:r>
      <w:r w:rsidRPr="0026693D">
        <w:rPr>
          <w:color w:val="000000"/>
          <w:kern w:val="0"/>
          <w:szCs w:val="21"/>
        </w:rPr>
        <w:t>受试样品测试的色谱图复印件，包括相应分析批的标准曲线和</w:t>
      </w:r>
      <w:r w:rsidRPr="0026693D">
        <w:rPr>
          <w:color w:val="000000"/>
          <w:kern w:val="0"/>
          <w:szCs w:val="21"/>
        </w:rPr>
        <w:t>QC</w:t>
      </w:r>
      <w:r w:rsidRPr="0026693D">
        <w:rPr>
          <w:color w:val="000000"/>
          <w:kern w:val="0"/>
          <w:szCs w:val="21"/>
        </w:rPr>
        <w:t>样品的色谱图复印件。</w:t>
      </w:r>
    </w:p>
    <w:p w:rsidR="008F2F08" w:rsidRPr="0026693D" w:rsidRDefault="008F2F08" w:rsidP="008F2F08">
      <w:pPr>
        <w:autoSpaceDE w:val="0"/>
        <w:autoSpaceDN w:val="0"/>
        <w:adjustRightInd w:val="0"/>
        <w:spacing w:line="360" w:lineRule="auto"/>
        <w:ind w:firstLineChars="200" w:firstLine="420"/>
        <w:rPr>
          <w:rFonts w:eastAsia="黑体"/>
          <w:szCs w:val="21"/>
        </w:rPr>
      </w:pPr>
      <w:r w:rsidRPr="0026693D">
        <w:rPr>
          <w:rFonts w:eastAsia="黑体"/>
          <w:szCs w:val="21"/>
        </w:rPr>
        <w:t>3.</w:t>
      </w:r>
      <w:r w:rsidRPr="0026693D">
        <w:rPr>
          <w:rFonts w:eastAsia="黑体"/>
          <w:szCs w:val="21"/>
        </w:rPr>
        <w:t>其他相关信息</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注明缺失样品的原因，重复测试的结果。对舍弃任何分析数据和选择所报告的数据说明理由。</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（三）实验设计</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受试品来源，</w:t>
      </w:r>
      <w:proofErr w:type="gramStart"/>
      <w:r w:rsidRPr="0026693D">
        <w:rPr>
          <w:color w:val="000000"/>
          <w:kern w:val="0"/>
          <w:szCs w:val="21"/>
        </w:rPr>
        <w:t>参比品及</w:t>
      </w:r>
      <w:proofErr w:type="gramEnd"/>
      <w:r w:rsidRPr="0026693D">
        <w:rPr>
          <w:color w:val="000000"/>
          <w:kern w:val="0"/>
          <w:szCs w:val="21"/>
        </w:rPr>
        <w:t>选用理由。受试</w:t>
      </w:r>
      <w:proofErr w:type="gramStart"/>
      <w:r w:rsidRPr="0026693D">
        <w:rPr>
          <w:color w:val="000000"/>
          <w:kern w:val="0"/>
          <w:szCs w:val="21"/>
        </w:rPr>
        <w:t>靶动物</w:t>
      </w:r>
      <w:proofErr w:type="gramEnd"/>
      <w:r w:rsidRPr="0026693D">
        <w:rPr>
          <w:color w:val="000000"/>
          <w:kern w:val="0"/>
          <w:szCs w:val="21"/>
        </w:rPr>
        <w:t>背景资料，动物数及分组设计，给药剂量及方法，采样时间安排。试验期间动物的日粮性质，喂</w:t>
      </w:r>
      <w:proofErr w:type="gramStart"/>
      <w:r w:rsidRPr="0026693D">
        <w:rPr>
          <w:color w:val="000000"/>
          <w:kern w:val="0"/>
          <w:szCs w:val="21"/>
        </w:rPr>
        <w:t>饮方式</w:t>
      </w:r>
      <w:proofErr w:type="gramEnd"/>
      <w:r w:rsidRPr="0026693D">
        <w:rPr>
          <w:color w:val="000000"/>
          <w:kern w:val="0"/>
          <w:szCs w:val="21"/>
        </w:rPr>
        <w:t>与频率，禁食等。给药</w:t>
      </w:r>
      <w:proofErr w:type="gramStart"/>
      <w:r w:rsidRPr="0026693D">
        <w:rPr>
          <w:color w:val="000000"/>
          <w:kern w:val="0"/>
          <w:szCs w:val="21"/>
        </w:rPr>
        <w:t>后动物</w:t>
      </w:r>
      <w:proofErr w:type="gramEnd"/>
      <w:r w:rsidRPr="0026693D">
        <w:rPr>
          <w:color w:val="000000"/>
          <w:kern w:val="0"/>
          <w:szCs w:val="21"/>
        </w:rPr>
        <w:t>的临床不良反应，受试动物中途退出试验、血样破损、脱落等的记录及原因说明，从文献提供药物的红细胞摄取和蛋白结合的特点，包括蛋白结合的程度和结合蛋白的类型。</w:t>
      </w:r>
    </w:p>
    <w:p w:rsidR="008F2F08" w:rsidRPr="00DA0E42" w:rsidRDefault="008F2F08" w:rsidP="008F2F08">
      <w:pPr>
        <w:autoSpaceDE w:val="0"/>
        <w:autoSpaceDN w:val="0"/>
        <w:adjustRightInd w:val="0"/>
        <w:spacing w:line="360" w:lineRule="auto"/>
        <w:rPr>
          <w:rFonts w:eastAsia="黑体"/>
          <w:sz w:val="28"/>
          <w:szCs w:val="28"/>
        </w:rPr>
      </w:pPr>
      <w:r w:rsidRPr="00DA0E42">
        <w:rPr>
          <w:rFonts w:eastAsia="黑体"/>
          <w:sz w:val="28"/>
          <w:szCs w:val="28"/>
        </w:rPr>
        <w:t>（四）血药浓度数据和药代动力学参数</w:t>
      </w:r>
    </w:p>
    <w:p w:rsidR="008F2F08" w:rsidRPr="0026693D" w:rsidRDefault="008F2F08" w:rsidP="008F2F08">
      <w:pPr>
        <w:autoSpaceDE w:val="0"/>
        <w:autoSpaceDN w:val="0"/>
        <w:adjustRightInd w:val="0"/>
        <w:spacing w:line="360" w:lineRule="auto"/>
        <w:ind w:firstLineChars="200" w:firstLine="420"/>
        <w:rPr>
          <w:color w:val="000000"/>
          <w:kern w:val="0"/>
          <w:szCs w:val="21"/>
        </w:rPr>
      </w:pPr>
      <w:r w:rsidRPr="0026693D">
        <w:rPr>
          <w:color w:val="000000"/>
          <w:kern w:val="0"/>
          <w:szCs w:val="21"/>
        </w:rPr>
        <w:t>数据处理与统计学方法。单次给药，提供每头动物及全部动物汇总的血药浓度</w:t>
      </w:r>
      <w:r w:rsidRPr="0026693D">
        <w:rPr>
          <w:color w:val="000000"/>
          <w:kern w:val="0"/>
          <w:szCs w:val="21"/>
        </w:rPr>
        <w:t>-</w:t>
      </w:r>
      <w:r w:rsidRPr="0026693D">
        <w:rPr>
          <w:color w:val="000000"/>
          <w:kern w:val="0"/>
          <w:szCs w:val="21"/>
        </w:rPr>
        <w:t>时间数据、曲线图、药代动力学参数，临床药代动力学规律和特点的讨论与评价。多次给药，提供每头动物及全部动物汇总的首次给药后的血药浓度</w:t>
      </w:r>
      <w:r w:rsidRPr="0026693D">
        <w:rPr>
          <w:color w:val="000000"/>
          <w:kern w:val="0"/>
          <w:szCs w:val="21"/>
        </w:rPr>
        <w:t>-</w:t>
      </w:r>
      <w:r w:rsidRPr="0026693D">
        <w:rPr>
          <w:color w:val="000000"/>
          <w:kern w:val="0"/>
          <w:szCs w:val="21"/>
        </w:rPr>
        <w:t>时间数据、曲线图、药代动力学参数，至少</w:t>
      </w:r>
      <w:r w:rsidRPr="0026693D">
        <w:rPr>
          <w:color w:val="000000"/>
          <w:kern w:val="0"/>
          <w:szCs w:val="21"/>
        </w:rPr>
        <w:t>3</w:t>
      </w:r>
      <w:r w:rsidRPr="0026693D">
        <w:rPr>
          <w:color w:val="000000"/>
          <w:kern w:val="0"/>
          <w:szCs w:val="21"/>
        </w:rPr>
        <w:t>次给药的谷浓度、平均稳态浓度、波动系数，末次给药后的稳态血药浓度</w:t>
      </w:r>
      <w:r w:rsidRPr="0026693D">
        <w:rPr>
          <w:color w:val="000000"/>
          <w:kern w:val="0"/>
          <w:szCs w:val="21"/>
        </w:rPr>
        <w:t>-</w:t>
      </w:r>
      <w:r w:rsidRPr="0026693D">
        <w:rPr>
          <w:color w:val="000000"/>
          <w:kern w:val="0"/>
          <w:szCs w:val="21"/>
        </w:rPr>
        <w:t>时间数据、曲线图，比较首次与末次给药的药</w:t>
      </w:r>
      <w:r w:rsidRPr="0026693D">
        <w:rPr>
          <w:color w:val="000000"/>
          <w:kern w:val="0"/>
          <w:szCs w:val="21"/>
        </w:rPr>
        <w:t>-</w:t>
      </w:r>
      <w:r w:rsidRPr="0026693D">
        <w:rPr>
          <w:color w:val="000000"/>
          <w:kern w:val="0"/>
          <w:szCs w:val="21"/>
        </w:rPr>
        <w:t>时曲线和药代动力学参数。</w:t>
      </w:r>
    </w:p>
    <w:p w:rsidR="00751717" w:rsidRPr="008F2F08" w:rsidRDefault="00751717" w:rsidP="008F2F08"/>
    <w:sectPr w:rsidR="00751717" w:rsidRPr="008F2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347420"/>
    <w:rsid w:val="004A3691"/>
    <w:rsid w:val="00733551"/>
    <w:rsid w:val="00751717"/>
    <w:rsid w:val="008E7B66"/>
    <w:rsid w:val="008F2F08"/>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91"/>
    <w:pPr>
      <w:widowControl w:val="0"/>
      <w:jc w:val="both"/>
    </w:pPr>
    <w:rPr>
      <w:rFonts w:ascii="Times New Roman" w:eastAsia="宋体" w:hAnsi="Times New Roman" w:cs="Times New Roman"/>
      <w:szCs w:val="24"/>
    </w:rPr>
  </w:style>
  <w:style w:type="paragraph" w:styleId="1">
    <w:name w:val="heading 1"/>
    <w:basedOn w:val="a"/>
    <w:next w:val="a"/>
    <w:link w:val="10"/>
    <w:qFormat/>
    <w:rsid w:val="000D43D9"/>
    <w:pPr>
      <w:keepNext/>
      <w:keepLines/>
      <w:spacing w:before="340" w:after="330" w:line="578" w:lineRule="auto"/>
      <w:outlineLvl w:val="0"/>
    </w:pPr>
    <w:rPr>
      <w:b/>
      <w:bCs/>
      <w:kern w:val="44"/>
      <w:sz w:val="44"/>
      <w:szCs w:val="44"/>
    </w:rPr>
  </w:style>
  <w:style w:type="paragraph" w:styleId="3">
    <w:name w:val="heading 3"/>
    <w:basedOn w:val="a"/>
    <w:next w:val="a"/>
    <w:link w:val="30"/>
    <w:qFormat/>
    <w:rsid w:val="004A36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3">
    <w:name w:val="Hyperlink"/>
    <w:uiPriority w:val="99"/>
    <w:rsid w:val="004A3691"/>
    <w:rPr>
      <w:color w:val="0000FF"/>
      <w:u w:val="single"/>
    </w:rPr>
  </w:style>
  <w:style w:type="character" w:customStyle="1" w:styleId="10">
    <w:name w:val="标题 1 字符"/>
    <w:basedOn w:val="a0"/>
    <w:link w:val="1"/>
    <w:rsid w:val="000D43D9"/>
    <w:rPr>
      <w:rFonts w:ascii="Times New Roman" w:eastAsia="宋体" w:hAnsi="Times New Roman" w:cs="Times New Roman"/>
      <w:b/>
      <w:bCs/>
      <w:kern w:val="44"/>
      <w:sz w:val="44"/>
      <w:szCs w:val="44"/>
    </w:rPr>
  </w:style>
  <w:style w:type="paragraph" w:customStyle="1" w:styleId="11">
    <w:name w:val="样式1"/>
    <w:basedOn w:val="a"/>
    <w:next w:val="a4"/>
    <w:rsid w:val="00EC33AC"/>
    <w:rPr>
      <w:rFonts w:ascii="宋体" w:hAnsi="Courier New"/>
      <w:szCs w:val="21"/>
    </w:rPr>
  </w:style>
  <w:style w:type="paragraph" w:styleId="a4">
    <w:name w:val="Plain Text"/>
    <w:basedOn w:val="a"/>
    <w:link w:val="a5"/>
    <w:unhideWhenUsed/>
    <w:rsid w:val="00EC33AC"/>
    <w:rPr>
      <w:rFonts w:asciiTheme="minorEastAsia" w:eastAsiaTheme="minorEastAsia" w:hAnsi="Courier New" w:cs="Courier New"/>
    </w:rPr>
  </w:style>
  <w:style w:type="character" w:customStyle="1" w:styleId="a5">
    <w:name w:val="纯文本 字符"/>
    <w:basedOn w:val="a0"/>
    <w:link w:val="a4"/>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
    <w:link w:val="32"/>
    <w:rsid w:val="00AB23AD"/>
    <w:pPr>
      <w:spacing w:after="120"/>
      <w:ind w:leftChars="200" w:left="420"/>
    </w:pPr>
    <w:rPr>
      <w:sz w:val="16"/>
      <w:szCs w:val="16"/>
    </w:rPr>
  </w:style>
  <w:style w:type="character" w:customStyle="1" w:styleId="32">
    <w:name w:val="正文文本缩进 3 字符"/>
    <w:basedOn w:val="a0"/>
    <w:link w:val="31"/>
    <w:rsid w:val="00AB23AD"/>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2024-03-18T08:45:00Z</dcterms:created>
  <dcterms:modified xsi:type="dcterms:W3CDTF">2024-03-18T08:45:00Z</dcterms:modified>
</cp:coreProperties>
</file>