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D99" w:rsidRPr="000B30F5" w:rsidRDefault="00EF0D99" w:rsidP="00EF0D99">
      <w:pPr>
        <w:spacing w:line="360" w:lineRule="auto"/>
        <w:jc w:val="center"/>
        <w:outlineLvl w:val="1"/>
        <w:rPr>
          <w:rFonts w:eastAsia="黑体"/>
          <w:sz w:val="36"/>
          <w:szCs w:val="36"/>
        </w:rPr>
      </w:pPr>
      <w:bookmarkStart w:id="0" w:name="_Toc308442089"/>
      <w:bookmarkStart w:id="1" w:name="_GoBack"/>
      <w:r w:rsidRPr="000B30F5">
        <w:rPr>
          <w:rFonts w:eastAsia="黑体"/>
          <w:sz w:val="36"/>
          <w:szCs w:val="36"/>
        </w:rPr>
        <w:t>兽用化学药物非临床药代动力学试验指导原则</w:t>
      </w:r>
      <w:bookmarkEnd w:id="0"/>
    </w:p>
    <w:bookmarkEnd w:id="1"/>
    <w:p w:rsidR="00EF0D99" w:rsidRPr="000B30F5" w:rsidRDefault="00EF0D99" w:rsidP="00EF0D99">
      <w:pPr>
        <w:spacing w:line="360" w:lineRule="auto"/>
        <w:jc w:val="center"/>
        <w:rPr>
          <w:rFonts w:eastAsia="黑体"/>
          <w:sz w:val="30"/>
          <w:szCs w:val="30"/>
        </w:rPr>
      </w:pPr>
      <w:r w:rsidRPr="000B30F5">
        <w:rPr>
          <w:rFonts w:eastAsia="黑体"/>
          <w:sz w:val="30"/>
          <w:szCs w:val="30"/>
        </w:rPr>
        <w:t>一、概述</w:t>
      </w:r>
    </w:p>
    <w:p w:rsidR="00EF0D99" w:rsidRPr="000B30F5" w:rsidRDefault="00EF0D99" w:rsidP="00EF0D99">
      <w:pPr>
        <w:spacing w:line="360" w:lineRule="auto"/>
        <w:rPr>
          <w:rFonts w:eastAsia="黑体"/>
          <w:sz w:val="28"/>
          <w:szCs w:val="28"/>
        </w:rPr>
      </w:pPr>
      <w:r w:rsidRPr="000B30F5">
        <w:rPr>
          <w:rFonts w:eastAsia="黑体"/>
          <w:sz w:val="28"/>
          <w:szCs w:val="28"/>
        </w:rPr>
        <w:t>（一）定义与目的</w:t>
      </w:r>
    </w:p>
    <w:p w:rsidR="00EF0D99" w:rsidRPr="00B57F1D" w:rsidRDefault="00EF0D99" w:rsidP="00EF0D99">
      <w:pPr>
        <w:pStyle w:val="a4"/>
        <w:spacing w:line="360" w:lineRule="auto"/>
        <w:ind w:firstLineChars="200" w:firstLine="420"/>
        <w:outlineLvl w:val="3"/>
        <w:rPr>
          <w:rFonts w:ascii="Times New Roman" w:hAnsi="Times New Roman" w:cs="Times New Roman"/>
        </w:rPr>
      </w:pPr>
      <w:r w:rsidRPr="00B57F1D">
        <w:rPr>
          <w:rFonts w:ascii="Times New Roman" w:hAnsi="Times New Roman" w:cs="Times New Roman"/>
        </w:rPr>
        <w:t>非临床药代动力学研究是指通过实验动物（有时还有靶动物）体内、外及</w:t>
      </w:r>
      <w:proofErr w:type="gramStart"/>
      <w:r w:rsidRPr="00B57F1D">
        <w:rPr>
          <w:rFonts w:ascii="Times New Roman" w:hAnsi="Times New Roman" w:cs="Times New Roman"/>
        </w:rPr>
        <w:t>靶动物</w:t>
      </w:r>
      <w:proofErr w:type="gramEnd"/>
      <w:r w:rsidRPr="00B57F1D">
        <w:rPr>
          <w:rFonts w:ascii="Times New Roman" w:hAnsi="Times New Roman" w:cs="Times New Roman"/>
        </w:rPr>
        <w:t>体外的试验，获取基本的药代动力学参数，从而阐明药物吸收、分布、代谢、排泄过程与特点。</w:t>
      </w:r>
    </w:p>
    <w:p w:rsidR="00EF0D99" w:rsidRPr="00B57F1D" w:rsidRDefault="00EF0D99" w:rsidP="00EF0D99">
      <w:pPr>
        <w:pStyle w:val="a4"/>
        <w:spacing w:line="360" w:lineRule="auto"/>
        <w:ind w:firstLineChars="200" w:firstLine="420"/>
        <w:outlineLvl w:val="3"/>
        <w:rPr>
          <w:rFonts w:ascii="Times New Roman" w:hAnsi="Times New Roman" w:cs="Times New Roman"/>
        </w:rPr>
      </w:pPr>
      <w:r w:rsidRPr="00B57F1D">
        <w:rPr>
          <w:rFonts w:ascii="Times New Roman" w:hAnsi="Times New Roman" w:cs="Times New Roman"/>
        </w:rPr>
        <w:t>药物在体内的动态过程受药物的理化性质、剂型等影响。理化性质包括解离常数、脂溶性、溶解性、粒度、晶型和稳定性（如在胃肠道）等。剂型因素包括制剂、制备工艺、给药途径等。</w:t>
      </w:r>
    </w:p>
    <w:p w:rsidR="00EF0D99" w:rsidRPr="00B57F1D" w:rsidRDefault="00EF0D99" w:rsidP="00EF0D99">
      <w:pPr>
        <w:pStyle w:val="a4"/>
        <w:spacing w:line="360" w:lineRule="auto"/>
        <w:ind w:firstLineChars="200" w:firstLine="420"/>
        <w:outlineLvl w:val="3"/>
        <w:rPr>
          <w:rFonts w:ascii="Times New Roman" w:hAnsi="Times New Roman" w:cs="Times New Roman"/>
        </w:rPr>
      </w:pPr>
      <w:r w:rsidRPr="00B57F1D">
        <w:rPr>
          <w:rFonts w:ascii="Times New Roman" w:hAnsi="Times New Roman" w:cs="Times New Roman"/>
        </w:rPr>
        <w:t>非临床药代动力学是药物非临床有效性和安全性研究的重要内容，在新药研究开发中占有重要地位。药物或其代谢物的体内、外浓度及其药代动力学参数，能帮助确定剂量、定量阐明药物的作用（药效或毒性）及机理、认识药物相互作用的规律，是药理学研究的主要内容之一；能帮助选择剂型、评价制剂的特点和质量，是药剂学的基本数据；能为临床研究方案的设计与优化提供必要信息，是临床有效性和安全性研究的前提与基础；能揭示药物代谢及动力学参数的种属差异，是兽药残留及动物源食品安全性研究的重要内容。</w:t>
      </w:r>
    </w:p>
    <w:p w:rsidR="00EF0D99" w:rsidRPr="000B30F5" w:rsidRDefault="00EF0D99" w:rsidP="00EF0D99">
      <w:pPr>
        <w:spacing w:line="360" w:lineRule="auto"/>
        <w:rPr>
          <w:rFonts w:eastAsia="黑体"/>
          <w:sz w:val="28"/>
          <w:szCs w:val="28"/>
        </w:rPr>
      </w:pPr>
      <w:r w:rsidRPr="000B30F5">
        <w:rPr>
          <w:rFonts w:eastAsia="黑体"/>
          <w:sz w:val="28"/>
          <w:szCs w:val="28"/>
        </w:rPr>
        <w:t>（二）适用范围</w:t>
      </w:r>
    </w:p>
    <w:p w:rsidR="00EF0D99" w:rsidRPr="00B57F1D" w:rsidRDefault="00EF0D99" w:rsidP="00EF0D99">
      <w:pPr>
        <w:pStyle w:val="a4"/>
        <w:spacing w:line="360" w:lineRule="auto"/>
        <w:ind w:firstLineChars="200" w:firstLine="420"/>
        <w:outlineLvl w:val="3"/>
        <w:rPr>
          <w:rFonts w:ascii="Times New Roman" w:hAnsi="Times New Roman" w:cs="Times New Roman"/>
        </w:rPr>
      </w:pPr>
      <w:r w:rsidRPr="00B57F1D">
        <w:rPr>
          <w:rFonts w:ascii="Times New Roman" w:hAnsi="Times New Roman" w:cs="Times New Roman"/>
        </w:rPr>
        <w:t>本指导原则适用于非临床药代动力学各项研究内容的试验设计和要求。研究者应根据临床需要，结合药物和制剂的特点，参考本指导原则制订出合理、可行的研究方案，并对试验结果进行综合评价。</w:t>
      </w:r>
    </w:p>
    <w:p w:rsidR="00EF0D99" w:rsidRPr="000B30F5" w:rsidRDefault="00EF0D99" w:rsidP="00EF0D99">
      <w:pPr>
        <w:spacing w:line="360" w:lineRule="auto"/>
        <w:jc w:val="center"/>
        <w:rPr>
          <w:rFonts w:eastAsia="黑体"/>
          <w:sz w:val="30"/>
          <w:szCs w:val="30"/>
        </w:rPr>
      </w:pPr>
      <w:r w:rsidRPr="000B30F5">
        <w:rPr>
          <w:rFonts w:eastAsia="黑体"/>
          <w:sz w:val="30"/>
          <w:szCs w:val="30"/>
        </w:rPr>
        <w:t>二、分析方法</w:t>
      </w:r>
    </w:p>
    <w:p w:rsidR="00EF0D99" w:rsidRPr="000B30F5" w:rsidRDefault="00EF0D99" w:rsidP="00EF0D99">
      <w:pPr>
        <w:spacing w:line="360" w:lineRule="auto"/>
        <w:rPr>
          <w:rFonts w:eastAsia="黑体"/>
          <w:sz w:val="28"/>
          <w:szCs w:val="28"/>
        </w:rPr>
      </w:pPr>
      <w:r w:rsidRPr="000B30F5">
        <w:rPr>
          <w:rFonts w:eastAsia="黑体"/>
          <w:sz w:val="28"/>
          <w:szCs w:val="28"/>
        </w:rPr>
        <w:t>（一）分析方法选择</w:t>
      </w:r>
    </w:p>
    <w:p w:rsidR="00EF0D99" w:rsidRPr="00B57F1D" w:rsidRDefault="00EF0D99" w:rsidP="00EF0D99">
      <w:pPr>
        <w:pStyle w:val="a4"/>
        <w:spacing w:line="360" w:lineRule="auto"/>
        <w:ind w:firstLineChars="200" w:firstLine="420"/>
        <w:outlineLvl w:val="3"/>
        <w:rPr>
          <w:rFonts w:ascii="Times New Roman" w:hAnsi="Times New Roman" w:cs="Times New Roman"/>
        </w:rPr>
      </w:pPr>
      <w:r w:rsidRPr="00B57F1D">
        <w:rPr>
          <w:rFonts w:ascii="Times New Roman" w:hAnsi="Times New Roman" w:cs="Times New Roman"/>
        </w:rPr>
        <w:t>合适、可靠的分析方法是药代动力学研究的关键。全血、血浆、血清、尿、粪、各种组织等样品的取样量少，药物浓度低，内源性物质（如无机盐、脂质、蛋白质、代谢物以及其他药物）干扰大，个体差异明显，影响样品中活性成分含量的测定。因此，必须根据被测物的结构、性质、浓度范围和样品介质等具体情况，建立相应的分析方法。</w:t>
      </w:r>
    </w:p>
    <w:p w:rsidR="00EF0D99" w:rsidRPr="00B57F1D" w:rsidRDefault="00EF0D99" w:rsidP="00EF0D99">
      <w:pPr>
        <w:pStyle w:val="a4"/>
        <w:spacing w:line="360" w:lineRule="auto"/>
        <w:ind w:firstLineChars="200" w:firstLine="420"/>
        <w:outlineLvl w:val="3"/>
        <w:rPr>
          <w:rFonts w:ascii="Times New Roman" w:hAnsi="Times New Roman" w:cs="Times New Roman"/>
        </w:rPr>
      </w:pPr>
      <w:r w:rsidRPr="00B57F1D">
        <w:rPr>
          <w:rFonts w:ascii="Times New Roman" w:hAnsi="Times New Roman" w:cs="Times New Roman"/>
        </w:rPr>
        <w:t>生物样品中药物测定法有色谱法，如高效液相色谱法（</w:t>
      </w:r>
      <w:r w:rsidRPr="00B57F1D">
        <w:rPr>
          <w:rFonts w:ascii="Times New Roman" w:hAnsi="Times New Roman" w:cs="Times New Roman"/>
        </w:rPr>
        <w:t>HPLC</w:t>
      </w:r>
      <w:r w:rsidRPr="00B57F1D">
        <w:rPr>
          <w:rFonts w:ascii="Times New Roman" w:hAnsi="Times New Roman" w:cs="Times New Roman"/>
        </w:rPr>
        <w:t>），气相色谱法（</w:t>
      </w:r>
      <w:r w:rsidRPr="00B57F1D">
        <w:rPr>
          <w:rFonts w:ascii="Times New Roman" w:hAnsi="Times New Roman" w:cs="Times New Roman"/>
        </w:rPr>
        <w:t>GC</w:t>
      </w:r>
      <w:r w:rsidRPr="00B57F1D">
        <w:rPr>
          <w:rFonts w:ascii="Times New Roman" w:hAnsi="Times New Roman" w:cs="Times New Roman"/>
        </w:rPr>
        <w:t>）；色谱</w:t>
      </w:r>
      <w:r w:rsidRPr="00B57F1D">
        <w:rPr>
          <w:rFonts w:ascii="Times New Roman" w:hAnsi="Times New Roman" w:cs="Times New Roman"/>
        </w:rPr>
        <w:t>-</w:t>
      </w:r>
      <w:r w:rsidRPr="00B57F1D">
        <w:rPr>
          <w:rFonts w:ascii="Times New Roman" w:hAnsi="Times New Roman" w:cs="Times New Roman"/>
        </w:rPr>
        <w:t>质谱联用法，如液相色谱</w:t>
      </w:r>
      <w:r w:rsidRPr="00B57F1D">
        <w:rPr>
          <w:rFonts w:ascii="Times New Roman" w:hAnsi="Times New Roman" w:cs="Times New Roman"/>
        </w:rPr>
        <w:t>-</w:t>
      </w:r>
      <w:r w:rsidRPr="00B57F1D">
        <w:rPr>
          <w:rFonts w:ascii="Times New Roman" w:hAnsi="Times New Roman" w:cs="Times New Roman"/>
        </w:rPr>
        <w:t>质谱联用法（</w:t>
      </w:r>
      <w:r w:rsidRPr="00B57F1D">
        <w:rPr>
          <w:rFonts w:ascii="Times New Roman" w:hAnsi="Times New Roman" w:cs="Times New Roman"/>
        </w:rPr>
        <w:t>LC-MS</w:t>
      </w:r>
      <w:r w:rsidRPr="00B57F1D">
        <w:rPr>
          <w:rFonts w:ascii="Times New Roman" w:hAnsi="Times New Roman" w:cs="Times New Roman"/>
        </w:rPr>
        <w:t>），液相色谱</w:t>
      </w:r>
      <w:r w:rsidRPr="00B57F1D">
        <w:rPr>
          <w:rFonts w:ascii="Times New Roman" w:hAnsi="Times New Roman" w:cs="Times New Roman"/>
        </w:rPr>
        <w:t>-</w:t>
      </w:r>
      <w:r w:rsidRPr="00B57F1D">
        <w:rPr>
          <w:rFonts w:ascii="Times New Roman" w:hAnsi="Times New Roman" w:cs="Times New Roman"/>
        </w:rPr>
        <w:t>串联质谱法（</w:t>
      </w:r>
      <w:r w:rsidRPr="00B57F1D">
        <w:rPr>
          <w:rFonts w:ascii="Times New Roman" w:hAnsi="Times New Roman" w:cs="Times New Roman"/>
        </w:rPr>
        <w:t>LC-MS/MS</w:t>
      </w:r>
      <w:r w:rsidRPr="00B57F1D">
        <w:rPr>
          <w:rFonts w:ascii="Times New Roman" w:hAnsi="Times New Roman" w:cs="Times New Roman"/>
        </w:rPr>
        <w:t>），气相色谱</w:t>
      </w:r>
      <w:r w:rsidRPr="00B57F1D">
        <w:rPr>
          <w:rFonts w:ascii="Times New Roman" w:hAnsi="Times New Roman" w:cs="Times New Roman"/>
        </w:rPr>
        <w:t>-</w:t>
      </w:r>
      <w:r w:rsidRPr="00B57F1D">
        <w:rPr>
          <w:rFonts w:ascii="Times New Roman" w:hAnsi="Times New Roman" w:cs="Times New Roman"/>
        </w:rPr>
        <w:t>质谱联用法（</w:t>
      </w:r>
      <w:r w:rsidRPr="00B57F1D">
        <w:rPr>
          <w:rFonts w:ascii="Times New Roman" w:hAnsi="Times New Roman" w:cs="Times New Roman"/>
        </w:rPr>
        <w:t>GC-MS</w:t>
      </w:r>
      <w:r w:rsidRPr="00B57F1D">
        <w:rPr>
          <w:rFonts w:ascii="Times New Roman" w:hAnsi="Times New Roman" w:cs="Times New Roman"/>
        </w:rPr>
        <w:t>），气相色谱</w:t>
      </w:r>
      <w:r w:rsidRPr="00B57F1D">
        <w:rPr>
          <w:rFonts w:ascii="Times New Roman" w:hAnsi="Times New Roman" w:cs="Times New Roman"/>
        </w:rPr>
        <w:t>-</w:t>
      </w:r>
      <w:r w:rsidRPr="00B57F1D">
        <w:rPr>
          <w:rFonts w:ascii="Times New Roman" w:hAnsi="Times New Roman" w:cs="Times New Roman"/>
        </w:rPr>
        <w:t>串联质谱法（</w:t>
      </w:r>
      <w:r w:rsidRPr="00B57F1D">
        <w:rPr>
          <w:rFonts w:ascii="Times New Roman" w:hAnsi="Times New Roman" w:cs="Times New Roman"/>
        </w:rPr>
        <w:t>GC-MS/MS</w:t>
      </w:r>
      <w:r w:rsidRPr="00B57F1D">
        <w:rPr>
          <w:rFonts w:ascii="Times New Roman" w:hAnsi="Times New Roman" w:cs="Times New Roman"/>
        </w:rPr>
        <w:t>）；放射性同位素标记法，免疫学法，如酶免疫分析法，荧光免疫分析法，放射免疫分析法；微生物学法。应根据</w:t>
      </w:r>
      <w:r w:rsidRPr="00B57F1D">
        <w:rPr>
          <w:rFonts w:ascii="Times New Roman" w:hAnsi="Times New Roman" w:cs="Times New Roman"/>
        </w:rPr>
        <w:lastRenderedPageBreak/>
        <w:t>被测物的性质选择特异、灵敏、可靠的方法。</w:t>
      </w:r>
    </w:p>
    <w:p w:rsidR="00EF0D99" w:rsidRPr="00B57F1D" w:rsidRDefault="00EF0D99" w:rsidP="00EF0D99">
      <w:pPr>
        <w:pStyle w:val="a4"/>
        <w:spacing w:line="360" w:lineRule="auto"/>
        <w:ind w:firstLineChars="200" w:firstLine="420"/>
        <w:outlineLvl w:val="3"/>
        <w:rPr>
          <w:rFonts w:ascii="Times New Roman" w:hAnsi="Times New Roman" w:cs="Times New Roman"/>
        </w:rPr>
      </w:pPr>
      <w:r w:rsidRPr="00B57F1D">
        <w:rPr>
          <w:rFonts w:ascii="Times New Roman" w:hAnsi="Times New Roman" w:cs="Times New Roman"/>
        </w:rPr>
        <w:t>在需要同时测定多种化合物的情况下，应首选色谱法。色谱法将分离和定量同步进行，特异性好，检测器的灵敏度也能满足要求。在需要同时测定原形和代谢物以解决药物的质量平衡或体内转</w:t>
      </w:r>
      <w:proofErr w:type="gramStart"/>
      <w:r w:rsidRPr="00B57F1D">
        <w:rPr>
          <w:rFonts w:ascii="Times New Roman" w:hAnsi="Times New Roman" w:cs="Times New Roman"/>
        </w:rPr>
        <w:t>归问题</w:t>
      </w:r>
      <w:proofErr w:type="gramEnd"/>
      <w:r w:rsidRPr="00B57F1D">
        <w:rPr>
          <w:rFonts w:ascii="Times New Roman" w:hAnsi="Times New Roman" w:cs="Times New Roman"/>
        </w:rPr>
        <w:t>时，放射性同位素标记法灵敏度最好，配色谱法具有良好的特异性。色</w:t>
      </w:r>
      <w:r w:rsidRPr="00B57F1D">
        <w:rPr>
          <w:rFonts w:ascii="Times New Roman" w:hAnsi="Times New Roman" w:cs="Times New Roman"/>
        </w:rPr>
        <w:t>-</w:t>
      </w:r>
      <w:proofErr w:type="gramStart"/>
      <w:r w:rsidRPr="00B57F1D">
        <w:rPr>
          <w:rFonts w:ascii="Times New Roman" w:hAnsi="Times New Roman" w:cs="Times New Roman"/>
        </w:rPr>
        <w:t>质联用法</w:t>
      </w:r>
      <w:proofErr w:type="gramEnd"/>
      <w:r w:rsidRPr="00B57F1D">
        <w:rPr>
          <w:rFonts w:ascii="Times New Roman" w:hAnsi="Times New Roman" w:cs="Times New Roman"/>
        </w:rPr>
        <w:t>在特异性、灵敏度和分析速度上有优势。</w:t>
      </w:r>
    </w:p>
    <w:p w:rsidR="00EF0D99" w:rsidRPr="00B57F1D" w:rsidRDefault="00EF0D99" w:rsidP="00EF0D99">
      <w:pPr>
        <w:pStyle w:val="a4"/>
        <w:spacing w:line="360" w:lineRule="auto"/>
        <w:ind w:firstLineChars="200" w:firstLine="420"/>
        <w:outlineLvl w:val="3"/>
        <w:rPr>
          <w:rFonts w:ascii="Times New Roman" w:hAnsi="Times New Roman" w:cs="Times New Roman"/>
        </w:rPr>
      </w:pPr>
      <w:r w:rsidRPr="00B57F1D">
        <w:rPr>
          <w:rFonts w:ascii="Times New Roman" w:hAnsi="Times New Roman" w:cs="Times New Roman"/>
        </w:rPr>
        <w:t>抗生素可用微生物学法。蛋白质或多肽类物质可用免疫学法。</w:t>
      </w:r>
    </w:p>
    <w:p w:rsidR="00EF0D99" w:rsidRPr="00B57F1D" w:rsidRDefault="00EF0D99" w:rsidP="00EF0D99">
      <w:pPr>
        <w:pStyle w:val="a4"/>
        <w:spacing w:line="360" w:lineRule="auto"/>
        <w:ind w:firstLineChars="200" w:firstLine="420"/>
        <w:outlineLvl w:val="3"/>
        <w:rPr>
          <w:rFonts w:ascii="Times New Roman" w:hAnsi="Times New Roman" w:cs="Times New Roman"/>
        </w:rPr>
      </w:pPr>
      <w:r w:rsidRPr="00B57F1D">
        <w:rPr>
          <w:rFonts w:ascii="Times New Roman" w:hAnsi="Times New Roman" w:cs="Times New Roman"/>
        </w:rPr>
        <w:t>为保证方法的可靠性，还须对方法的性能做确证，以考察从样品采集到分析测试的全过程中环境、介质、材料和操作对测定的影响。</w:t>
      </w:r>
      <w:proofErr w:type="gramStart"/>
      <w:r w:rsidRPr="00B57F1D">
        <w:rPr>
          <w:rFonts w:ascii="Times New Roman" w:hAnsi="Times New Roman" w:cs="Times New Roman"/>
        </w:rPr>
        <w:t>确证分全面</w:t>
      </w:r>
      <w:proofErr w:type="gramEnd"/>
      <w:r w:rsidRPr="00B57F1D">
        <w:rPr>
          <w:rFonts w:ascii="Times New Roman" w:hAnsi="Times New Roman" w:cs="Times New Roman"/>
        </w:rPr>
        <w:t>确证和部分确证两种。首次建立的分析方法应做全面确证，其他方法视情况可做部分确证。</w:t>
      </w:r>
    </w:p>
    <w:p w:rsidR="00EF0D99" w:rsidRPr="000B30F5" w:rsidRDefault="00EF0D99" w:rsidP="00EF0D99">
      <w:pPr>
        <w:spacing w:line="360" w:lineRule="auto"/>
        <w:rPr>
          <w:rFonts w:eastAsia="黑体"/>
          <w:sz w:val="28"/>
          <w:szCs w:val="28"/>
        </w:rPr>
      </w:pPr>
      <w:r w:rsidRPr="000B30F5">
        <w:rPr>
          <w:rFonts w:eastAsia="黑体"/>
          <w:sz w:val="28"/>
          <w:szCs w:val="28"/>
        </w:rPr>
        <w:t>（二）分析方法建立及确证指标</w:t>
      </w:r>
    </w:p>
    <w:p w:rsidR="00EF0D99" w:rsidRPr="00B57F1D" w:rsidRDefault="00EF0D99" w:rsidP="00EF0D99">
      <w:pPr>
        <w:spacing w:line="360" w:lineRule="auto"/>
        <w:ind w:firstLineChars="200" w:firstLine="420"/>
        <w:rPr>
          <w:szCs w:val="21"/>
        </w:rPr>
      </w:pPr>
      <w:r w:rsidRPr="00B57F1D">
        <w:rPr>
          <w:rFonts w:eastAsia="黑体"/>
          <w:szCs w:val="21"/>
        </w:rPr>
        <w:t>1.</w:t>
      </w:r>
      <w:r w:rsidRPr="00B57F1D">
        <w:rPr>
          <w:rFonts w:eastAsia="黑体"/>
          <w:szCs w:val="21"/>
        </w:rPr>
        <w:t>特异性</w:t>
      </w:r>
      <w:r w:rsidRPr="00B57F1D">
        <w:rPr>
          <w:szCs w:val="21"/>
        </w:rPr>
        <w:t xml:space="preserve">  </w:t>
      </w:r>
      <w:r w:rsidRPr="00B57F1D">
        <w:rPr>
          <w:szCs w:val="21"/>
        </w:rPr>
        <w:t>指在干扰物存在情况下，分析方法专一、准确测定被测物的能力。建立分析方法前，应明确被测物是药物的原形还是其活性代谢物，是一个还是多个成分。内源性物质、其他代谢物或降解产物、环境因素等不得干扰测定。为证明分析方法的特异性，色谱法应提供</w:t>
      </w:r>
      <w:r w:rsidRPr="00B57F1D">
        <w:rPr>
          <w:szCs w:val="21"/>
        </w:rPr>
        <w:t>6</w:t>
      </w:r>
      <w:r w:rsidRPr="00B57F1D">
        <w:rPr>
          <w:szCs w:val="21"/>
        </w:rPr>
        <w:t>个不同来源的空白样品的色谱图、空白样品添加对照物的色谱图（应注明浓度）和用药样品的色谱图，质谱法则应考察介质效应如离子抑制。</w:t>
      </w:r>
    </w:p>
    <w:p w:rsidR="00EF0D99" w:rsidRPr="00B57F1D" w:rsidRDefault="00EF0D99" w:rsidP="00EF0D99">
      <w:pPr>
        <w:spacing w:line="360" w:lineRule="auto"/>
        <w:ind w:firstLineChars="200" w:firstLine="420"/>
        <w:rPr>
          <w:szCs w:val="21"/>
        </w:rPr>
      </w:pPr>
      <w:r w:rsidRPr="00B57F1D">
        <w:rPr>
          <w:rFonts w:eastAsia="黑体"/>
          <w:szCs w:val="21"/>
        </w:rPr>
        <w:t>2.</w:t>
      </w:r>
      <w:r w:rsidRPr="00B57F1D">
        <w:rPr>
          <w:rFonts w:eastAsia="黑体"/>
          <w:szCs w:val="21"/>
        </w:rPr>
        <w:t>标准曲线</w:t>
      </w:r>
      <w:r w:rsidRPr="00B57F1D">
        <w:rPr>
          <w:szCs w:val="21"/>
        </w:rPr>
        <w:t xml:space="preserve">  </w:t>
      </w:r>
      <w:r w:rsidRPr="00B57F1D">
        <w:rPr>
          <w:szCs w:val="21"/>
        </w:rPr>
        <w:t>反映被测物浓度与仪器响应值之间的定量关系，一般用回归分析（如加权最小二乘法）所得的回归方程和相关系数表示。标准曲线由低浓度到高浓度的范围为定量范围，定量范围内浓度的准确度和精密度应符合</w:t>
      </w:r>
      <w:r w:rsidRPr="00B57F1D">
        <w:rPr>
          <w:szCs w:val="21"/>
        </w:rPr>
        <w:t>“4.</w:t>
      </w:r>
      <w:r w:rsidRPr="00B57F1D">
        <w:rPr>
          <w:szCs w:val="21"/>
        </w:rPr>
        <w:t>准确度</w:t>
      </w:r>
      <w:r w:rsidRPr="00B57F1D">
        <w:rPr>
          <w:szCs w:val="21"/>
        </w:rPr>
        <w:t>”</w:t>
      </w:r>
      <w:r w:rsidRPr="00B57F1D">
        <w:rPr>
          <w:szCs w:val="21"/>
        </w:rPr>
        <w:t>和</w:t>
      </w:r>
      <w:r w:rsidRPr="00B57F1D">
        <w:rPr>
          <w:szCs w:val="21"/>
        </w:rPr>
        <w:t>“5.</w:t>
      </w:r>
      <w:r w:rsidRPr="00B57F1D">
        <w:rPr>
          <w:szCs w:val="21"/>
        </w:rPr>
        <w:t>精密度</w:t>
      </w:r>
      <w:r w:rsidRPr="00B57F1D">
        <w:rPr>
          <w:szCs w:val="21"/>
        </w:rPr>
        <w:t>”</w:t>
      </w:r>
      <w:r w:rsidRPr="00B57F1D">
        <w:rPr>
          <w:szCs w:val="21"/>
        </w:rPr>
        <w:t>的要求。</w:t>
      </w:r>
    </w:p>
    <w:p w:rsidR="00EF0D99" w:rsidRPr="00B57F1D" w:rsidRDefault="00EF0D99" w:rsidP="00EF0D99">
      <w:pPr>
        <w:spacing w:line="360" w:lineRule="auto"/>
        <w:ind w:firstLineChars="200" w:firstLine="420"/>
        <w:rPr>
          <w:szCs w:val="21"/>
        </w:rPr>
      </w:pPr>
      <w:r w:rsidRPr="00B57F1D">
        <w:rPr>
          <w:szCs w:val="21"/>
        </w:rPr>
        <w:t>配制标准溶液应使用与待测样品相同的生物介质。不同的样品应制备各自的标准曲线。标准曲线的浓度个数取决于被测物可能的浓度范围和被测物</w:t>
      </w:r>
      <w:r w:rsidRPr="00B57F1D">
        <w:rPr>
          <w:szCs w:val="21"/>
        </w:rPr>
        <w:t>/</w:t>
      </w:r>
      <w:r w:rsidRPr="00B57F1D">
        <w:rPr>
          <w:szCs w:val="21"/>
        </w:rPr>
        <w:t>响应值关系的性质。一般至少用</w:t>
      </w:r>
      <w:r w:rsidRPr="00B57F1D">
        <w:rPr>
          <w:szCs w:val="21"/>
        </w:rPr>
        <w:t>5</w:t>
      </w:r>
      <w:r w:rsidRPr="00B57F1D">
        <w:rPr>
          <w:szCs w:val="21"/>
        </w:rPr>
        <w:t>个浓度，非线性的要增加浓度。标准曲线的定量范围应能覆盖全部待测样品的浓度范围。建立标准曲线时，应随测空白基质，但计算时不包括该点，仅用于评价干扰。</w:t>
      </w:r>
    </w:p>
    <w:p w:rsidR="00EF0D99" w:rsidRPr="00B57F1D" w:rsidRDefault="00EF0D99" w:rsidP="00EF0D99">
      <w:pPr>
        <w:spacing w:line="360" w:lineRule="auto"/>
        <w:ind w:firstLineChars="200" w:firstLine="420"/>
        <w:rPr>
          <w:szCs w:val="21"/>
        </w:rPr>
      </w:pPr>
      <w:r w:rsidRPr="00B57F1D">
        <w:rPr>
          <w:szCs w:val="21"/>
        </w:rPr>
        <w:t>标准曲线各浓度的实测值与标示值之间的偏差在可接受的范围内时，判定标准曲线合格。可接受范围一般规定为最低浓度的偏差在</w:t>
      </w:r>
      <w:r w:rsidRPr="00B57F1D">
        <w:rPr>
          <w:szCs w:val="21"/>
        </w:rPr>
        <w:t>±20%</w:t>
      </w:r>
      <w:r w:rsidRPr="00B57F1D">
        <w:rPr>
          <w:szCs w:val="21"/>
        </w:rPr>
        <w:t>以内，其余浓度的偏差在</w:t>
      </w:r>
      <w:r w:rsidRPr="00B57F1D">
        <w:rPr>
          <w:szCs w:val="21"/>
        </w:rPr>
        <w:t>±15%</w:t>
      </w:r>
      <w:r w:rsidRPr="00B57F1D">
        <w:rPr>
          <w:szCs w:val="21"/>
        </w:rPr>
        <w:t>以内。只有合格的标准曲线才能用于定量计算。标准曲线不包括零点，</w:t>
      </w:r>
      <w:proofErr w:type="gramStart"/>
      <w:r w:rsidRPr="00B57F1D">
        <w:rPr>
          <w:szCs w:val="21"/>
        </w:rPr>
        <w:t>不</w:t>
      </w:r>
      <w:proofErr w:type="gramEnd"/>
      <w:r w:rsidRPr="00B57F1D">
        <w:rPr>
          <w:szCs w:val="21"/>
        </w:rPr>
        <w:t>得用定量范围外推法求算样品中被测物的浓度。线性范围较宽时，为使低浓度得到准确计算，建议采用加权法计算偏差：偏差</w:t>
      </w:r>
      <w:r w:rsidRPr="00B57F1D">
        <w:rPr>
          <w:szCs w:val="21"/>
        </w:rPr>
        <w:t>=[</w:t>
      </w:r>
      <w:r w:rsidRPr="00B57F1D">
        <w:rPr>
          <w:szCs w:val="21"/>
        </w:rPr>
        <w:t>（实测值－标示值）</w:t>
      </w:r>
      <w:r w:rsidRPr="00B57F1D">
        <w:rPr>
          <w:szCs w:val="21"/>
        </w:rPr>
        <w:t>/</w:t>
      </w:r>
      <w:r w:rsidRPr="00B57F1D">
        <w:rPr>
          <w:szCs w:val="21"/>
        </w:rPr>
        <w:t>标示值</w:t>
      </w:r>
      <w:r w:rsidRPr="00B57F1D">
        <w:rPr>
          <w:szCs w:val="21"/>
        </w:rPr>
        <w:t>]×100%</w:t>
      </w:r>
      <w:r w:rsidRPr="00B57F1D">
        <w:rPr>
          <w:szCs w:val="21"/>
        </w:rPr>
        <w:t>。</w:t>
      </w:r>
    </w:p>
    <w:p w:rsidR="00EF0D99" w:rsidRPr="00B57F1D" w:rsidRDefault="00EF0D99" w:rsidP="00EF0D99">
      <w:pPr>
        <w:spacing w:line="360" w:lineRule="auto"/>
        <w:ind w:firstLineChars="200" w:firstLine="420"/>
        <w:rPr>
          <w:szCs w:val="21"/>
        </w:rPr>
      </w:pPr>
      <w:r w:rsidRPr="00B57F1D">
        <w:rPr>
          <w:szCs w:val="21"/>
        </w:rPr>
        <w:t>微生物学和免疫学分析法的标准曲线，本质上是非线性的，应采用比化学分析</w:t>
      </w:r>
      <w:proofErr w:type="gramStart"/>
      <w:r w:rsidRPr="00B57F1D">
        <w:rPr>
          <w:szCs w:val="21"/>
        </w:rPr>
        <w:t>法更多</w:t>
      </w:r>
      <w:proofErr w:type="gramEnd"/>
      <w:r w:rsidRPr="00B57F1D">
        <w:rPr>
          <w:szCs w:val="21"/>
        </w:rPr>
        <w:t>的浓度点建立标准曲线。</w:t>
      </w:r>
    </w:p>
    <w:p w:rsidR="00EF0D99" w:rsidRPr="00B57F1D" w:rsidRDefault="00EF0D99" w:rsidP="00EF0D99">
      <w:pPr>
        <w:spacing w:line="360" w:lineRule="auto"/>
        <w:ind w:firstLineChars="200" w:firstLine="420"/>
        <w:rPr>
          <w:szCs w:val="21"/>
        </w:rPr>
      </w:pPr>
      <w:r w:rsidRPr="00B57F1D">
        <w:rPr>
          <w:rFonts w:eastAsia="黑体"/>
          <w:szCs w:val="21"/>
        </w:rPr>
        <w:lastRenderedPageBreak/>
        <w:t>3.</w:t>
      </w:r>
      <w:r w:rsidRPr="00B57F1D">
        <w:rPr>
          <w:rFonts w:eastAsia="黑体"/>
          <w:szCs w:val="21"/>
        </w:rPr>
        <w:t>检测限和定量限</w:t>
      </w:r>
      <w:r w:rsidRPr="00B57F1D">
        <w:rPr>
          <w:szCs w:val="21"/>
        </w:rPr>
        <w:t xml:space="preserve">  </w:t>
      </w:r>
      <w:r w:rsidRPr="00B57F1D">
        <w:rPr>
          <w:szCs w:val="21"/>
        </w:rPr>
        <w:t>建立分析方法时，应测定背景信号（噪音）的标准偏差，确定方法的检测限（</w:t>
      </w:r>
      <w:r w:rsidRPr="00B57F1D">
        <w:rPr>
          <w:szCs w:val="21"/>
        </w:rPr>
        <w:t>limit of Detection</w:t>
      </w:r>
      <w:r w:rsidRPr="00B57F1D">
        <w:rPr>
          <w:szCs w:val="21"/>
        </w:rPr>
        <w:t>，</w:t>
      </w:r>
      <w:r w:rsidRPr="00B57F1D">
        <w:rPr>
          <w:szCs w:val="21"/>
        </w:rPr>
        <w:t>LOD</w:t>
      </w:r>
      <w:r w:rsidRPr="00B57F1D">
        <w:rPr>
          <w:szCs w:val="21"/>
        </w:rPr>
        <w:t>）和定量限（</w:t>
      </w:r>
      <w:r w:rsidRPr="00B57F1D">
        <w:rPr>
          <w:szCs w:val="21"/>
        </w:rPr>
        <w:t>limit of Quantitation</w:t>
      </w:r>
      <w:r w:rsidRPr="00B57F1D">
        <w:rPr>
          <w:szCs w:val="21"/>
        </w:rPr>
        <w:t>，</w:t>
      </w:r>
      <w:r w:rsidRPr="00B57F1D">
        <w:rPr>
          <w:szCs w:val="21"/>
        </w:rPr>
        <w:t>LOQ</w:t>
      </w:r>
      <w:r w:rsidRPr="00B57F1D">
        <w:rPr>
          <w:szCs w:val="21"/>
        </w:rPr>
        <w:t>）。</w:t>
      </w:r>
      <w:r w:rsidRPr="00B57F1D">
        <w:rPr>
          <w:szCs w:val="21"/>
        </w:rPr>
        <w:t>LOD</w:t>
      </w:r>
      <w:r w:rsidRPr="00B57F1D">
        <w:rPr>
          <w:szCs w:val="21"/>
        </w:rPr>
        <w:t>为噪音均值加</w:t>
      </w:r>
      <w:r w:rsidRPr="00B57F1D">
        <w:rPr>
          <w:szCs w:val="21"/>
        </w:rPr>
        <w:t>3</w:t>
      </w:r>
      <w:r w:rsidRPr="00B57F1D">
        <w:rPr>
          <w:szCs w:val="21"/>
        </w:rPr>
        <w:t>倍标准差，</w:t>
      </w:r>
      <w:r w:rsidRPr="00B57F1D">
        <w:rPr>
          <w:szCs w:val="21"/>
        </w:rPr>
        <w:t>LOQ</w:t>
      </w:r>
      <w:r w:rsidRPr="00B57F1D">
        <w:rPr>
          <w:szCs w:val="21"/>
        </w:rPr>
        <w:t>为噪音均值加</w:t>
      </w:r>
      <w:r w:rsidRPr="00B57F1D">
        <w:rPr>
          <w:szCs w:val="21"/>
        </w:rPr>
        <w:t>10</w:t>
      </w:r>
      <w:r w:rsidRPr="00B57F1D">
        <w:rPr>
          <w:szCs w:val="21"/>
        </w:rPr>
        <w:t>倍标准差。</w:t>
      </w:r>
      <w:r w:rsidRPr="00B57F1D">
        <w:rPr>
          <w:szCs w:val="21"/>
        </w:rPr>
        <w:t>LOQ</w:t>
      </w:r>
      <w:r w:rsidRPr="00B57F1D">
        <w:rPr>
          <w:szCs w:val="21"/>
        </w:rPr>
        <w:t>一般是标准曲线的最低浓度，应满足被测物在</w:t>
      </w:r>
      <w:r w:rsidRPr="00B57F1D">
        <w:rPr>
          <w:szCs w:val="21"/>
        </w:rPr>
        <w:t>3</w:t>
      </w:r>
      <w:r w:rsidRPr="00B57F1D">
        <w:rPr>
          <w:szCs w:val="21"/>
        </w:rPr>
        <w:t>～</w:t>
      </w:r>
      <w:r w:rsidRPr="00B57F1D">
        <w:rPr>
          <w:szCs w:val="21"/>
        </w:rPr>
        <w:t>5</w:t>
      </w:r>
      <w:r w:rsidRPr="00B57F1D">
        <w:rPr>
          <w:szCs w:val="21"/>
        </w:rPr>
        <w:t>个消除半衰期时刻或峰浓度（</w:t>
      </w:r>
      <w:proofErr w:type="spellStart"/>
      <w:r w:rsidRPr="00B57F1D">
        <w:rPr>
          <w:szCs w:val="21"/>
        </w:rPr>
        <w:t>C</w:t>
      </w:r>
      <w:r w:rsidRPr="00B57F1D">
        <w:rPr>
          <w:szCs w:val="21"/>
          <w:vertAlign w:val="subscript"/>
        </w:rPr>
        <w:t>max</w:t>
      </w:r>
      <w:proofErr w:type="spellEnd"/>
      <w:r w:rsidRPr="00B57F1D">
        <w:rPr>
          <w:szCs w:val="21"/>
        </w:rPr>
        <w:t>）</w:t>
      </w:r>
      <w:r w:rsidRPr="00B57F1D">
        <w:rPr>
          <w:szCs w:val="21"/>
        </w:rPr>
        <w:t>1/20~1/10</w:t>
      </w:r>
      <w:r w:rsidRPr="00B57F1D">
        <w:rPr>
          <w:szCs w:val="21"/>
        </w:rPr>
        <w:t>时刻浓度的测定。</w:t>
      </w:r>
      <w:r w:rsidRPr="00B57F1D">
        <w:rPr>
          <w:szCs w:val="21"/>
        </w:rPr>
        <w:t>LOQ</w:t>
      </w:r>
      <w:r w:rsidRPr="00B57F1D">
        <w:rPr>
          <w:szCs w:val="21"/>
        </w:rPr>
        <w:t>的准确度和精密度应符合</w:t>
      </w:r>
      <w:r w:rsidRPr="00B57F1D">
        <w:rPr>
          <w:szCs w:val="21"/>
        </w:rPr>
        <w:t>“4.</w:t>
      </w:r>
      <w:r w:rsidRPr="00B57F1D">
        <w:rPr>
          <w:szCs w:val="21"/>
        </w:rPr>
        <w:t>准确度</w:t>
      </w:r>
      <w:r w:rsidRPr="00B57F1D">
        <w:rPr>
          <w:szCs w:val="21"/>
        </w:rPr>
        <w:t>”</w:t>
      </w:r>
      <w:r w:rsidRPr="00B57F1D">
        <w:rPr>
          <w:szCs w:val="21"/>
        </w:rPr>
        <w:t>和</w:t>
      </w:r>
      <w:r w:rsidRPr="00B57F1D">
        <w:rPr>
          <w:szCs w:val="21"/>
        </w:rPr>
        <w:t>“5.</w:t>
      </w:r>
      <w:r w:rsidRPr="00B57F1D">
        <w:rPr>
          <w:szCs w:val="21"/>
        </w:rPr>
        <w:t>精密度</w:t>
      </w:r>
      <w:r w:rsidRPr="00B57F1D">
        <w:rPr>
          <w:szCs w:val="21"/>
        </w:rPr>
        <w:t>”</w:t>
      </w:r>
      <w:r w:rsidRPr="00B57F1D">
        <w:rPr>
          <w:szCs w:val="21"/>
        </w:rPr>
        <w:t>的相关要求，要由至少</w:t>
      </w:r>
      <w:r w:rsidRPr="00B57F1D">
        <w:rPr>
          <w:szCs w:val="21"/>
        </w:rPr>
        <w:t>5</w:t>
      </w:r>
      <w:r w:rsidRPr="00B57F1D">
        <w:rPr>
          <w:szCs w:val="21"/>
        </w:rPr>
        <w:t>个标样浓度的测试结果予以证明。</w:t>
      </w:r>
    </w:p>
    <w:p w:rsidR="00EF0D99" w:rsidRPr="00B57F1D" w:rsidRDefault="00EF0D99" w:rsidP="00EF0D99">
      <w:pPr>
        <w:spacing w:line="360" w:lineRule="auto"/>
        <w:ind w:firstLineChars="200" w:firstLine="420"/>
        <w:rPr>
          <w:szCs w:val="21"/>
        </w:rPr>
      </w:pPr>
      <w:r w:rsidRPr="00B57F1D">
        <w:rPr>
          <w:rFonts w:eastAsia="黑体"/>
          <w:szCs w:val="21"/>
        </w:rPr>
        <w:t>4.</w:t>
      </w:r>
      <w:r w:rsidRPr="00B57F1D">
        <w:rPr>
          <w:rFonts w:eastAsia="黑体"/>
          <w:szCs w:val="21"/>
        </w:rPr>
        <w:t>准确度</w:t>
      </w:r>
      <w:r w:rsidRPr="00B57F1D">
        <w:rPr>
          <w:szCs w:val="21"/>
        </w:rPr>
        <w:t xml:space="preserve">  </w:t>
      </w:r>
      <w:r w:rsidRPr="00B57F1D">
        <w:rPr>
          <w:szCs w:val="21"/>
        </w:rPr>
        <w:t>反映在确定的分析条件下，样品中被测物的测得浓度与真实浓度的接近程度（即质控样品的实测浓度与真实浓度的偏差）。重复测定已知浓度被测物的样品可获得准确度。在实际工作中，准确度通常用回收率（</w:t>
      </w:r>
      <w:r w:rsidRPr="00B57F1D">
        <w:rPr>
          <w:szCs w:val="21"/>
        </w:rPr>
        <w:t>recovery</w:t>
      </w:r>
      <w:r w:rsidRPr="00B57F1D">
        <w:rPr>
          <w:szCs w:val="21"/>
        </w:rPr>
        <w:t>）表示。用样品中被测物的响应值除以标准品的响应值，即为被测物的提取回收率。一般在空白样品中添加</w:t>
      </w:r>
      <w:r w:rsidRPr="00B57F1D">
        <w:rPr>
          <w:szCs w:val="21"/>
        </w:rPr>
        <w:t>3</w:t>
      </w:r>
      <w:r w:rsidRPr="00B57F1D">
        <w:rPr>
          <w:szCs w:val="21"/>
        </w:rPr>
        <w:t>个已知浓度测定回收率。一个浓度为</w:t>
      </w:r>
      <w:r w:rsidRPr="00B57F1D">
        <w:rPr>
          <w:szCs w:val="21"/>
        </w:rPr>
        <w:t>LOQ</w:t>
      </w:r>
      <w:r w:rsidRPr="00B57F1D">
        <w:rPr>
          <w:szCs w:val="21"/>
        </w:rPr>
        <w:t>加</w:t>
      </w:r>
      <w:r w:rsidRPr="00B57F1D">
        <w:rPr>
          <w:szCs w:val="21"/>
        </w:rPr>
        <w:t>2</w:t>
      </w:r>
      <w:r w:rsidRPr="00B57F1D">
        <w:rPr>
          <w:szCs w:val="21"/>
        </w:rPr>
        <w:t>倍标准差，一个为标准曲线的中间浓度，另一个为标准曲线的定量上限减</w:t>
      </w:r>
      <w:r w:rsidRPr="00B57F1D">
        <w:rPr>
          <w:szCs w:val="21"/>
        </w:rPr>
        <w:t>2</w:t>
      </w:r>
      <w:r w:rsidRPr="00B57F1D">
        <w:rPr>
          <w:szCs w:val="21"/>
        </w:rPr>
        <w:t>倍标准差。每个浓度平行测</w:t>
      </w:r>
      <w:r w:rsidRPr="00B57F1D">
        <w:rPr>
          <w:szCs w:val="21"/>
        </w:rPr>
        <w:t>6</w:t>
      </w:r>
      <w:r w:rsidRPr="00B57F1D">
        <w:rPr>
          <w:szCs w:val="21"/>
        </w:rPr>
        <w:t>次，回收率一般应在</w:t>
      </w:r>
      <w:r w:rsidRPr="00B57F1D">
        <w:rPr>
          <w:szCs w:val="21"/>
        </w:rPr>
        <w:t>85</w:t>
      </w:r>
      <w:r w:rsidRPr="00B57F1D">
        <w:rPr>
          <w:szCs w:val="21"/>
        </w:rPr>
        <w:t>％～</w:t>
      </w:r>
      <w:r w:rsidRPr="00B57F1D">
        <w:rPr>
          <w:szCs w:val="21"/>
        </w:rPr>
        <w:t>115</w:t>
      </w:r>
      <w:r w:rsidRPr="00B57F1D">
        <w:rPr>
          <w:szCs w:val="21"/>
        </w:rPr>
        <w:t>％范围内。</w:t>
      </w:r>
      <w:r w:rsidRPr="00B57F1D">
        <w:rPr>
          <w:szCs w:val="21"/>
        </w:rPr>
        <w:t>LOQ</w:t>
      </w:r>
      <w:r w:rsidRPr="00B57F1D">
        <w:rPr>
          <w:szCs w:val="21"/>
        </w:rPr>
        <w:t>附近浓度的回收率可在</w:t>
      </w:r>
      <w:r w:rsidRPr="00B57F1D">
        <w:rPr>
          <w:szCs w:val="21"/>
        </w:rPr>
        <w:t>80</w:t>
      </w:r>
      <w:r w:rsidRPr="00B57F1D">
        <w:rPr>
          <w:szCs w:val="21"/>
        </w:rPr>
        <w:t>％～</w:t>
      </w:r>
      <w:r w:rsidRPr="00B57F1D">
        <w:rPr>
          <w:szCs w:val="21"/>
        </w:rPr>
        <w:t>120</w:t>
      </w:r>
      <w:r w:rsidRPr="00B57F1D">
        <w:rPr>
          <w:szCs w:val="21"/>
        </w:rPr>
        <w:t>％范围内。</w:t>
      </w:r>
    </w:p>
    <w:p w:rsidR="00EF0D99" w:rsidRPr="00B57F1D" w:rsidRDefault="00EF0D99" w:rsidP="00EF0D99">
      <w:pPr>
        <w:spacing w:line="360" w:lineRule="auto"/>
        <w:ind w:firstLineChars="200" w:firstLine="420"/>
        <w:rPr>
          <w:szCs w:val="21"/>
        </w:rPr>
      </w:pPr>
      <w:r w:rsidRPr="00B57F1D">
        <w:rPr>
          <w:rFonts w:eastAsia="黑体"/>
          <w:szCs w:val="21"/>
        </w:rPr>
        <w:t>5.</w:t>
      </w:r>
      <w:r w:rsidRPr="00B57F1D">
        <w:rPr>
          <w:rFonts w:eastAsia="黑体"/>
          <w:szCs w:val="21"/>
        </w:rPr>
        <w:t>精密度</w:t>
      </w:r>
      <w:r w:rsidRPr="00B57F1D">
        <w:rPr>
          <w:szCs w:val="21"/>
        </w:rPr>
        <w:t xml:space="preserve">  </w:t>
      </w:r>
      <w:r w:rsidRPr="00B57F1D">
        <w:rPr>
          <w:szCs w:val="21"/>
        </w:rPr>
        <w:t>反映在确定的分析条件下，相同介质中相同浓度一系列测量值的分散程度。通常用质控样品的</w:t>
      </w:r>
      <w:proofErr w:type="gramStart"/>
      <w:r w:rsidRPr="00B57F1D">
        <w:rPr>
          <w:szCs w:val="21"/>
        </w:rPr>
        <w:t>批内和批间</w:t>
      </w:r>
      <w:proofErr w:type="gramEnd"/>
      <w:r w:rsidRPr="00B57F1D">
        <w:rPr>
          <w:szCs w:val="21"/>
        </w:rPr>
        <w:t>相对标准偏差（</w:t>
      </w:r>
      <w:r w:rsidRPr="00B57F1D">
        <w:rPr>
          <w:szCs w:val="21"/>
        </w:rPr>
        <w:t>relative standard deviation, RSD</w:t>
      </w:r>
      <w:r w:rsidRPr="00B57F1D">
        <w:rPr>
          <w:szCs w:val="21"/>
        </w:rPr>
        <w:t>）或变异系数（</w:t>
      </w:r>
      <w:r w:rsidRPr="00B57F1D">
        <w:rPr>
          <w:szCs w:val="21"/>
        </w:rPr>
        <w:t>coefficient of variation, CV</w:t>
      </w:r>
      <w:r w:rsidRPr="00B57F1D">
        <w:rPr>
          <w:szCs w:val="21"/>
        </w:rPr>
        <w:t>）表示。精密度的测定方法与回收率相同。</w:t>
      </w:r>
      <w:r w:rsidRPr="00B57F1D">
        <w:rPr>
          <w:szCs w:val="21"/>
        </w:rPr>
        <w:t>6</w:t>
      </w:r>
      <w:r w:rsidRPr="00B57F1D">
        <w:rPr>
          <w:szCs w:val="21"/>
        </w:rPr>
        <w:t>次重复测定的</w:t>
      </w:r>
      <w:r w:rsidRPr="00B57F1D">
        <w:rPr>
          <w:szCs w:val="21"/>
        </w:rPr>
        <w:t>CV</w:t>
      </w:r>
      <w:r w:rsidRPr="00B57F1D">
        <w:rPr>
          <w:szCs w:val="21"/>
        </w:rPr>
        <w:t>，浓度高于</w:t>
      </w:r>
      <w:r w:rsidRPr="00B57F1D">
        <w:rPr>
          <w:szCs w:val="21"/>
        </w:rPr>
        <w:t>0.1μg/mL</w:t>
      </w:r>
      <w:r w:rsidRPr="00B57F1D">
        <w:rPr>
          <w:szCs w:val="21"/>
        </w:rPr>
        <w:t>的为</w:t>
      </w:r>
      <w:r w:rsidRPr="00B57F1D">
        <w:rPr>
          <w:szCs w:val="21"/>
        </w:rPr>
        <w:t>10</w:t>
      </w:r>
      <w:r w:rsidRPr="00B57F1D">
        <w:rPr>
          <w:szCs w:val="21"/>
        </w:rPr>
        <w:t>％，低于</w:t>
      </w:r>
      <w:r w:rsidRPr="00B57F1D">
        <w:rPr>
          <w:szCs w:val="21"/>
        </w:rPr>
        <w:t>0.1μg/mL</w:t>
      </w:r>
      <w:r w:rsidRPr="00B57F1D">
        <w:rPr>
          <w:szCs w:val="21"/>
        </w:rPr>
        <w:t>的为</w:t>
      </w:r>
      <w:r w:rsidRPr="00B57F1D">
        <w:rPr>
          <w:szCs w:val="21"/>
        </w:rPr>
        <w:t>20</w:t>
      </w:r>
      <w:r w:rsidRPr="00B57F1D">
        <w:rPr>
          <w:szCs w:val="21"/>
        </w:rPr>
        <w:t>％。为</w:t>
      </w:r>
      <w:proofErr w:type="gramStart"/>
      <w:r w:rsidRPr="00B57F1D">
        <w:rPr>
          <w:szCs w:val="21"/>
        </w:rPr>
        <w:t>获得批间精密度</w:t>
      </w:r>
      <w:proofErr w:type="gramEnd"/>
      <w:r w:rsidRPr="00B57F1D">
        <w:rPr>
          <w:szCs w:val="21"/>
        </w:rPr>
        <w:t>，应至少在不同</w:t>
      </w:r>
      <w:proofErr w:type="gramStart"/>
      <w:r w:rsidRPr="00B57F1D">
        <w:rPr>
          <w:szCs w:val="21"/>
        </w:rPr>
        <w:t>天连续</w:t>
      </w:r>
      <w:proofErr w:type="gramEnd"/>
      <w:r w:rsidRPr="00B57F1D">
        <w:rPr>
          <w:szCs w:val="21"/>
        </w:rPr>
        <w:t>制备并测定</w:t>
      </w:r>
      <w:r w:rsidRPr="00B57F1D">
        <w:rPr>
          <w:szCs w:val="21"/>
        </w:rPr>
        <w:t>3</w:t>
      </w:r>
      <w:r w:rsidRPr="00B57F1D">
        <w:rPr>
          <w:szCs w:val="21"/>
        </w:rPr>
        <w:t>个分析批的样品。</w:t>
      </w:r>
      <w:proofErr w:type="gramStart"/>
      <w:r w:rsidRPr="00B57F1D">
        <w:rPr>
          <w:szCs w:val="21"/>
        </w:rPr>
        <w:t>批间</w:t>
      </w:r>
      <w:proofErr w:type="gramEnd"/>
      <w:r w:rsidRPr="00B57F1D">
        <w:rPr>
          <w:szCs w:val="21"/>
        </w:rPr>
        <w:t>CV</w:t>
      </w:r>
      <w:r w:rsidRPr="00B57F1D">
        <w:rPr>
          <w:szCs w:val="21"/>
        </w:rPr>
        <w:t>，一般应小于</w:t>
      </w:r>
      <w:r w:rsidRPr="00B57F1D">
        <w:rPr>
          <w:szCs w:val="21"/>
        </w:rPr>
        <w:t>15</w:t>
      </w:r>
      <w:r w:rsidRPr="00B57F1D">
        <w:rPr>
          <w:szCs w:val="21"/>
        </w:rPr>
        <w:t>％。</w:t>
      </w:r>
      <w:r w:rsidRPr="00B57F1D">
        <w:rPr>
          <w:szCs w:val="21"/>
        </w:rPr>
        <w:t>LOQ</w:t>
      </w:r>
      <w:r w:rsidRPr="00B57F1D">
        <w:rPr>
          <w:szCs w:val="21"/>
        </w:rPr>
        <w:t>附近浓度的</w:t>
      </w:r>
      <w:r w:rsidRPr="00B57F1D">
        <w:rPr>
          <w:szCs w:val="21"/>
        </w:rPr>
        <w:t>CV</w:t>
      </w:r>
      <w:r w:rsidRPr="00B57F1D">
        <w:rPr>
          <w:szCs w:val="21"/>
        </w:rPr>
        <w:t>，可小于</w:t>
      </w:r>
      <w:r w:rsidRPr="00B57F1D">
        <w:rPr>
          <w:szCs w:val="21"/>
        </w:rPr>
        <w:t>20</w:t>
      </w:r>
      <w:r w:rsidRPr="00B57F1D">
        <w:rPr>
          <w:szCs w:val="21"/>
        </w:rPr>
        <w:t>％。</w:t>
      </w:r>
    </w:p>
    <w:p w:rsidR="00EF0D99" w:rsidRPr="00B57F1D" w:rsidRDefault="00EF0D99" w:rsidP="00EF0D99">
      <w:pPr>
        <w:spacing w:line="360" w:lineRule="auto"/>
        <w:ind w:firstLineChars="200" w:firstLine="420"/>
        <w:rPr>
          <w:szCs w:val="21"/>
        </w:rPr>
      </w:pPr>
      <w:r w:rsidRPr="00B57F1D">
        <w:rPr>
          <w:szCs w:val="21"/>
        </w:rPr>
        <w:t>微生物学和免疫学法的准确性和精密性，应采用</w:t>
      </w:r>
      <w:r w:rsidRPr="00B57F1D">
        <w:rPr>
          <w:szCs w:val="21"/>
        </w:rPr>
        <w:t>6</w:t>
      </w:r>
      <w:r w:rsidRPr="00B57F1D">
        <w:rPr>
          <w:szCs w:val="21"/>
        </w:rPr>
        <w:t>个分析批、每批</w:t>
      </w:r>
      <w:r w:rsidRPr="00B57F1D">
        <w:rPr>
          <w:szCs w:val="21"/>
        </w:rPr>
        <w:t>4</w:t>
      </w:r>
      <w:r w:rsidRPr="00B57F1D">
        <w:rPr>
          <w:szCs w:val="21"/>
        </w:rPr>
        <w:t>个浓度（</w:t>
      </w:r>
      <w:r w:rsidRPr="00B57F1D">
        <w:rPr>
          <w:szCs w:val="21"/>
        </w:rPr>
        <w:t>LOQ</w:t>
      </w:r>
      <w:r w:rsidRPr="00B57F1D">
        <w:rPr>
          <w:szCs w:val="21"/>
        </w:rPr>
        <w:t>、低、中、高浓度）的质控双份样品予以测定。</w:t>
      </w:r>
    </w:p>
    <w:p w:rsidR="00EF0D99" w:rsidRPr="00B57F1D" w:rsidRDefault="00EF0D99" w:rsidP="00EF0D99">
      <w:pPr>
        <w:spacing w:line="360" w:lineRule="auto"/>
        <w:ind w:firstLineChars="200" w:firstLine="420"/>
        <w:rPr>
          <w:szCs w:val="21"/>
        </w:rPr>
      </w:pPr>
      <w:r w:rsidRPr="00B57F1D">
        <w:rPr>
          <w:rFonts w:eastAsia="黑体"/>
          <w:szCs w:val="21"/>
        </w:rPr>
        <w:t>6.</w:t>
      </w:r>
      <w:r w:rsidRPr="00B57F1D">
        <w:rPr>
          <w:rFonts w:eastAsia="黑体"/>
          <w:szCs w:val="21"/>
        </w:rPr>
        <w:t>受试物的稳定性</w:t>
      </w:r>
      <w:r w:rsidRPr="00B57F1D">
        <w:rPr>
          <w:szCs w:val="21"/>
        </w:rPr>
        <w:t xml:space="preserve">  </w:t>
      </w:r>
      <w:r w:rsidRPr="00B57F1D">
        <w:rPr>
          <w:szCs w:val="21"/>
        </w:rPr>
        <w:t>在样品分析周期内的不同时间，应考察</w:t>
      </w:r>
      <w:r w:rsidRPr="00B57F1D">
        <w:rPr>
          <w:szCs w:val="21"/>
        </w:rPr>
        <w:t>3</w:t>
      </w:r>
      <w:r w:rsidRPr="00B57F1D">
        <w:rPr>
          <w:szCs w:val="21"/>
        </w:rPr>
        <w:t>个添加浓度样品、</w:t>
      </w:r>
      <w:r w:rsidRPr="00B57F1D">
        <w:rPr>
          <w:szCs w:val="21"/>
        </w:rPr>
        <w:t>2</w:t>
      </w:r>
      <w:r w:rsidRPr="00B57F1D">
        <w:rPr>
          <w:szCs w:val="21"/>
        </w:rPr>
        <w:t>个添加浓度各</w:t>
      </w:r>
      <w:r w:rsidRPr="00B57F1D">
        <w:rPr>
          <w:szCs w:val="21"/>
        </w:rPr>
        <w:t>3</w:t>
      </w:r>
      <w:r w:rsidRPr="00B57F1D">
        <w:rPr>
          <w:szCs w:val="21"/>
        </w:rPr>
        <w:t>次冻融样品、用药动物样品以及储备液和样品提取液等介质中被测物在不同温度（如室温、冷藏、冰冻）和不同贮存时间下的稳定性。</w:t>
      </w:r>
    </w:p>
    <w:p w:rsidR="00EF0D99" w:rsidRPr="000B30F5" w:rsidRDefault="00EF0D99" w:rsidP="00EF0D99">
      <w:pPr>
        <w:spacing w:line="360" w:lineRule="auto"/>
        <w:ind w:firstLineChars="200" w:firstLine="420"/>
        <w:rPr>
          <w:sz w:val="24"/>
        </w:rPr>
      </w:pPr>
      <w:r w:rsidRPr="00B57F1D">
        <w:rPr>
          <w:rFonts w:eastAsia="黑体"/>
          <w:szCs w:val="21"/>
        </w:rPr>
        <w:t>7.</w:t>
      </w:r>
      <w:r w:rsidRPr="00B57F1D">
        <w:rPr>
          <w:rFonts w:eastAsia="黑体"/>
          <w:szCs w:val="21"/>
        </w:rPr>
        <w:t>分析系统的稳定性</w:t>
      </w:r>
      <w:r w:rsidRPr="00B57F1D">
        <w:rPr>
          <w:szCs w:val="21"/>
        </w:rPr>
        <w:t xml:space="preserve">  </w:t>
      </w:r>
      <w:r w:rsidRPr="00B57F1D">
        <w:rPr>
          <w:szCs w:val="21"/>
        </w:rPr>
        <w:t>为确保分析系统在整个分析过程中是稳定的，要测定标准曲线的重现性，应至少在每次分析开始和结束时用标准品进样测定。</w:t>
      </w:r>
    </w:p>
    <w:p w:rsidR="00EF0D99" w:rsidRPr="000B30F5" w:rsidRDefault="00EF0D99" w:rsidP="00EF0D99">
      <w:pPr>
        <w:spacing w:line="360" w:lineRule="auto"/>
        <w:rPr>
          <w:rFonts w:eastAsia="黑体"/>
          <w:sz w:val="28"/>
          <w:szCs w:val="28"/>
        </w:rPr>
      </w:pPr>
      <w:r w:rsidRPr="000B30F5">
        <w:rPr>
          <w:rFonts w:eastAsia="黑体"/>
          <w:sz w:val="28"/>
          <w:szCs w:val="28"/>
        </w:rPr>
        <w:t>（三）质量控制</w:t>
      </w:r>
    </w:p>
    <w:p w:rsidR="00EF0D99" w:rsidRPr="00B57F1D" w:rsidRDefault="00EF0D99" w:rsidP="00EF0D99">
      <w:pPr>
        <w:spacing w:line="360" w:lineRule="auto"/>
        <w:ind w:firstLineChars="200" w:firstLine="420"/>
        <w:rPr>
          <w:szCs w:val="21"/>
        </w:rPr>
      </w:pPr>
      <w:r w:rsidRPr="00B57F1D">
        <w:rPr>
          <w:szCs w:val="21"/>
        </w:rPr>
        <w:t>分析方法只有经过严格考核之后才能用于待测样品的检测。考核一般由独立的分析人员配制不同浓度的质控样品进行。质控样品是将已知量被测物添加到空白样品中配制而成。</w:t>
      </w:r>
    </w:p>
    <w:p w:rsidR="00EF0D99" w:rsidRPr="00B57F1D" w:rsidRDefault="00EF0D99" w:rsidP="00EF0D99">
      <w:pPr>
        <w:spacing w:line="360" w:lineRule="auto"/>
        <w:ind w:firstLineChars="200" w:firstLine="420"/>
        <w:rPr>
          <w:szCs w:val="21"/>
        </w:rPr>
      </w:pPr>
      <w:r w:rsidRPr="00B57F1D">
        <w:rPr>
          <w:szCs w:val="21"/>
        </w:rPr>
        <w:lastRenderedPageBreak/>
        <w:t>来自同一个体的生物样品最好在同一批内测定。每批样品测定时，应建立新的标准曲线，并同时测定高、中、低三个浓度的质控样品。每个浓度至少为双份，应均匀分布在待测样品的分析顺序中。当一个分析批中待测样品的数量较多时，应增加各浓度质控样品的数量，</w:t>
      </w:r>
      <w:proofErr w:type="gramStart"/>
      <w:r w:rsidRPr="00B57F1D">
        <w:rPr>
          <w:szCs w:val="21"/>
        </w:rPr>
        <w:t>使质控</w:t>
      </w:r>
      <w:proofErr w:type="gramEnd"/>
      <w:r w:rsidRPr="00B57F1D">
        <w:rPr>
          <w:szCs w:val="21"/>
        </w:rPr>
        <w:t>样品数大于待测样品总数的</w:t>
      </w:r>
      <w:r w:rsidRPr="00B57F1D">
        <w:rPr>
          <w:szCs w:val="21"/>
        </w:rPr>
        <w:t>5%</w:t>
      </w:r>
      <w:r w:rsidRPr="00B57F1D">
        <w:rPr>
          <w:szCs w:val="21"/>
        </w:rPr>
        <w:t>。质控样品测定结果的偏差一般应小于</w:t>
      </w:r>
      <w:r w:rsidRPr="00B57F1D">
        <w:rPr>
          <w:szCs w:val="21"/>
        </w:rPr>
        <w:t>15%</w:t>
      </w:r>
      <w:r w:rsidRPr="00B57F1D">
        <w:rPr>
          <w:szCs w:val="21"/>
        </w:rPr>
        <w:t>，低浓度的偏差可在</w:t>
      </w:r>
      <w:r w:rsidRPr="00B57F1D">
        <w:rPr>
          <w:szCs w:val="21"/>
        </w:rPr>
        <w:t>20%</w:t>
      </w:r>
      <w:r w:rsidRPr="00B57F1D">
        <w:rPr>
          <w:szCs w:val="21"/>
        </w:rPr>
        <w:t>以内。最多允许</w:t>
      </w:r>
      <w:r w:rsidRPr="00B57F1D">
        <w:rPr>
          <w:szCs w:val="21"/>
        </w:rPr>
        <w:t>1/3</w:t>
      </w:r>
      <w:r w:rsidRPr="00B57F1D">
        <w:rPr>
          <w:szCs w:val="21"/>
        </w:rPr>
        <w:t>质控样品（不同浓度）的偏差超限。如果质控样品的测定结果不符合上述要求，则该分析批的测定结果作废。</w:t>
      </w:r>
    </w:p>
    <w:p w:rsidR="00EF0D99" w:rsidRPr="00B57F1D" w:rsidRDefault="00EF0D99" w:rsidP="00EF0D99">
      <w:pPr>
        <w:spacing w:line="360" w:lineRule="auto"/>
        <w:ind w:firstLineChars="200" w:firstLine="420"/>
        <w:rPr>
          <w:szCs w:val="21"/>
        </w:rPr>
      </w:pPr>
      <w:r w:rsidRPr="00B57F1D">
        <w:rPr>
          <w:szCs w:val="21"/>
        </w:rPr>
        <w:t>每个待测样品一般只做单次测定，必要时（如重现性和</w:t>
      </w:r>
      <w:r w:rsidRPr="00B57F1D">
        <w:rPr>
          <w:szCs w:val="21"/>
        </w:rPr>
        <w:t>/</w:t>
      </w:r>
      <w:r w:rsidRPr="00B57F1D">
        <w:rPr>
          <w:szCs w:val="21"/>
        </w:rPr>
        <w:t>或准确性差时）可重复测定。影响微生物学法和免疫学法可靠性的关键因素是准确性，如果重复测定能改善方法的准确性，则应在方法确证和待测样品分析中做重复测定。复测的标准应在试验之前确定，并记载于方法的标准操作规程（</w:t>
      </w:r>
      <w:r w:rsidRPr="00B57F1D">
        <w:rPr>
          <w:szCs w:val="21"/>
        </w:rPr>
        <w:t>standard operating procedures</w:t>
      </w:r>
      <w:r w:rsidRPr="00B57F1D">
        <w:rPr>
          <w:szCs w:val="21"/>
        </w:rPr>
        <w:t>，</w:t>
      </w:r>
      <w:r w:rsidRPr="00B57F1D">
        <w:rPr>
          <w:szCs w:val="21"/>
        </w:rPr>
        <w:t>SOP</w:t>
      </w:r>
      <w:r w:rsidRPr="00B57F1D">
        <w:rPr>
          <w:szCs w:val="21"/>
        </w:rPr>
        <w:t>）之中。</w:t>
      </w:r>
    </w:p>
    <w:p w:rsidR="00EF0D99" w:rsidRPr="00B57F1D" w:rsidRDefault="00EF0D99" w:rsidP="00EF0D99">
      <w:pPr>
        <w:spacing w:line="360" w:lineRule="auto"/>
        <w:ind w:firstLineChars="200" w:firstLine="420"/>
        <w:rPr>
          <w:szCs w:val="21"/>
        </w:rPr>
      </w:pPr>
      <w:r w:rsidRPr="00B57F1D">
        <w:rPr>
          <w:szCs w:val="21"/>
        </w:rPr>
        <w:t>浓度高于定量上限的样品，应使用空白样品的提取液稀释后重新测定。对于浓度低于定量下限的样品，在峰浓度（</w:t>
      </w:r>
      <w:proofErr w:type="spellStart"/>
      <w:r w:rsidRPr="00B57F1D">
        <w:rPr>
          <w:szCs w:val="21"/>
        </w:rPr>
        <w:t>Cmax</w:t>
      </w:r>
      <w:proofErr w:type="spellEnd"/>
      <w:r w:rsidRPr="00B57F1D">
        <w:rPr>
          <w:szCs w:val="21"/>
        </w:rPr>
        <w:t>）前采样的，以零值计；在</w:t>
      </w:r>
      <w:proofErr w:type="spellStart"/>
      <w:r w:rsidRPr="00B57F1D">
        <w:rPr>
          <w:szCs w:val="21"/>
        </w:rPr>
        <w:t>Cmax</w:t>
      </w:r>
      <w:proofErr w:type="spellEnd"/>
      <w:r w:rsidRPr="00B57F1D">
        <w:rPr>
          <w:szCs w:val="21"/>
        </w:rPr>
        <w:t>后采样的，以无法定量（</w:t>
      </w:r>
      <w:proofErr w:type="spellStart"/>
      <w:r w:rsidRPr="00B57F1D">
        <w:rPr>
          <w:szCs w:val="21"/>
        </w:rPr>
        <w:t>not</w:t>
      </w:r>
      <w:proofErr w:type="spellEnd"/>
      <w:r w:rsidRPr="00B57F1D">
        <w:rPr>
          <w:szCs w:val="21"/>
        </w:rPr>
        <w:t xml:space="preserve"> detectable</w:t>
      </w:r>
      <w:r w:rsidRPr="00B57F1D">
        <w:rPr>
          <w:szCs w:val="21"/>
        </w:rPr>
        <w:t>，</w:t>
      </w:r>
      <w:r w:rsidRPr="00B57F1D">
        <w:rPr>
          <w:szCs w:val="21"/>
        </w:rPr>
        <w:t>ND</w:t>
      </w:r>
      <w:r w:rsidRPr="00B57F1D">
        <w:rPr>
          <w:szCs w:val="21"/>
        </w:rPr>
        <w:t>）处理，以减小零值对</w:t>
      </w:r>
      <w:r w:rsidRPr="00B57F1D">
        <w:rPr>
          <w:szCs w:val="21"/>
        </w:rPr>
        <w:t>AUC</w:t>
      </w:r>
      <w:r w:rsidRPr="00B57F1D">
        <w:rPr>
          <w:szCs w:val="21"/>
        </w:rPr>
        <w:t>计算的影响。</w:t>
      </w:r>
    </w:p>
    <w:p w:rsidR="00EF0D99" w:rsidRPr="00B57F1D" w:rsidRDefault="00EF0D99" w:rsidP="00EF0D99">
      <w:pPr>
        <w:spacing w:line="360" w:lineRule="auto"/>
        <w:ind w:firstLineChars="200" w:firstLine="420"/>
        <w:rPr>
          <w:szCs w:val="21"/>
        </w:rPr>
      </w:pPr>
      <w:r w:rsidRPr="00B57F1D">
        <w:rPr>
          <w:szCs w:val="21"/>
        </w:rPr>
        <w:t>整个分析过程应遵从预先制订的</w:t>
      </w:r>
      <w:r w:rsidRPr="00B57F1D">
        <w:rPr>
          <w:szCs w:val="21"/>
        </w:rPr>
        <w:t>SOP</w:t>
      </w:r>
      <w:r w:rsidRPr="00B57F1D">
        <w:rPr>
          <w:szCs w:val="21"/>
        </w:rPr>
        <w:t>和</w:t>
      </w:r>
      <w:r w:rsidRPr="00B57F1D">
        <w:rPr>
          <w:szCs w:val="21"/>
        </w:rPr>
        <w:t>GLP</w:t>
      </w:r>
      <w:r w:rsidRPr="00B57F1D">
        <w:rPr>
          <w:szCs w:val="21"/>
        </w:rPr>
        <w:t>原则。</w:t>
      </w:r>
    </w:p>
    <w:p w:rsidR="00EF0D99" w:rsidRPr="000B30F5" w:rsidRDefault="00EF0D99" w:rsidP="00EF0D99">
      <w:pPr>
        <w:spacing w:line="360" w:lineRule="auto"/>
        <w:jc w:val="center"/>
        <w:rPr>
          <w:rFonts w:eastAsia="黑体"/>
          <w:sz w:val="30"/>
          <w:szCs w:val="30"/>
        </w:rPr>
      </w:pPr>
      <w:r w:rsidRPr="000B30F5">
        <w:rPr>
          <w:rFonts w:eastAsia="黑体"/>
          <w:sz w:val="30"/>
          <w:szCs w:val="30"/>
        </w:rPr>
        <w:t>三、试验设计</w:t>
      </w:r>
    </w:p>
    <w:p w:rsidR="00EF0D99" w:rsidRPr="000B30F5" w:rsidRDefault="00EF0D99" w:rsidP="00EF0D99">
      <w:pPr>
        <w:spacing w:line="360" w:lineRule="auto"/>
        <w:rPr>
          <w:rFonts w:eastAsia="黑体"/>
          <w:sz w:val="28"/>
          <w:szCs w:val="28"/>
        </w:rPr>
      </w:pPr>
      <w:r w:rsidRPr="000B30F5">
        <w:rPr>
          <w:rFonts w:eastAsia="黑体"/>
          <w:sz w:val="28"/>
          <w:szCs w:val="28"/>
        </w:rPr>
        <w:t>（一）药</w:t>
      </w:r>
      <w:r w:rsidRPr="000B30F5">
        <w:rPr>
          <w:rFonts w:eastAsia="黑体"/>
          <w:sz w:val="28"/>
          <w:szCs w:val="28"/>
        </w:rPr>
        <w:t>-</w:t>
      </w:r>
      <w:r w:rsidRPr="000B30F5">
        <w:rPr>
          <w:rFonts w:eastAsia="黑体"/>
          <w:sz w:val="28"/>
          <w:szCs w:val="28"/>
        </w:rPr>
        <w:t>时曲线和药动学参数研究</w:t>
      </w:r>
    </w:p>
    <w:p w:rsidR="00EF0D99" w:rsidRPr="00B57F1D" w:rsidRDefault="00EF0D99" w:rsidP="00EF0D99">
      <w:pPr>
        <w:spacing w:line="360" w:lineRule="auto"/>
        <w:ind w:firstLineChars="200" w:firstLine="420"/>
        <w:rPr>
          <w:rFonts w:eastAsia="黑体"/>
          <w:szCs w:val="21"/>
        </w:rPr>
      </w:pPr>
      <w:r w:rsidRPr="00B57F1D">
        <w:rPr>
          <w:rFonts w:eastAsia="黑体"/>
          <w:szCs w:val="21"/>
        </w:rPr>
        <w:t>1.</w:t>
      </w:r>
      <w:r w:rsidRPr="00B57F1D">
        <w:rPr>
          <w:rFonts w:eastAsia="黑体"/>
          <w:szCs w:val="21"/>
        </w:rPr>
        <w:t>受试物</w:t>
      </w:r>
    </w:p>
    <w:p w:rsidR="00EF0D99" w:rsidRPr="00B57F1D" w:rsidRDefault="00EF0D99" w:rsidP="00EF0D99">
      <w:pPr>
        <w:spacing w:line="360" w:lineRule="auto"/>
        <w:ind w:firstLineChars="200" w:firstLine="420"/>
        <w:rPr>
          <w:szCs w:val="21"/>
        </w:rPr>
      </w:pPr>
      <w:r w:rsidRPr="00B57F1D">
        <w:rPr>
          <w:szCs w:val="21"/>
        </w:rPr>
        <w:t>应提供受试物的名称、剂型、批号、来源、纯度、保存条件、配制方法及研制单位的质检报告。剂型应与药效学研究所用的相一致。</w:t>
      </w:r>
    </w:p>
    <w:p w:rsidR="00EF0D99" w:rsidRPr="00B57F1D" w:rsidRDefault="00EF0D99" w:rsidP="00EF0D99">
      <w:pPr>
        <w:spacing w:line="360" w:lineRule="auto"/>
        <w:ind w:firstLineChars="200" w:firstLine="420"/>
        <w:rPr>
          <w:rFonts w:eastAsia="黑体"/>
          <w:szCs w:val="21"/>
        </w:rPr>
      </w:pPr>
      <w:r w:rsidRPr="00B57F1D">
        <w:rPr>
          <w:rFonts w:eastAsia="黑体"/>
          <w:szCs w:val="21"/>
        </w:rPr>
        <w:t>2.</w:t>
      </w:r>
      <w:r w:rsidRPr="00B57F1D">
        <w:rPr>
          <w:rFonts w:eastAsia="黑体"/>
          <w:szCs w:val="21"/>
        </w:rPr>
        <w:t>试验动物</w:t>
      </w:r>
    </w:p>
    <w:p w:rsidR="00EF0D99" w:rsidRPr="00B57F1D" w:rsidRDefault="00EF0D99" w:rsidP="00EF0D99">
      <w:pPr>
        <w:spacing w:line="360" w:lineRule="auto"/>
        <w:ind w:firstLineChars="200" w:firstLine="420"/>
        <w:rPr>
          <w:szCs w:val="21"/>
        </w:rPr>
      </w:pPr>
      <w:r w:rsidRPr="00B57F1D">
        <w:rPr>
          <w:szCs w:val="21"/>
        </w:rPr>
        <w:t>动物品种有小鼠、大鼠、兔、豚鼠、犬等。</w:t>
      </w:r>
    </w:p>
    <w:p w:rsidR="00EF0D99" w:rsidRPr="00B57F1D" w:rsidRDefault="00EF0D99" w:rsidP="00EF0D99">
      <w:pPr>
        <w:spacing w:line="360" w:lineRule="auto"/>
        <w:ind w:firstLineChars="200" w:firstLine="420"/>
        <w:rPr>
          <w:szCs w:val="21"/>
        </w:rPr>
      </w:pPr>
      <w:r w:rsidRPr="00B57F1D">
        <w:rPr>
          <w:szCs w:val="21"/>
        </w:rPr>
        <w:t>选择原则：一般用成年、健康、清醒（不麻醉）的动物。首选动物要尽可能与药效学及毒理学的研究一致，创新药应使用两种或两种以上动物（一种为啮齿类，另一种为非啮齿类），其他类药可只用一种动物。同一动物应能多次采样。</w:t>
      </w:r>
    </w:p>
    <w:p w:rsidR="00EF0D99" w:rsidRPr="00B57F1D" w:rsidRDefault="00EF0D99" w:rsidP="00EF0D99">
      <w:pPr>
        <w:spacing w:line="360" w:lineRule="auto"/>
        <w:ind w:firstLineChars="200" w:firstLine="420"/>
        <w:rPr>
          <w:szCs w:val="21"/>
        </w:rPr>
      </w:pPr>
      <w:r w:rsidRPr="00B57F1D">
        <w:rPr>
          <w:szCs w:val="21"/>
        </w:rPr>
        <w:t>以药</w:t>
      </w:r>
      <w:r w:rsidRPr="00B57F1D">
        <w:rPr>
          <w:szCs w:val="21"/>
        </w:rPr>
        <w:t>-</w:t>
      </w:r>
      <w:r w:rsidRPr="00B57F1D">
        <w:rPr>
          <w:szCs w:val="21"/>
        </w:rPr>
        <w:t>时曲线每个时间点不少于</w:t>
      </w:r>
      <w:r w:rsidRPr="00B57F1D">
        <w:rPr>
          <w:szCs w:val="21"/>
        </w:rPr>
        <w:t>5</w:t>
      </w:r>
      <w:r w:rsidRPr="00B57F1D">
        <w:rPr>
          <w:szCs w:val="21"/>
        </w:rPr>
        <w:t>只动物的数据为限计算所需动物数。应尽量从同一动物多次取样，避免用多只动物合并的数据。采用多只动物合并数据的，应增加动物数，以减少个体差异的影响。受试动物宜雌雄各半。如发现药动学存在明显的性别差异，应增加动物数。对于单一性别用药物，可选择与临床用药一致的性别做试验。</w:t>
      </w:r>
    </w:p>
    <w:p w:rsidR="00EF0D99" w:rsidRPr="00B57F1D" w:rsidRDefault="00EF0D99" w:rsidP="00EF0D99">
      <w:pPr>
        <w:spacing w:line="360" w:lineRule="auto"/>
        <w:ind w:firstLineChars="200" w:firstLine="420"/>
        <w:rPr>
          <w:rFonts w:eastAsia="黑体"/>
          <w:szCs w:val="21"/>
        </w:rPr>
      </w:pPr>
      <w:r w:rsidRPr="00B57F1D">
        <w:rPr>
          <w:rFonts w:eastAsia="黑体"/>
          <w:szCs w:val="21"/>
        </w:rPr>
        <w:t>3.</w:t>
      </w:r>
      <w:r w:rsidRPr="00B57F1D">
        <w:rPr>
          <w:rFonts w:eastAsia="黑体"/>
          <w:szCs w:val="21"/>
        </w:rPr>
        <w:t>给药方案</w:t>
      </w:r>
    </w:p>
    <w:p w:rsidR="00EF0D99" w:rsidRPr="00B57F1D" w:rsidRDefault="00EF0D99" w:rsidP="00EF0D99">
      <w:pPr>
        <w:spacing w:line="360" w:lineRule="auto"/>
        <w:ind w:firstLineChars="200" w:firstLine="420"/>
        <w:rPr>
          <w:szCs w:val="21"/>
        </w:rPr>
      </w:pPr>
      <w:r w:rsidRPr="00B57F1D">
        <w:rPr>
          <w:szCs w:val="21"/>
        </w:rPr>
        <w:lastRenderedPageBreak/>
        <w:t>给药途径、方式和次数，应尽可能与临床用药一致。口服给药的，动物一般在给药前禁食</w:t>
      </w:r>
      <w:r w:rsidRPr="00B57F1D">
        <w:rPr>
          <w:szCs w:val="21"/>
        </w:rPr>
        <w:t>12</w:t>
      </w:r>
      <w:r w:rsidRPr="00B57F1D">
        <w:rPr>
          <w:szCs w:val="21"/>
        </w:rPr>
        <w:t>小时以上。给药后的禁食时间，应根据具体情况统一规定，以避免数据波动和食物的影响。</w:t>
      </w:r>
    </w:p>
    <w:p w:rsidR="00EF0D99" w:rsidRPr="00B57F1D" w:rsidRDefault="00EF0D99" w:rsidP="00EF0D99">
      <w:pPr>
        <w:spacing w:line="360" w:lineRule="auto"/>
        <w:ind w:firstLineChars="200" w:firstLine="420"/>
        <w:rPr>
          <w:szCs w:val="21"/>
        </w:rPr>
      </w:pPr>
      <w:r w:rsidRPr="00B57F1D">
        <w:rPr>
          <w:szCs w:val="21"/>
        </w:rPr>
        <w:t>试验剂量至少用</w:t>
      </w:r>
      <w:r w:rsidRPr="00B57F1D">
        <w:rPr>
          <w:szCs w:val="21"/>
        </w:rPr>
        <w:t>2</w:t>
      </w:r>
      <w:r w:rsidRPr="00B57F1D">
        <w:rPr>
          <w:szCs w:val="21"/>
        </w:rPr>
        <w:t>～</w:t>
      </w:r>
      <w:r w:rsidRPr="00B57F1D">
        <w:rPr>
          <w:szCs w:val="21"/>
        </w:rPr>
        <w:t>3</w:t>
      </w:r>
      <w:r w:rsidRPr="00B57F1D">
        <w:rPr>
          <w:szCs w:val="21"/>
        </w:rPr>
        <w:t>个，以便考察药物的</w:t>
      </w:r>
      <w:proofErr w:type="gramStart"/>
      <w:r w:rsidRPr="00B57F1D">
        <w:rPr>
          <w:szCs w:val="21"/>
        </w:rPr>
        <w:t>体内过程</w:t>
      </w:r>
      <w:proofErr w:type="gramEnd"/>
      <w:r w:rsidRPr="00B57F1D">
        <w:rPr>
          <w:szCs w:val="21"/>
        </w:rPr>
        <w:t>会否出现非线性。高剂量最好接近最大耐受剂量，中、小剂量</w:t>
      </w:r>
      <w:proofErr w:type="gramStart"/>
      <w:r w:rsidRPr="00B57F1D">
        <w:rPr>
          <w:szCs w:val="21"/>
        </w:rPr>
        <w:t>取有效</w:t>
      </w:r>
      <w:proofErr w:type="gramEnd"/>
      <w:r w:rsidRPr="00B57F1D">
        <w:rPr>
          <w:szCs w:val="21"/>
        </w:rPr>
        <w:t>剂量的上、下限。</w:t>
      </w:r>
    </w:p>
    <w:p w:rsidR="00EF0D99" w:rsidRPr="00B57F1D" w:rsidRDefault="00EF0D99" w:rsidP="00EF0D99">
      <w:pPr>
        <w:spacing w:line="360" w:lineRule="auto"/>
        <w:ind w:firstLineChars="200" w:firstLine="420"/>
        <w:rPr>
          <w:szCs w:val="21"/>
        </w:rPr>
      </w:pPr>
      <w:r w:rsidRPr="00B57F1D">
        <w:rPr>
          <w:szCs w:val="21"/>
        </w:rPr>
        <w:t>对于消除半衰期长（如给药间隔短于</w:t>
      </w:r>
      <w:r w:rsidRPr="00B57F1D">
        <w:rPr>
          <w:szCs w:val="21"/>
        </w:rPr>
        <w:t>4</w:t>
      </w:r>
      <w:r w:rsidRPr="00B57F1D">
        <w:rPr>
          <w:szCs w:val="21"/>
        </w:rPr>
        <w:t>个</w:t>
      </w:r>
      <w:r w:rsidRPr="00B57F1D">
        <w:rPr>
          <w:szCs w:val="21"/>
        </w:rPr>
        <w:t>t</w:t>
      </w:r>
      <w:r w:rsidRPr="00B57F1D">
        <w:rPr>
          <w:szCs w:val="21"/>
          <w:vertAlign w:val="subscript"/>
        </w:rPr>
        <w:t>1/2</w:t>
      </w:r>
      <w:r w:rsidRPr="00B57F1D">
        <w:rPr>
          <w:szCs w:val="21"/>
        </w:rPr>
        <w:t>）、有蓄积倾向且临床需重复给药的药物，应进行多次给药的药代动力学研究。多次给药的药动学一般用一种剂量（有效剂量）试验。根据药效学和单次给药的药代动力学结果，确定给药剂量、间隔和疗程。</w:t>
      </w:r>
    </w:p>
    <w:p w:rsidR="00EF0D99" w:rsidRPr="00B57F1D" w:rsidRDefault="00EF0D99" w:rsidP="00EF0D99">
      <w:pPr>
        <w:spacing w:line="360" w:lineRule="auto"/>
        <w:ind w:firstLineChars="200" w:firstLine="420"/>
        <w:rPr>
          <w:rFonts w:eastAsia="黑体"/>
          <w:szCs w:val="21"/>
        </w:rPr>
      </w:pPr>
      <w:r w:rsidRPr="00B57F1D">
        <w:rPr>
          <w:rFonts w:eastAsia="黑体"/>
          <w:szCs w:val="21"/>
        </w:rPr>
        <w:t>4.</w:t>
      </w:r>
      <w:r w:rsidRPr="00B57F1D">
        <w:rPr>
          <w:rFonts w:eastAsia="黑体"/>
          <w:szCs w:val="21"/>
        </w:rPr>
        <w:t>采样</w:t>
      </w:r>
    </w:p>
    <w:p w:rsidR="00EF0D99" w:rsidRPr="00B57F1D" w:rsidRDefault="00EF0D99" w:rsidP="00EF0D99">
      <w:pPr>
        <w:spacing w:line="360" w:lineRule="auto"/>
        <w:ind w:firstLineChars="200" w:firstLine="420"/>
        <w:rPr>
          <w:szCs w:val="21"/>
        </w:rPr>
      </w:pPr>
      <w:r w:rsidRPr="00B57F1D">
        <w:rPr>
          <w:szCs w:val="21"/>
        </w:rPr>
        <w:t>采样点的安排对完整药</w:t>
      </w:r>
      <w:r w:rsidRPr="00B57F1D">
        <w:rPr>
          <w:szCs w:val="21"/>
        </w:rPr>
        <w:t>-</w:t>
      </w:r>
      <w:r w:rsidRPr="00B57F1D">
        <w:rPr>
          <w:szCs w:val="21"/>
        </w:rPr>
        <w:t>时曲线和药动学参数获得影响很大。采样点应覆盖药物的吸收相、平衡相和消除相。吸收相不少于</w:t>
      </w:r>
      <w:r w:rsidRPr="00B57F1D">
        <w:rPr>
          <w:szCs w:val="21"/>
        </w:rPr>
        <w:t>3</w:t>
      </w:r>
      <w:r w:rsidRPr="00B57F1D">
        <w:rPr>
          <w:szCs w:val="21"/>
        </w:rPr>
        <w:t>个点，</w:t>
      </w:r>
      <w:proofErr w:type="gramStart"/>
      <w:r w:rsidRPr="00B57F1D">
        <w:rPr>
          <w:szCs w:val="21"/>
        </w:rPr>
        <w:t>血药峰浓度</w:t>
      </w:r>
      <w:proofErr w:type="gramEnd"/>
      <w:r w:rsidRPr="00B57F1D">
        <w:rPr>
          <w:szCs w:val="21"/>
        </w:rPr>
        <w:t>（</w:t>
      </w:r>
      <w:proofErr w:type="spellStart"/>
      <w:r w:rsidRPr="00B57F1D">
        <w:rPr>
          <w:szCs w:val="21"/>
        </w:rPr>
        <w:t>C</w:t>
      </w:r>
      <w:r w:rsidRPr="00B57F1D">
        <w:rPr>
          <w:szCs w:val="21"/>
          <w:vertAlign w:val="subscript"/>
        </w:rPr>
        <w:t>max</w:t>
      </w:r>
      <w:proofErr w:type="spellEnd"/>
      <w:r w:rsidRPr="00B57F1D">
        <w:rPr>
          <w:szCs w:val="21"/>
        </w:rPr>
        <w:t>）附近至少要</w:t>
      </w:r>
      <w:r w:rsidRPr="00B57F1D">
        <w:rPr>
          <w:szCs w:val="21"/>
        </w:rPr>
        <w:t>3</w:t>
      </w:r>
      <w:r w:rsidRPr="00B57F1D">
        <w:rPr>
          <w:szCs w:val="21"/>
        </w:rPr>
        <w:t>个点，消除相</w:t>
      </w:r>
      <w:r w:rsidRPr="00B57F1D">
        <w:rPr>
          <w:szCs w:val="21"/>
        </w:rPr>
        <w:t>4~6</w:t>
      </w:r>
      <w:r w:rsidRPr="00B57F1D">
        <w:rPr>
          <w:szCs w:val="21"/>
        </w:rPr>
        <w:t>个点。对于血管外给药吸收快的药物，应</w:t>
      </w:r>
      <w:proofErr w:type="gramStart"/>
      <w:r w:rsidRPr="00B57F1D">
        <w:rPr>
          <w:szCs w:val="21"/>
        </w:rPr>
        <w:t>避免第</w:t>
      </w:r>
      <w:proofErr w:type="gramEnd"/>
      <w:r w:rsidRPr="00B57F1D">
        <w:rPr>
          <w:szCs w:val="21"/>
        </w:rPr>
        <w:t>一点是峰浓度。采样时间至少应持续到</w:t>
      </w:r>
      <w:r w:rsidRPr="00B57F1D">
        <w:rPr>
          <w:szCs w:val="21"/>
        </w:rPr>
        <w:t>3</w:t>
      </w:r>
      <w:r w:rsidRPr="00B57F1D">
        <w:rPr>
          <w:szCs w:val="21"/>
        </w:rPr>
        <w:t>～</w:t>
      </w:r>
      <w:r w:rsidRPr="00B57F1D">
        <w:rPr>
          <w:szCs w:val="21"/>
        </w:rPr>
        <w:t>5</w:t>
      </w:r>
      <w:r w:rsidRPr="00B57F1D">
        <w:rPr>
          <w:szCs w:val="21"/>
        </w:rPr>
        <w:t>个消除半衰期（</w:t>
      </w:r>
      <w:r w:rsidRPr="00B57F1D">
        <w:rPr>
          <w:szCs w:val="21"/>
        </w:rPr>
        <w:t>t</w:t>
      </w:r>
      <w:r w:rsidRPr="00B57F1D">
        <w:rPr>
          <w:szCs w:val="21"/>
          <w:vertAlign w:val="subscript"/>
        </w:rPr>
        <w:t>1/2</w:t>
      </w:r>
      <w:r w:rsidRPr="00B57F1D">
        <w:rPr>
          <w:szCs w:val="21"/>
        </w:rPr>
        <w:t>）或</w:t>
      </w:r>
      <w:proofErr w:type="spellStart"/>
      <w:r w:rsidRPr="00B57F1D">
        <w:rPr>
          <w:szCs w:val="21"/>
        </w:rPr>
        <w:t>C</w:t>
      </w:r>
      <w:r w:rsidRPr="00B57F1D">
        <w:rPr>
          <w:szCs w:val="21"/>
          <w:vertAlign w:val="subscript"/>
        </w:rPr>
        <w:t>max</w:t>
      </w:r>
      <w:proofErr w:type="spellEnd"/>
      <w:r w:rsidRPr="00B57F1D">
        <w:rPr>
          <w:szCs w:val="21"/>
        </w:rPr>
        <w:t>的</w:t>
      </w:r>
      <w:r w:rsidRPr="00B57F1D">
        <w:rPr>
          <w:szCs w:val="21"/>
        </w:rPr>
        <w:t>1/20~1/10</w:t>
      </w:r>
      <w:r w:rsidRPr="00B57F1D">
        <w:rPr>
          <w:szCs w:val="21"/>
        </w:rPr>
        <w:t>。给药前采空白样品。试前应通过预试确定合理的采样点。</w:t>
      </w:r>
    </w:p>
    <w:p w:rsidR="00EF0D99" w:rsidRPr="00B57F1D" w:rsidRDefault="00EF0D99" w:rsidP="00EF0D99">
      <w:pPr>
        <w:spacing w:line="360" w:lineRule="auto"/>
        <w:ind w:firstLineChars="200" w:firstLine="420"/>
        <w:rPr>
          <w:rFonts w:eastAsia="黑体"/>
          <w:szCs w:val="21"/>
        </w:rPr>
      </w:pPr>
      <w:r w:rsidRPr="00B57F1D">
        <w:rPr>
          <w:rFonts w:eastAsia="黑体"/>
          <w:szCs w:val="21"/>
        </w:rPr>
        <w:t>5.</w:t>
      </w:r>
      <w:r w:rsidRPr="00B57F1D">
        <w:rPr>
          <w:rFonts w:eastAsia="黑体"/>
          <w:szCs w:val="21"/>
        </w:rPr>
        <w:t>数据处理与分析</w:t>
      </w:r>
    </w:p>
    <w:p w:rsidR="00EF0D99" w:rsidRPr="00B57F1D" w:rsidRDefault="00EF0D99" w:rsidP="00EF0D99">
      <w:pPr>
        <w:spacing w:line="360" w:lineRule="auto"/>
        <w:ind w:firstLineChars="200" w:firstLine="420"/>
        <w:rPr>
          <w:szCs w:val="21"/>
        </w:rPr>
      </w:pPr>
      <w:r w:rsidRPr="00B57F1D">
        <w:rPr>
          <w:szCs w:val="21"/>
        </w:rPr>
        <w:t>要选用合适的数据处理及统计学方法。计算机程序要注明名称、版本和来源。</w:t>
      </w:r>
    </w:p>
    <w:p w:rsidR="00EF0D99" w:rsidRPr="00B57F1D" w:rsidRDefault="00EF0D99" w:rsidP="00EF0D99">
      <w:pPr>
        <w:spacing w:line="360" w:lineRule="auto"/>
        <w:ind w:firstLineChars="200" w:firstLine="420"/>
        <w:rPr>
          <w:szCs w:val="21"/>
        </w:rPr>
      </w:pPr>
      <w:r w:rsidRPr="00B57F1D">
        <w:rPr>
          <w:szCs w:val="21"/>
        </w:rPr>
        <w:t>应由每个动物的血药浓度</w:t>
      </w:r>
      <w:r w:rsidRPr="00B57F1D">
        <w:rPr>
          <w:szCs w:val="21"/>
        </w:rPr>
        <w:t>-</w:t>
      </w:r>
      <w:r w:rsidRPr="00B57F1D">
        <w:rPr>
          <w:szCs w:val="21"/>
        </w:rPr>
        <w:t>时间数据分别计算药代动力学参数。静脉注射给药，要求计算</w:t>
      </w:r>
      <w:r w:rsidRPr="00B57F1D">
        <w:rPr>
          <w:szCs w:val="21"/>
        </w:rPr>
        <w:t>t</w:t>
      </w:r>
      <w:r w:rsidRPr="00B57F1D">
        <w:rPr>
          <w:szCs w:val="21"/>
          <w:vertAlign w:val="subscript"/>
        </w:rPr>
        <w:t>1/2</w:t>
      </w:r>
      <w:r w:rsidRPr="00B57F1D">
        <w:rPr>
          <w:szCs w:val="21"/>
        </w:rPr>
        <w:t>、表观分布容积（</w:t>
      </w:r>
      <w:proofErr w:type="spellStart"/>
      <w:r w:rsidRPr="00B57F1D">
        <w:rPr>
          <w:szCs w:val="21"/>
        </w:rPr>
        <w:t>V</w:t>
      </w:r>
      <w:r w:rsidRPr="00B57F1D">
        <w:rPr>
          <w:szCs w:val="21"/>
          <w:vertAlign w:val="subscript"/>
        </w:rPr>
        <w:t>d</w:t>
      </w:r>
      <w:proofErr w:type="spellEnd"/>
      <w:r w:rsidRPr="00B57F1D">
        <w:rPr>
          <w:szCs w:val="21"/>
        </w:rPr>
        <w:t>）、血药浓度</w:t>
      </w:r>
      <w:r w:rsidRPr="00B57F1D">
        <w:rPr>
          <w:szCs w:val="21"/>
        </w:rPr>
        <w:t>-</w:t>
      </w:r>
      <w:r w:rsidRPr="00B57F1D">
        <w:rPr>
          <w:szCs w:val="21"/>
        </w:rPr>
        <w:t>时间曲线下面积（</w:t>
      </w:r>
      <w:r w:rsidRPr="00B57F1D">
        <w:rPr>
          <w:szCs w:val="21"/>
        </w:rPr>
        <w:t>AUC</w:t>
      </w:r>
      <w:r w:rsidRPr="00B57F1D">
        <w:rPr>
          <w:szCs w:val="21"/>
        </w:rPr>
        <w:t>）和清除率（</w:t>
      </w:r>
      <w:r w:rsidRPr="00B57F1D">
        <w:rPr>
          <w:szCs w:val="21"/>
        </w:rPr>
        <w:t>CL</w:t>
      </w:r>
      <w:r w:rsidRPr="00B57F1D">
        <w:rPr>
          <w:szCs w:val="21"/>
        </w:rPr>
        <w:t>）等。可同时用</w:t>
      </w:r>
      <w:proofErr w:type="gramStart"/>
      <w:r w:rsidRPr="00B57F1D">
        <w:rPr>
          <w:szCs w:val="21"/>
        </w:rPr>
        <w:t>统计矩法计算</w:t>
      </w:r>
      <w:proofErr w:type="gramEnd"/>
      <w:r w:rsidRPr="00B57F1D">
        <w:rPr>
          <w:szCs w:val="21"/>
        </w:rPr>
        <w:t>平均滞留时间（</w:t>
      </w:r>
      <w:r w:rsidRPr="00B57F1D">
        <w:rPr>
          <w:szCs w:val="21"/>
        </w:rPr>
        <w:t>MRT</w:t>
      </w:r>
      <w:r w:rsidRPr="00B57F1D">
        <w:rPr>
          <w:szCs w:val="21"/>
        </w:rPr>
        <w:t>）和药时曲线下面积（</w:t>
      </w:r>
      <w:r w:rsidRPr="00B57F1D">
        <w:rPr>
          <w:szCs w:val="21"/>
        </w:rPr>
        <w:t>AUC</w:t>
      </w:r>
      <w:r w:rsidRPr="00B57F1D">
        <w:rPr>
          <w:szCs w:val="21"/>
          <w:vertAlign w:val="subscript"/>
        </w:rPr>
        <w:t>0-t</w:t>
      </w:r>
      <w:r w:rsidRPr="00B57F1D">
        <w:rPr>
          <w:szCs w:val="21"/>
        </w:rPr>
        <w:t>，</w:t>
      </w:r>
      <w:r w:rsidRPr="00B57F1D">
        <w:rPr>
          <w:szCs w:val="21"/>
        </w:rPr>
        <w:t>AUC</w:t>
      </w:r>
      <w:r w:rsidRPr="00B57F1D">
        <w:rPr>
          <w:szCs w:val="21"/>
          <w:vertAlign w:val="subscript"/>
        </w:rPr>
        <w:t>0-∞</w:t>
      </w:r>
      <w:r w:rsidRPr="00B57F1D">
        <w:rPr>
          <w:szCs w:val="21"/>
        </w:rPr>
        <w:t>）。血管外给药，除上述参数外，尚须得出</w:t>
      </w:r>
      <w:proofErr w:type="spellStart"/>
      <w:r w:rsidRPr="00B57F1D">
        <w:rPr>
          <w:szCs w:val="21"/>
        </w:rPr>
        <w:t>C</w:t>
      </w:r>
      <w:r w:rsidRPr="00B57F1D">
        <w:rPr>
          <w:szCs w:val="21"/>
          <w:vertAlign w:val="subscript"/>
        </w:rPr>
        <w:t>max</w:t>
      </w:r>
      <w:proofErr w:type="spellEnd"/>
      <w:r w:rsidRPr="00B57F1D">
        <w:rPr>
          <w:szCs w:val="21"/>
        </w:rPr>
        <w:t>、达峰时间（</w:t>
      </w:r>
      <w:proofErr w:type="spellStart"/>
      <w:r w:rsidRPr="00B57F1D">
        <w:rPr>
          <w:szCs w:val="21"/>
        </w:rPr>
        <w:t>t</w:t>
      </w:r>
      <w:r w:rsidRPr="00B57F1D">
        <w:rPr>
          <w:szCs w:val="21"/>
          <w:vertAlign w:val="subscript"/>
        </w:rPr>
        <w:t>max</w:t>
      </w:r>
      <w:proofErr w:type="spellEnd"/>
      <w:r w:rsidRPr="00B57F1D">
        <w:rPr>
          <w:szCs w:val="21"/>
        </w:rPr>
        <w:t>）和吸收速率常数（</w:t>
      </w:r>
      <w:proofErr w:type="spellStart"/>
      <w:r w:rsidRPr="00B57F1D">
        <w:rPr>
          <w:szCs w:val="21"/>
        </w:rPr>
        <w:t>K</w:t>
      </w:r>
      <w:r w:rsidRPr="00B57F1D">
        <w:rPr>
          <w:szCs w:val="21"/>
          <w:vertAlign w:val="subscript"/>
        </w:rPr>
        <w:t>a</w:t>
      </w:r>
      <w:proofErr w:type="spellEnd"/>
      <w:r w:rsidRPr="00B57F1D">
        <w:rPr>
          <w:szCs w:val="21"/>
        </w:rPr>
        <w:t>）等，以反映药物吸收的规律。</w:t>
      </w:r>
    </w:p>
    <w:p w:rsidR="00EF0D99" w:rsidRPr="000B30F5" w:rsidRDefault="00EF0D99" w:rsidP="00EF0D99">
      <w:pPr>
        <w:spacing w:line="360" w:lineRule="auto"/>
        <w:rPr>
          <w:rFonts w:eastAsia="黑体"/>
          <w:sz w:val="28"/>
          <w:szCs w:val="28"/>
        </w:rPr>
      </w:pPr>
      <w:r w:rsidRPr="000B30F5">
        <w:rPr>
          <w:rFonts w:eastAsia="黑体"/>
          <w:sz w:val="28"/>
          <w:szCs w:val="28"/>
        </w:rPr>
        <w:t>（二）吸收与生物利用度研究</w:t>
      </w:r>
    </w:p>
    <w:p w:rsidR="00EF0D99" w:rsidRPr="00B57F1D" w:rsidRDefault="00EF0D99" w:rsidP="00EF0D99">
      <w:pPr>
        <w:spacing w:line="360" w:lineRule="auto"/>
        <w:ind w:firstLineChars="200" w:firstLine="420"/>
        <w:rPr>
          <w:szCs w:val="21"/>
        </w:rPr>
      </w:pPr>
      <w:r w:rsidRPr="00B57F1D">
        <w:rPr>
          <w:szCs w:val="21"/>
        </w:rPr>
        <w:t>对于经口给药的创新药，应使用整体动物并同时开展血管内给药试验，确定绝对生物利用度。如有必要，可做在体或离体肠道吸收试验，揭示药物吸收的特性及影响因素。</w:t>
      </w:r>
    </w:p>
    <w:p w:rsidR="00EF0D99" w:rsidRPr="00B57F1D" w:rsidRDefault="00EF0D99" w:rsidP="00EF0D99">
      <w:pPr>
        <w:spacing w:line="360" w:lineRule="auto"/>
        <w:ind w:firstLineChars="200" w:firstLine="420"/>
        <w:rPr>
          <w:szCs w:val="21"/>
        </w:rPr>
      </w:pPr>
      <w:r w:rsidRPr="00B57F1D">
        <w:rPr>
          <w:szCs w:val="21"/>
        </w:rPr>
        <w:t>对于血管外给药和其他改变剂型的药物，应尽可能提供绝对生物利用度。</w:t>
      </w:r>
    </w:p>
    <w:p w:rsidR="00EF0D99" w:rsidRPr="000B30F5" w:rsidRDefault="00EF0D99" w:rsidP="00EF0D99">
      <w:pPr>
        <w:spacing w:line="360" w:lineRule="auto"/>
        <w:rPr>
          <w:rFonts w:eastAsia="黑体"/>
          <w:sz w:val="28"/>
          <w:szCs w:val="28"/>
        </w:rPr>
      </w:pPr>
      <w:r w:rsidRPr="000B30F5">
        <w:rPr>
          <w:rFonts w:eastAsia="黑体"/>
          <w:sz w:val="28"/>
          <w:szCs w:val="28"/>
        </w:rPr>
        <w:t>（三）分布及血浆蛋白结合研究</w:t>
      </w:r>
    </w:p>
    <w:p w:rsidR="00EF0D99" w:rsidRPr="00B57F1D" w:rsidRDefault="00EF0D99" w:rsidP="00EF0D99">
      <w:pPr>
        <w:spacing w:line="360" w:lineRule="auto"/>
        <w:ind w:firstLineChars="200" w:firstLine="420"/>
        <w:rPr>
          <w:rFonts w:eastAsia="黑体"/>
          <w:szCs w:val="21"/>
        </w:rPr>
      </w:pPr>
      <w:r w:rsidRPr="00B57F1D">
        <w:rPr>
          <w:rFonts w:eastAsia="黑体"/>
          <w:szCs w:val="21"/>
        </w:rPr>
        <w:t>1.</w:t>
      </w:r>
      <w:r w:rsidRPr="00B57F1D">
        <w:rPr>
          <w:rFonts w:eastAsia="黑体"/>
          <w:szCs w:val="21"/>
        </w:rPr>
        <w:t>分布研究</w:t>
      </w:r>
    </w:p>
    <w:p w:rsidR="00EF0D99" w:rsidRPr="00B57F1D" w:rsidRDefault="00EF0D99" w:rsidP="00EF0D99">
      <w:pPr>
        <w:spacing w:line="360" w:lineRule="auto"/>
        <w:ind w:firstLineChars="200" w:firstLine="420"/>
        <w:rPr>
          <w:szCs w:val="21"/>
        </w:rPr>
      </w:pPr>
      <w:r w:rsidRPr="00B57F1D">
        <w:rPr>
          <w:szCs w:val="21"/>
        </w:rPr>
        <w:t>一般用大鼠或小鼠，做一个剂量（有效剂量）。给药后，一般测定药物在心、肝、脾、肺、肾、胃肠、生殖腺、脑、体脂、骨骼肌等组织的浓度，以了解药物在体内的主要分布组</w:t>
      </w:r>
      <w:r w:rsidRPr="00B57F1D">
        <w:rPr>
          <w:szCs w:val="21"/>
        </w:rPr>
        <w:lastRenderedPageBreak/>
        <w:t>织。要特别注意药物浓度高、蓄积时间长的组织和器官，以及药效或毒性靶器官中药物的分布情况。若药物对造血系统有影响，应考察其在骨髓的分布。参考血药浓度</w:t>
      </w:r>
      <w:r w:rsidRPr="00B57F1D">
        <w:rPr>
          <w:szCs w:val="21"/>
        </w:rPr>
        <w:t>-</w:t>
      </w:r>
      <w:r w:rsidRPr="00B57F1D">
        <w:rPr>
          <w:szCs w:val="21"/>
        </w:rPr>
        <w:t>时间曲线，选取</w:t>
      </w:r>
      <w:r w:rsidRPr="00B57F1D">
        <w:rPr>
          <w:szCs w:val="21"/>
        </w:rPr>
        <w:t>3</w:t>
      </w:r>
      <w:r w:rsidRPr="00B57F1D">
        <w:rPr>
          <w:szCs w:val="21"/>
        </w:rPr>
        <w:t>个时间点分别代表分布相（或吸收相）、平衡相和消除相，以定量考察药物在各个时刻每个组织中的分布。药物浓度较高的组织应增加观测点，以进一步研究消除情况。每个时间点，至少应有</w:t>
      </w:r>
      <w:r w:rsidRPr="00B57F1D">
        <w:rPr>
          <w:szCs w:val="21"/>
        </w:rPr>
        <w:t>5</w:t>
      </w:r>
      <w:r w:rsidRPr="00B57F1D">
        <w:rPr>
          <w:szCs w:val="21"/>
        </w:rPr>
        <w:t>个动物的数据。做分布实验，必须注意取样的代表性，如取</w:t>
      </w:r>
      <w:r w:rsidRPr="00B57F1D">
        <w:rPr>
          <w:szCs w:val="21"/>
        </w:rPr>
        <w:t>1/2</w:t>
      </w:r>
      <w:r w:rsidRPr="00B57F1D">
        <w:rPr>
          <w:szCs w:val="21"/>
        </w:rPr>
        <w:t>或</w:t>
      </w:r>
      <w:r w:rsidRPr="00B57F1D">
        <w:rPr>
          <w:szCs w:val="21"/>
        </w:rPr>
        <w:t>1/4</w:t>
      </w:r>
      <w:r w:rsidRPr="00B57F1D">
        <w:rPr>
          <w:szCs w:val="21"/>
        </w:rPr>
        <w:t>个肾应对称。</w:t>
      </w:r>
    </w:p>
    <w:p w:rsidR="00EF0D99" w:rsidRPr="00B57F1D" w:rsidRDefault="00EF0D99" w:rsidP="00EF0D99">
      <w:pPr>
        <w:spacing w:line="360" w:lineRule="auto"/>
        <w:ind w:firstLineChars="200" w:firstLine="420"/>
        <w:rPr>
          <w:szCs w:val="21"/>
        </w:rPr>
      </w:pPr>
      <w:r w:rsidRPr="00B57F1D">
        <w:rPr>
          <w:szCs w:val="21"/>
        </w:rPr>
        <w:t>以下情况应考虑做重复给药的组织分布研究：药物或代谢物在组织中的消除半衰期明显大于其血浆消除半衰期，并且是毒性研究给药间隔的两倍；重复给药的药代动力学</w:t>
      </w:r>
      <w:proofErr w:type="gramStart"/>
      <w:r w:rsidRPr="00B57F1D">
        <w:rPr>
          <w:szCs w:val="21"/>
        </w:rPr>
        <w:t>或毒代动力学</w:t>
      </w:r>
      <w:proofErr w:type="gramEnd"/>
      <w:r w:rsidRPr="00B57F1D">
        <w:rPr>
          <w:szCs w:val="21"/>
        </w:rPr>
        <w:t>发现，血中药物或代谢物的稳态浓度显著高于单次给药</w:t>
      </w:r>
      <w:proofErr w:type="gramStart"/>
      <w:r w:rsidRPr="00B57F1D">
        <w:rPr>
          <w:szCs w:val="21"/>
        </w:rPr>
        <w:t>药</w:t>
      </w:r>
      <w:proofErr w:type="gramEnd"/>
      <w:r w:rsidRPr="00B57F1D">
        <w:rPr>
          <w:szCs w:val="21"/>
        </w:rPr>
        <w:t>代动力学预期的浓度；在短期毒性、单次给药的组织分布和药效学等研究中观察到未预料的、有重要意义的组织病理学改变；定位靶向释放药物。</w:t>
      </w:r>
    </w:p>
    <w:p w:rsidR="00EF0D99" w:rsidRPr="00B57F1D" w:rsidRDefault="00EF0D99" w:rsidP="00EF0D99">
      <w:pPr>
        <w:spacing w:line="360" w:lineRule="auto"/>
        <w:ind w:firstLineChars="200" w:firstLine="420"/>
        <w:rPr>
          <w:szCs w:val="21"/>
        </w:rPr>
      </w:pPr>
      <w:r w:rsidRPr="00B57F1D">
        <w:rPr>
          <w:szCs w:val="21"/>
        </w:rPr>
        <w:t>采用放射性同位素标记法做组织分布试验的，应说明标记物的放化纯度、标记率（比活性）、标记位置、给药剂量等；放射性分析方法，如分析仪器、本底计数、计数效率、校正因子、样品制备过程等；放射性示踪生物学试验的详细过程，生物样品测定时对放射性衰变进行校正的方程。要尽可能提供给药后不同时相的整体放射自显影图像。</w:t>
      </w:r>
    </w:p>
    <w:p w:rsidR="00EF0D99" w:rsidRPr="00B57F1D" w:rsidRDefault="00EF0D99" w:rsidP="00EF0D99">
      <w:pPr>
        <w:spacing w:line="360" w:lineRule="auto"/>
        <w:ind w:firstLineChars="200" w:firstLine="420"/>
        <w:rPr>
          <w:rFonts w:eastAsia="黑体"/>
          <w:szCs w:val="21"/>
        </w:rPr>
      </w:pPr>
      <w:r w:rsidRPr="00B57F1D">
        <w:rPr>
          <w:rFonts w:eastAsia="黑体"/>
          <w:szCs w:val="21"/>
        </w:rPr>
        <w:t>2.</w:t>
      </w:r>
      <w:r w:rsidRPr="00B57F1D">
        <w:rPr>
          <w:rFonts w:eastAsia="黑体"/>
          <w:szCs w:val="21"/>
        </w:rPr>
        <w:t>血浆蛋白结合研究</w:t>
      </w:r>
    </w:p>
    <w:p w:rsidR="00EF0D99" w:rsidRPr="00B57F1D" w:rsidRDefault="00EF0D99" w:rsidP="00EF0D99">
      <w:pPr>
        <w:spacing w:line="360" w:lineRule="auto"/>
        <w:ind w:firstLineChars="200" w:firstLine="420"/>
        <w:rPr>
          <w:szCs w:val="21"/>
        </w:rPr>
      </w:pPr>
      <w:r w:rsidRPr="00B57F1D">
        <w:rPr>
          <w:szCs w:val="21"/>
        </w:rPr>
        <w:t>一般情况下，只有游离的药物才能通过生物膜向组织扩散、被肾小管滤过或肝脏代谢。药物与血浆蛋白结合会影响药物的分布及消除动力学过程，降低药物在靶位的浓度和作用强度。药物的血浆蛋白结合率试验方法，有平衡透析法、超过滤法、分配平衡法、凝胶过滤法和光谱法等。要根据药物的理化性质和实验室条件，选择一种方法做至少</w:t>
      </w:r>
      <w:r w:rsidRPr="00B57F1D">
        <w:rPr>
          <w:szCs w:val="21"/>
        </w:rPr>
        <w:t>3</w:t>
      </w:r>
      <w:r w:rsidRPr="00B57F1D">
        <w:rPr>
          <w:szCs w:val="21"/>
        </w:rPr>
        <w:t>个浓度（包括有效浓度）的血浆蛋白结合率试验，每个浓度至少重复试验</w:t>
      </w:r>
      <w:r w:rsidRPr="00B57F1D">
        <w:rPr>
          <w:szCs w:val="21"/>
        </w:rPr>
        <w:t>3</w:t>
      </w:r>
      <w:r w:rsidRPr="00B57F1D">
        <w:rPr>
          <w:szCs w:val="21"/>
        </w:rPr>
        <w:t>次。要说明血浆蛋白结合率是否存在浓度依赖性。</w:t>
      </w:r>
    </w:p>
    <w:p w:rsidR="00EF0D99" w:rsidRPr="00B57F1D" w:rsidRDefault="00EF0D99" w:rsidP="00EF0D99">
      <w:pPr>
        <w:spacing w:line="360" w:lineRule="auto"/>
        <w:ind w:firstLineChars="200" w:firstLine="420"/>
        <w:rPr>
          <w:szCs w:val="21"/>
        </w:rPr>
      </w:pPr>
      <w:r w:rsidRPr="00B57F1D">
        <w:rPr>
          <w:szCs w:val="21"/>
        </w:rPr>
        <w:t>对于血浆蛋白结合率高于</w:t>
      </w:r>
      <w:r w:rsidRPr="00B57F1D">
        <w:rPr>
          <w:szCs w:val="21"/>
        </w:rPr>
        <w:t>90%</w:t>
      </w:r>
      <w:r w:rsidRPr="00B57F1D">
        <w:rPr>
          <w:szCs w:val="21"/>
        </w:rPr>
        <w:t>的药物，建议开展体外药物竞争结合试验，以考察临床上有可能合用的高蛋白结合率的药物在蛋白结合上的相互作用。</w:t>
      </w:r>
    </w:p>
    <w:p w:rsidR="00EF0D99" w:rsidRPr="00B57F1D" w:rsidRDefault="00EF0D99" w:rsidP="00EF0D99">
      <w:pPr>
        <w:spacing w:line="360" w:lineRule="auto"/>
        <w:ind w:firstLineChars="200" w:firstLine="420"/>
        <w:rPr>
          <w:szCs w:val="21"/>
        </w:rPr>
      </w:pPr>
      <w:r w:rsidRPr="00B57F1D">
        <w:rPr>
          <w:szCs w:val="21"/>
        </w:rPr>
        <w:t>为预测和解释实验动物、</w:t>
      </w:r>
      <w:proofErr w:type="gramStart"/>
      <w:r w:rsidRPr="00B57F1D">
        <w:rPr>
          <w:szCs w:val="21"/>
        </w:rPr>
        <w:t>靶动物</w:t>
      </w:r>
      <w:proofErr w:type="gramEnd"/>
      <w:r w:rsidRPr="00B57F1D">
        <w:rPr>
          <w:szCs w:val="21"/>
        </w:rPr>
        <w:t>在药效学及毒性反应方面的差异性和相关性，建议同时开展实验动物和</w:t>
      </w:r>
      <w:proofErr w:type="gramStart"/>
      <w:r w:rsidRPr="00B57F1D">
        <w:rPr>
          <w:szCs w:val="21"/>
        </w:rPr>
        <w:t>靶动物</w:t>
      </w:r>
      <w:proofErr w:type="gramEnd"/>
      <w:r w:rsidRPr="00B57F1D">
        <w:rPr>
          <w:szCs w:val="21"/>
        </w:rPr>
        <w:t>的血浆蛋白结合率比较试验。</w:t>
      </w:r>
    </w:p>
    <w:p w:rsidR="00EF0D99" w:rsidRPr="000B30F5" w:rsidRDefault="00EF0D99" w:rsidP="00EF0D99">
      <w:pPr>
        <w:spacing w:line="360" w:lineRule="auto"/>
        <w:rPr>
          <w:rFonts w:eastAsia="黑体"/>
          <w:sz w:val="28"/>
          <w:szCs w:val="28"/>
        </w:rPr>
      </w:pPr>
      <w:r w:rsidRPr="000B30F5">
        <w:rPr>
          <w:rFonts w:eastAsia="黑体"/>
          <w:sz w:val="28"/>
          <w:szCs w:val="28"/>
        </w:rPr>
        <w:t>（四）代谢与排泄研究</w:t>
      </w:r>
    </w:p>
    <w:p w:rsidR="00EF0D99" w:rsidRPr="00B57F1D" w:rsidRDefault="00EF0D99" w:rsidP="00EF0D99">
      <w:pPr>
        <w:spacing w:line="360" w:lineRule="auto"/>
        <w:ind w:firstLineChars="200" w:firstLine="420"/>
        <w:rPr>
          <w:rFonts w:eastAsia="黑体"/>
          <w:szCs w:val="21"/>
        </w:rPr>
      </w:pPr>
      <w:r w:rsidRPr="00B57F1D">
        <w:rPr>
          <w:rFonts w:eastAsia="黑体"/>
          <w:szCs w:val="21"/>
        </w:rPr>
        <w:t>1.</w:t>
      </w:r>
      <w:r w:rsidRPr="00B57F1D">
        <w:rPr>
          <w:rFonts w:eastAsia="黑体"/>
          <w:szCs w:val="21"/>
        </w:rPr>
        <w:t>代谢研究</w:t>
      </w:r>
    </w:p>
    <w:p w:rsidR="00EF0D99" w:rsidRPr="00B57F1D" w:rsidRDefault="00EF0D99" w:rsidP="00EF0D99">
      <w:pPr>
        <w:spacing w:line="360" w:lineRule="auto"/>
        <w:ind w:firstLineChars="200" w:firstLine="420"/>
        <w:rPr>
          <w:szCs w:val="21"/>
        </w:rPr>
      </w:pPr>
      <w:r w:rsidRPr="00B57F1D">
        <w:rPr>
          <w:szCs w:val="21"/>
        </w:rPr>
        <w:t>创新药要确定主要代谢途径和主要代谢物的结构及活性性质，创新的前药还应系统地开</w:t>
      </w:r>
      <w:r w:rsidRPr="00B57F1D">
        <w:rPr>
          <w:szCs w:val="21"/>
        </w:rPr>
        <w:lastRenderedPageBreak/>
        <w:t>展原药和活性代谢物的药代动力学研究。</w:t>
      </w:r>
    </w:p>
    <w:p w:rsidR="00EF0D99" w:rsidRPr="00B57F1D" w:rsidRDefault="00EF0D99" w:rsidP="00EF0D99">
      <w:pPr>
        <w:spacing w:line="360" w:lineRule="auto"/>
        <w:ind w:firstLineChars="200" w:firstLine="420"/>
        <w:rPr>
          <w:szCs w:val="21"/>
        </w:rPr>
      </w:pPr>
      <w:r w:rsidRPr="00B57F1D">
        <w:rPr>
          <w:szCs w:val="21"/>
        </w:rPr>
        <w:t>对于主要以代谢消除的新药（原形的排泄量</w:t>
      </w:r>
      <w:r w:rsidRPr="00B57F1D">
        <w:rPr>
          <w:szCs w:val="21"/>
        </w:rPr>
        <w:t>&lt;50%</w:t>
      </w:r>
      <w:r w:rsidRPr="00B57F1D">
        <w:rPr>
          <w:szCs w:val="21"/>
        </w:rPr>
        <w:t>），代谢研究可分成两个阶段进行：临床前阶段采用色谱、放射性同位素标记或色</w:t>
      </w:r>
      <w:r w:rsidRPr="00B57F1D">
        <w:rPr>
          <w:szCs w:val="21"/>
        </w:rPr>
        <w:t>-</w:t>
      </w:r>
      <w:proofErr w:type="gramStart"/>
      <w:r w:rsidRPr="00B57F1D">
        <w:rPr>
          <w:szCs w:val="21"/>
        </w:rPr>
        <w:t>质联用</w:t>
      </w:r>
      <w:proofErr w:type="gramEnd"/>
      <w:r w:rsidRPr="00B57F1D">
        <w:rPr>
          <w:szCs w:val="21"/>
        </w:rPr>
        <w:t>等方法，分离、分析和确证主要的代谢物；临床阶段，对临床</w:t>
      </w:r>
      <w:r w:rsidRPr="00B57F1D">
        <w:rPr>
          <w:szCs w:val="21"/>
        </w:rPr>
        <w:t>II</w:t>
      </w:r>
      <w:proofErr w:type="gramStart"/>
      <w:r w:rsidRPr="00B57F1D">
        <w:rPr>
          <w:szCs w:val="21"/>
        </w:rPr>
        <w:t>期证明</w:t>
      </w:r>
      <w:proofErr w:type="gramEnd"/>
      <w:r w:rsidRPr="00B57F1D">
        <w:rPr>
          <w:szCs w:val="21"/>
        </w:rPr>
        <w:t>具有进一步研究开发前景的药物，应尽早对活性较强的代谢物展开研究，包括代谢物的动力学参数、代谢途径等。</w:t>
      </w:r>
    </w:p>
    <w:p w:rsidR="00EF0D99" w:rsidRPr="00B57F1D" w:rsidRDefault="00EF0D99" w:rsidP="00EF0D99">
      <w:pPr>
        <w:spacing w:line="360" w:lineRule="auto"/>
        <w:ind w:firstLineChars="200" w:firstLine="420"/>
        <w:rPr>
          <w:szCs w:val="21"/>
        </w:rPr>
      </w:pPr>
      <w:r w:rsidRPr="00B57F1D">
        <w:rPr>
          <w:szCs w:val="21"/>
        </w:rPr>
        <w:t>创新药应观察药物对实验动物和</w:t>
      </w:r>
      <w:proofErr w:type="gramStart"/>
      <w:r w:rsidRPr="00B57F1D">
        <w:rPr>
          <w:szCs w:val="21"/>
        </w:rPr>
        <w:t>靶动物</w:t>
      </w:r>
      <w:proofErr w:type="gramEnd"/>
      <w:r w:rsidRPr="00B57F1D">
        <w:rPr>
          <w:szCs w:val="21"/>
        </w:rPr>
        <w:t>微粒体细胞色素</w:t>
      </w:r>
      <w:r w:rsidRPr="00B57F1D">
        <w:rPr>
          <w:szCs w:val="21"/>
        </w:rPr>
        <w:t>P450</w:t>
      </w:r>
      <w:r w:rsidRPr="00B57F1D">
        <w:rPr>
          <w:szCs w:val="21"/>
        </w:rPr>
        <w:t>的诱导或抑制作用，以了解药物在代谢上的潜在相互作用。酶的抑制作用可用底物法测定，诱导作用可在整体动物多次给药后观察肝</w:t>
      </w:r>
      <w:r w:rsidRPr="00B57F1D">
        <w:rPr>
          <w:szCs w:val="21"/>
        </w:rPr>
        <w:t>P450</w:t>
      </w:r>
      <w:r w:rsidRPr="00B57F1D">
        <w:rPr>
          <w:szCs w:val="21"/>
        </w:rPr>
        <w:t>活性的变化。</w:t>
      </w:r>
    </w:p>
    <w:p w:rsidR="00EF0D99" w:rsidRPr="00B57F1D" w:rsidRDefault="00EF0D99" w:rsidP="00EF0D99">
      <w:pPr>
        <w:spacing w:line="360" w:lineRule="auto"/>
        <w:ind w:firstLineChars="200" w:firstLine="420"/>
        <w:rPr>
          <w:szCs w:val="21"/>
        </w:rPr>
      </w:pPr>
      <w:r w:rsidRPr="00B57F1D">
        <w:rPr>
          <w:szCs w:val="21"/>
        </w:rPr>
        <w:t>实验动物和</w:t>
      </w:r>
      <w:proofErr w:type="gramStart"/>
      <w:r w:rsidRPr="00B57F1D">
        <w:rPr>
          <w:szCs w:val="21"/>
        </w:rPr>
        <w:t>靶动物</w:t>
      </w:r>
      <w:proofErr w:type="gramEnd"/>
      <w:r w:rsidRPr="00B57F1D">
        <w:rPr>
          <w:szCs w:val="21"/>
        </w:rPr>
        <w:t>肝的组织匀浆、细胞悬液、</w:t>
      </w:r>
      <w:proofErr w:type="gramStart"/>
      <w:r w:rsidRPr="00B57F1D">
        <w:rPr>
          <w:szCs w:val="21"/>
        </w:rPr>
        <w:t>微粒体及灌流</w:t>
      </w:r>
      <w:proofErr w:type="gramEnd"/>
      <w:r w:rsidRPr="00B57F1D">
        <w:rPr>
          <w:szCs w:val="21"/>
        </w:rPr>
        <w:t>器官等，可方便、经济地用来研究药物的代谢途径、动力学特点、代谢酶对动力学参数影响、药物或代谢物与蛋白质或</w:t>
      </w:r>
      <w:r w:rsidRPr="00B57F1D">
        <w:rPr>
          <w:szCs w:val="21"/>
        </w:rPr>
        <w:t>DNA</w:t>
      </w:r>
      <w:r w:rsidRPr="00B57F1D">
        <w:rPr>
          <w:szCs w:val="21"/>
        </w:rPr>
        <w:t>结合等，是</w:t>
      </w:r>
      <w:proofErr w:type="gramStart"/>
      <w:r w:rsidRPr="00B57F1D">
        <w:rPr>
          <w:szCs w:val="21"/>
        </w:rPr>
        <w:t>体内药</w:t>
      </w:r>
      <w:proofErr w:type="gramEnd"/>
      <w:r w:rsidRPr="00B57F1D">
        <w:rPr>
          <w:szCs w:val="21"/>
        </w:rPr>
        <w:t>代动力学研究的补充，对深入阐明药物的药效和毒性机理有重要价值。</w:t>
      </w:r>
    </w:p>
    <w:p w:rsidR="00EF0D99" w:rsidRPr="00B57F1D" w:rsidRDefault="00EF0D99" w:rsidP="00EF0D99">
      <w:pPr>
        <w:spacing w:line="360" w:lineRule="auto"/>
        <w:ind w:firstLineChars="200" w:firstLine="420"/>
        <w:rPr>
          <w:rFonts w:eastAsia="黑体"/>
          <w:szCs w:val="21"/>
        </w:rPr>
      </w:pPr>
      <w:r w:rsidRPr="00B57F1D">
        <w:rPr>
          <w:rFonts w:eastAsia="黑体"/>
          <w:szCs w:val="21"/>
        </w:rPr>
        <w:t>2.</w:t>
      </w:r>
      <w:r w:rsidRPr="00B57F1D">
        <w:rPr>
          <w:rFonts w:eastAsia="黑体"/>
          <w:szCs w:val="21"/>
        </w:rPr>
        <w:t>排泄研究</w:t>
      </w:r>
    </w:p>
    <w:p w:rsidR="00EF0D99" w:rsidRPr="00B57F1D" w:rsidRDefault="00EF0D99" w:rsidP="00EF0D99">
      <w:pPr>
        <w:spacing w:line="360" w:lineRule="auto"/>
        <w:ind w:firstLineChars="200" w:firstLine="420"/>
        <w:rPr>
          <w:szCs w:val="21"/>
        </w:rPr>
      </w:pPr>
      <w:r w:rsidRPr="00B57F1D">
        <w:rPr>
          <w:szCs w:val="21"/>
        </w:rPr>
        <w:t>（</w:t>
      </w:r>
      <w:r w:rsidRPr="00B57F1D">
        <w:rPr>
          <w:szCs w:val="21"/>
        </w:rPr>
        <w:t>1</w:t>
      </w:r>
      <w:r w:rsidRPr="00B57F1D">
        <w:rPr>
          <w:szCs w:val="21"/>
        </w:rPr>
        <w:t>）经尿和粪排泄</w:t>
      </w:r>
      <w:r w:rsidRPr="00B57F1D">
        <w:rPr>
          <w:szCs w:val="21"/>
        </w:rPr>
        <w:t xml:space="preserve">  </w:t>
      </w:r>
      <w:r w:rsidRPr="00B57F1D">
        <w:rPr>
          <w:szCs w:val="21"/>
        </w:rPr>
        <w:t>一般用小鼠或大鼠。将动物置代谢笼内，用一个有效剂量给药后，按事先设计的时间间隔分段收集全部尿液和粪样，直至药物排尽为止。给药前应采取空白尿液和粪样。试验前应做预试，使设计的采样时间点能覆盖药物及其主要代谢物从尿粪中排泄的起始、达峰和基本结束等全过程。</w:t>
      </w:r>
    </w:p>
    <w:p w:rsidR="00EF0D99" w:rsidRPr="00B57F1D" w:rsidRDefault="00EF0D99" w:rsidP="00EF0D99">
      <w:pPr>
        <w:spacing w:line="360" w:lineRule="auto"/>
        <w:ind w:firstLineChars="200" w:firstLine="420"/>
        <w:rPr>
          <w:szCs w:val="21"/>
        </w:rPr>
      </w:pPr>
      <w:r w:rsidRPr="00B57F1D">
        <w:rPr>
          <w:szCs w:val="21"/>
        </w:rPr>
        <w:t>尿样要记录体积，混匀，量取一部分测定药物及其代谢物浓度。粪样</w:t>
      </w:r>
      <w:proofErr w:type="gramStart"/>
      <w:r w:rsidRPr="00B57F1D">
        <w:rPr>
          <w:szCs w:val="21"/>
        </w:rPr>
        <w:t>凉干</w:t>
      </w:r>
      <w:proofErr w:type="gramEnd"/>
      <w:r w:rsidRPr="00B57F1D">
        <w:rPr>
          <w:szCs w:val="21"/>
        </w:rPr>
        <w:t>后称重。注意：不同动物的粪便，干湿不同。用合适的溶剂，按一定</w:t>
      </w:r>
      <w:proofErr w:type="gramStart"/>
      <w:r w:rsidRPr="00B57F1D">
        <w:rPr>
          <w:szCs w:val="21"/>
        </w:rPr>
        <w:t>比例将粪样</w:t>
      </w:r>
      <w:proofErr w:type="gramEnd"/>
      <w:r w:rsidRPr="00B57F1D">
        <w:rPr>
          <w:szCs w:val="21"/>
        </w:rPr>
        <w:t>制成匀浆，</w:t>
      </w:r>
      <w:proofErr w:type="gramStart"/>
      <w:r w:rsidRPr="00B57F1D">
        <w:rPr>
          <w:szCs w:val="21"/>
        </w:rPr>
        <w:t>记录总</w:t>
      </w:r>
      <w:proofErr w:type="gramEnd"/>
      <w:r w:rsidRPr="00B57F1D">
        <w:rPr>
          <w:szCs w:val="21"/>
        </w:rPr>
        <w:t>体积，量取一部分测定药物及其代谢物的浓度。最后，计算药物和代谢物经粪和尿排泄的量和速率。每个时间点应至少有</w:t>
      </w:r>
      <w:r w:rsidRPr="00B57F1D">
        <w:rPr>
          <w:szCs w:val="21"/>
        </w:rPr>
        <w:t>5</w:t>
      </w:r>
      <w:r w:rsidRPr="00B57F1D">
        <w:rPr>
          <w:szCs w:val="21"/>
        </w:rPr>
        <w:t>只动物的数据。</w:t>
      </w:r>
    </w:p>
    <w:p w:rsidR="00EF0D99" w:rsidRPr="00B57F1D" w:rsidRDefault="00EF0D99" w:rsidP="00EF0D99">
      <w:pPr>
        <w:spacing w:line="360" w:lineRule="auto"/>
        <w:ind w:firstLineChars="200" w:firstLine="420"/>
        <w:rPr>
          <w:szCs w:val="21"/>
        </w:rPr>
      </w:pPr>
      <w:r w:rsidRPr="00B57F1D">
        <w:rPr>
          <w:szCs w:val="21"/>
        </w:rPr>
        <w:t>（</w:t>
      </w:r>
      <w:r w:rsidRPr="00B57F1D">
        <w:rPr>
          <w:szCs w:val="21"/>
        </w:rPr>
        <w:t>2</w:t>
      </w:r>
      <w:r w:rsidRPr="00B57F1D">
        <w:rPr>
          <w:szCs w:val="21"/>
        </w:rPr>
        <w:t>）经胆汁排泄</w:t>
      </w:r>
      <w:r w:rsidRPr="00B57F1D">
        <w:rPr>
          <w:szCs w:val="21"/>
        </w:rPr>
        <w:t xml:space="preserve">  </w:t>
      </w:r>
      <w:r w:rsidRPr="00B57F1D">
        <w:rPr>
          <w:szCs w:val="21"/>
        </w:rPr>
        <w:t>一般用大鼠在乙醚麻醉下做胆管插管引流，待动物清醒后，经多种途径给药，并以合适的时间间隔分段收集胆汁，测定药物及其主要代谢物的含量，计算排泄的量和速率。</w:t>
      </w:r>
    </w:p>
    <w:p w:rsidR="00EF0D99" w:rsidRPr="00260DDE" w:rsidRDefault="00EF0D99" w:rsidP="00EF0D99">
      <w:pPr>
        <w:spacing w:line="360" w:lineRule="auto"/>
        <w:jc w:val="center"/>
        <w:rPr>
          <w:rFonts w:eastAsia="黑体"/>
          <w:sz w:val="30"/>
          <w:szCs w:val="30"/>
        </w:rPr>
      </w:pPr>
      <w:r w:rsidRPr="00260DDE">
        <w:rPr>
          <w:rFonts w:eastAsia="黑体"/>
          <w:sz w:val="30"/>
          <w:szCs w:val="30"/>
        </w:rPr>
        <w:t>四、试验报告</w:t>
      </w:r>
    </w:p>
    <w:p w:rsidR="00EF0D99" w:rsidRPr="00B57F1D" w:rsidRDefault="00EF0D99" w:rsidP="00EF0D99">
      <w:pPr>
        <w:spacing w:line="360" w:lineRule="auto"/>
        <w:ind w:firstLineChars="200" w:firstLine="420"/>
        <w:rPr>
          <w:szCs w:val="21"/>
        </w:rPr>
      </w:pPr>
      <w:r w:rsidRPr="00B57F1D">
        <w:rPr>
          <w:szCs w:val="21"/>
        </w:rPr>
        <w:t>研究报告应注明试验的单位、负责人、日期、人员（并签名盖章）、项目编号。正文前应有简短摘要，缩略语列表，文后附参考文献，标准操作规程列表。正文包括以下内容：</w:t>
      </w:r>
    </w:p>
    <w:p w:rsidR="00EF0D99" w:rsidRPr="00B57F1D" w:rsidRDefault="00EF0D99" w:rsidP="00EF0D99">
      <w:pPr>
        <w:spacing w:line="360" w:lineRule="auto"/>
        <w:ind w:firstLineChars="200" w:firstLine="420"/>
        <w:rPr>
          <w:rFonts w:eastAsia="黑体"/>
          <w:szCs w:val="21"/>
        </w:rPr>
      </w:pPr>
      <w:r w:rsidRPr="00B57F1D">
        <w:rPr>
          <w:rFonts w:eastAsia="黑体"/>
          <w:szCs w:val="21"/>
        </w:rPr>
        <w:t>1.</w:t>
      </w:r>
      <w:r w:rsidRPr="00B57F1D">
        <w:rPr>
          <w:rFonts w:eastAsia="黑体"/>
          <w:szCs w:val="21"/>
        </w:rPr>
        <w:t>目的意义</w:t>
      </w:r>
    </w:p>
    <w:p w:rsidR="00EF0D99" w:rsidRPr="00B57F1D" w:rsidRDefault="00EF0D99" w:rsidP="00EF0D99">
      <w:pPr>
        <w:spacing w:line="360" w:lineRule="auto"/>
        <w:ind w:firstLineChars="200" w:firstLine="420"/>
        <w:rPr>
          <w:szCs w:val="21"/>
        </w:rPr>
      </w:pPr>
      <w:r w:rsidRPr="00B57F1D">
        <w:rPr>
          <w:szCs w:val="21"/>
        </w:rPr>
        <w:t>项目的重要性、必要性及立项依据。</w:t>
      </w:r>
    </w:p>
    <w:p w:rsidR="00EF0D99" w:rsidRPr="00B57F1D" w:rsidRDefault="00EF0D99" w:rsidP="00EF0D99">
      <w:pPr>
        <w:spacing w:line="360" w:lineRule="auto"/>
        <w:ind w:firstLineChars="200" w:firstLine="420"/>
        <w:rPr>
          <w:rFonts w:eastAsia="黑体"/>
          <w:szCs w:val="21"/>
        </w:rPr>
      </w:pPr>
      <w:r w:rsidRPr="00B57F1D">
        <w:rPr>
          <w:rFonts w:eastAsia="黑体"/>
          <w:szCs w:val="21"/>
        </w:rPr>
        <w:lastRenderedPageBreak/>
        <w:t>2.</w:t>
      </w:r>
      <w:r w:rsidRPr="00B57F1D">
        <w:rPr>
          <w:rFonts w:eastAsia="黑体"/>
          <w:szCs w:val="21"/>
        </w:rPr>
        <w:t>分析方法</w:t>
      </w:r>
    </w:p>
    <w:p w:rsidR="00EF0D99" w:rsidRPr="00B57F1D" w:rsidRDefault="00EF0D99" w:rsidP="00EF0D99">
      <w:pPr>
        <w:spacing w:line="360" w:lineRule="auto"/>
        <w:ind w:firstLineChars="200" w:firstLine="420"/>
        <w:rPr>
          <w:szCs w:val="21"/>
        </w:rPr>
      </w:pPr>
      <w:r w:rsidRPr="00B57F1D">
        <w:rPr>
          <w:szCs w:val="21"/>
        </w:rPr>
        <w:t>分析方法类型、编号，仪器设备、分析条件，确证简化的理由，方法学详细描述，对照品（被测药物、代谢物、内标物）的纯度和来源，稳定性实验描述及相关数据，选择性、准确度、精密度、回收率、定量限、标准曲线的实验数据，代表性图谱。用于计算结果的回归方程，样品测定时标准曲线列表，</w:t>
      </w:r>
      <w:proofErr w:type="gramStart"/>
      <w:r w:rsidRPr="00B57F1D">
        <w:rPr>
          <w:szCs w:val="21"/>
        </w:rPr>
        <w:t>各分析批</w:t>
      </w:r>
      <w:proofErr w:type="gramEnd"/>
      <w:r w:rsidRPr="00B57F1D">
        <w:rPr>
          <w:szCs w:val="21"/>
        </w:rPr>
        <w:t>QC</w:t>
      </w:r>
      <w:r w:rsidRPr="00B57F1D">
        <w:rPr>
          <w:szCs w:val="21"/>
        </w:rPr>
        <w:t>样品测定结果及其精密度、准确度综合列表，任何可能偏离分析方法建立条件的情况。</w:t>
      </w:r>
    </w:p>
    <w:p w:rsidR="00EF0D99" w:rsidRPr="00B57F1D" w:rsidRDefault="00EF0D99" w:rsidP="00EF0D99">
      <w:pPr>
        <w:spacing w:line="360" w:lineRule="auto"/>
        <w:ind w:firstLineChars="200" w:firstLine="420"/>
        <w:rPr>
          <w:szCs w:val="21"/>
        </w:rPr>
      </w:pPr>
      <w:r w:rsidRPr="00B57F1D">
        <w:rPr>
          <w:szCs w:val="21"/>
        </w:rPr>
        <w:t>样品编号、采集日期，运输前保存及运输情况，分析前保存情况。分析批的编号、分析日期、分析方法、分析人员、</w:t>
      </w:r>
      <w:proofErr w:type="gramStart"/>
      <w:r w:rsidRPr="00B57F1D">
        <w:rPr>
          <w:szCs w:val="21"/>
        </w:rPr>
        <w:t>始止时间</w:t>
      </w:r>
      <w:proofErr w:type="gramEnd"/>
      <w:r w:rsidRPr="00B57F1D">
        <w:rPr>
          <w:szCs w:val="21"/>
        </w:rPr>
        <w:t>、主要设备和材料，标准曲线和</w:t>
      </w:r>
      <w:r w:rsidRPr="00B57F1D">
        <w:rPr>
          <w:szCs w:val="21"/>
        </w:rPr>
        <w:t>QC</w:t>
      </w:r>
      <w:r w:rsidRPr="00B57F1D">
        <w:rPr>
          <w:szCs w:val="21"/>
        </w:rPr>
        <w:t>样品图谱复印件，</w:t>
      </w:r>
      <w:proofErr w:type="gramStart"/>
      <w:r w:rsidRPr="00B57F1D">
        <w:rPr>
          <w:szCs w:val="21"/>
        </w:rPr>
        <w:t>各分析批</w:t>
      </w:r>
      <w:proofErr w:type="gramEnd"/>
      <w:r w:rsidRPr="00B57F1D">
        <w:rPr>
          <w:szCs w:val="21"/>
        </w:rPr>
        <w:t>待测样品浓度计算结果，</w:t>
      </w:r>
      <w:r w:rsidRPr="00B57F1D">
        <w:rPr>
          <w:szCs w:val="21"/>
        </w:rPr>
        <w:t>20%</w:t>
      </w:r>
      <w:r w:rsidRPr="00B57F1D">
        <w:rPr>
          <w:szCs w:val="21"/>
        </w:rPr>
        <w:t>样品测定图谱的复印件。</w:t>
      </w:r>
    </w:p>
    <w:p w:rsidR="00EF0D99" w:rsidRPr="00B57F1D" w:rsidRDefault="00EF0D99" w:rsidP="00EF0D99">
      <w:pPr>
        <w:spacing w:line="360" w:lineRule="auto"/>
        <w:ind w:firstLineChars="200" w:firstLine="420"/>
        <w:rPr>
          <w:szCs w:val="21"/>
        </w:rPr>
      </w:pPr>
      <w:r w:rsidRPr="00B57F1D">
        <w:rPr>
          <w:szCs w:val="21"/>
        </w:rPr>
        <w:t>缺失样品的原因，重复测试的结果。应对舍弃的任何数据、报告选择的数据说明理由。</w:t>
      </w:r>
    </w:p>
    <w:p w:rsidR="00EF0D99" w:rsidRPr="00B57F1D" w:rsidRDefault="00EF0D99" w:rsidP="00EF0D99">
      <w:pPr>
        <w:spacing w:line="360" w:lineRule="auto"/>
        <w:ind w:firstLineChars="200" w:firstLine="420"/>
        <w:rPr>
          <w:rFonts w:eastAsia="黑体"/>
          <w:szCs w:val="21"/>
        </w:rPr>
      </w:pPr>
      <w:r w:rsidRPr="00B57F1D">
        <w:rPr>
          <w:rFonts w:eastAsia="黑体"/>
          <w:szCs w:val="21"/>
        </w:rPr>
        <w:t>3.</w:t>
      </w:r>
      <w:r w:rsidRPr="00B57F1D">
        <w:rPr>
          <w:rFonts w:eastAsia="黑体"/>
          <w:szCs w:val="21"/>
        </w:rPr>
        <w:t>试验设计</w:t>
      </w:r>
    </w:p>
    <w:p w:rsidR="00EF0D99" w:rsidRPr="00B57F1D" w:rsidRDefault="00EF0D99" w:rsidP="00EF0D99">
      <w:pPr>
        <w:spacing w:line="360" w:lineRule="auto"/>
        <w:ind w:firstLineChars="200" w:firstLine="420"/>
        <w:rPr>
          <w:szCs w:val="21"/>
        </w:rPr>
      </w:pPr>
      <w:r w:rsidRPr="00B57F1D">
        <w:rPr>
          <w:szCs w:val="21"/>
        </w:rPr>
        <w:t>受试品来源，</w:t>
      </w:r>
      <w:proofErr w:type="gramStart"/>
      <w:r w:rsidRPr="00B57F1D">
        <w:rPr>
          <w:szCs w:val="21"/>
        </w:rPr>
        <w:t>参比品及</w:t>
      </w:r>
      <w:proofErr w:type="gramEnd"/>
      <w:r w:rsidRPr="00B57F1D">
        <w:rPr>
          <w:szCs w:val="21"/>
        </w:rPr>
        <w:t>选用理由。受试动物背景资料，动物数及分组设计，给药剂量及方法，采样时间安排。试验期间动物的日粮性质，喂</w:t>
      </w:r>
      <w:proofErr w:type="gramStart"/>
      <w:r w:rsidRPr="00B57F1D">
        <w:rPr>
          <w:szCs w:val="21"/>
        </w:rPr>
        <w:t>饮方式</w:t>
      </w:r>
      <w:proofErr w:type="gramEnd"/>
      <w:r w:rsidRPr="00B57F1D">
        <w:rPr>
          <w:szCs w:val="21"/>
        </w:rPr>
        <w:t>与频率，禁食等。给药</w:t>
      </w:r>
      <w:proofErr w:type="gramStart"/>
      <w:r w:rsidRPr="00B57F1D">
        <w:rPr>
          <w:szCs w:val="21"/>
        </w:rPr>
        <w:t>后动物</w:t>
      </w:r>
      <w:proofErr w:type="gramEnd"/>
      <w:r w:rsidRPr="00B57F1D">
        <w:rPr>
          <w:szCs w:val="21"/>
        </w:rPr>
        <w:t>的临床不良反应，受试动物中途退出、脱落的记录及原因说明。从文献提供药物的红细胞摄取和蛋白结合的特点，包括蛋白结合的程度和结合蛋白的类型。</w:t>
      </w:r>
    </w:p>
    <w:p w:rsidR="00EF0D99" w:rsidRPr="00B57F1D" w:rsidRDefault="00EF0D99" w:rsidP="00EF0D99">
      <w:pPr>
        <w:spacing w:line="360" w:lineRule="auto"/>
        <w:ind w:firstLineChars="200" w:firstLine="420"/>
        <w:rPr>
          <w:rFonts w:eastAsia="黑体"/>
          <w:szCs w:val="21"/>
        </w:rPr>
      </w:pPr>
      <w:r w:rsidRPr="00B57F1D">
        <w:rPr>
          <w:rFonts w:eastAsia="黑体"/>
          <w:szCs w:val="21"/>
        </w:rPr>
        <w:t>4.</w:t>
      </w:r>
      <w:r w:rsidRPr="00B57F1D">
        <w:rPr>
          <w:rFonts w:eastAsia="黑体"/>
          <w:szCs w:val="21"/>
        </w:rPr>
        <w:t>数据与参数</w:t>
      </w:r>
    </w:p>
    <w:p w:rsidR="00EF0D99" w:rsidRPr="00B57F1D" w:rsidRDefault="00EF0D99" w:rsidP="00EF0D99">
      <w:pPr>
        <w:spacing w:line="360" w:lineRule="auto"/>
        <w:ind w:firstLineChars="200" w:firstLine="420"/>
        <w:rPr>
          <w:szCs w:val="21"/>
        </w:rPr>
      </w:pPr>
      <w:r w:rsidRPr="00B57F1D">
        <w:rPr>
          <w:szCs w:val="21"/>
        </w:rPr>
        <w:t>以药时曲线和药动学参数研究为例，其他参考执行。数据处理与统计学方法。单次给药，提供每个动物及全部动物汇总的血药浓度</w:t>
      </w:r>
      <w:r w:rsidRPr="00B57F1D">
        <w:rPr>
          <w:szCs w:val="21"/>
        </w:rPr>
        <w:t>-</w:t>
      </w:r>
      <w:r w:rsidRPr="00B57F1D">
        <w:rPr>
          <w:szCs w:val="21"/>
        </w:rPr>
        <w:t>时间数据、曲线图、主要参数，临床前药代动力学规律和特点的讨论与评价。多次给药，提供每个动物及全部动物汇总的首次给药后的血药浓度</w:t>
      </w:r>
      <w:r w:rsidRPr="00B57F1D">
        <w:rPr>
          <w:szCs w:val="21"/>
        </w:rPr>
        <w:t>-</w:t>
      </w:r>
      <w:r w:rsidRPr="00B57F1D">
        <w:rPr>
          <w:szCs w:val="21"/>
        </w:rPr>
        <w:t>时间数据、曲线图、药代动力学参数，至少</w:t>
      </w:r>
      <w:r w:rsidRPr="00B57F1D">
        <w:rPr>
          <w:szCs w:val="21"/>
        </w:rPr>
        <w:t>3</w:t>
      </w:r>
      <w:r w:rsidRPr="00B57F1D">
        <w:rPr>
          <w:szCs w:val="21"/>
        </w:rPr>
        <w:t>次给药的谷浓度、平均稳态浓度、波动系数，末次给药后的稳态血药浓度</w:t>
      </w:r>
      <w:r w:rsidRPr="00B57F1D">
        <w:rPr>
          <w:szCs w:val="21"/>
        </w:rPr>
        <w:t>-</w:t>
      </w:r>
      <w:r w:rsidRPr="00B57F1D">
        <w:rPr>
          <w:szCs w:val="21"/>
        </w:rPr>
        <w:t>时间数据、曲线图，比较首次与末次给药的药</w:t>
      </w:r>
      <w:r w:rsidRPr="00B57F1D">
        <w:rPr>
          <w:szCs w:val="21"/>
        </w:rPr>
        <w:t>-</w:t>
      </w:r>
      <w:r w:rsidRPr="00B57F1D">
        <w:rPr>
          <w:szCs w:val="21"/>
        </w:rPr>
        <w:t>时曲线的动力学参数。</w:t>
      </w:r>
    </w:p>
    <w:p w:rsidR="00EF0D99" w:rsidRPr="00B57F1D" w:rsidRDefault="00EF0D99" w:rsidP="00EF0D99">
      <w:pPr>
        <w:spacing w:line="360" w:lineRule="auto"/>
        <w:ind w:firstLineChars="200" w:firstLine="420"/>
        <w:rPr>
          <w:rFonts w:eastAsia="黑体"/>
          <w:szCs w:val="21"/>
        </w:rPr>
      </w:pPr>
      <w:r w:rsidRPr="00B57F1D">
        <w:rPr>
          <w:rFonts w:eastAsia="黑体"/>
          <w:szCs w:val="21"/>
        </w:rPr>
        <w:t>5.</w:t>
      </w:r>
      <w:r w:rsidRPr="00B57F1D">
        <w:rPr>
          <w:rFonts w:eastAsia="黑体"/>
          <w:szCs w:val="21"/>
        </w:rPr>
        <w:t>总结与评价</w:t>
      </w:r>
    </w:p>
    <w:p w:rsidR="00EF0D99" w:rsidRPr="00B57F1D" w:rsidRDefault="00EF0D99" w:rsidP="00EF0D99">
      <w:pPr>
        <w:spacing w:line="360" w:lineRule="auto"/>
        <w:ind w:firstLineChars="200" w:firstLine="420"/>
        <w:rPr>
          <w:szCs w:val="21"/>
        </w:rPr>
      </w:pPr>
      <w:r w:rsidRPr="00B57F1D">
        <w:rPr>
          <w:szCs w:val="21"/>
        </w:rPr>
        <w:t>对所获取的数据要做科学、全面的分析，阐明药物吸收、分布和消除的特点，经尿、粪和胆汁排泄的情况，与血浆蛋白结合的程度，体内蓄积的程度和主要蓄积的器官或组织。创新药还应阐明在体内代谢、消除的过程和质量平衡规律。</w:t>
      </w:r>
    </w:p>
    <w:p w:rsidR="00EF0D99" w:rsidRPr="00B57F1D" w:rsidRDefault="00EF0D99" w:rsidP="00EF0D99">
      <w:pPr>
        <w:spacing w:line="360" w:lineRule="auto"/>
        <w:ind w:firstLineChars="200" w:firstLine="420"/>
        <w:rPr>
          <w:szCs w:val="21"/>
        </w:rPr>
      </w:pPr>
      <w:r w:rsidRPr="00B57F1D">
        <w:rPr>
          <w:szCs w:val="21"/>
        </w:rPr>
        <w:t>要对结果做综合评价，把药物的药代动力学特点与其制剂、有效性和安全性等有机联系起来，找出相关性，为药物的整体评价和以后的临床研究提供更有价值的资料。</w:t>
      </w:r>
    </w:p>
    <w:p w:rsidR="00EF0D99" w:rsidRPr="00B57F1D" w:rsidRDefault="00EF0D99" w:rsidP="00EF0D99">
      <w:pPr>
        <w:spacing w:line="360" w:lineRule="auto"/>
        <w:ind w:firstLineChars="200" w:firstLine="420"/>
        <w:rPr>
          <w:szCs w:val="21"/>
        </w:rPr>
      </w:pPr>
      <w:r w:rsidRPr="00B57F1D">
        <w:rPr>
          <w:szCs w:val="21"/>
        </w:rPr>
        <w:t>对于改变酸根、晶型的药物，要根据药物的特点及改变的具体情况确定是否</w:t>
      </w:r>
      <w:proofErr w:type="gramStart"/>
      <w:r w:rsidRPr="00B57F1D">
        <w:rPr>
          <w:szCs w:val="21"/>
        </w:rPr>
        <w:t>做改变</w:t>
      </w:r>
      <w:proofErr w:type="gramEnd"/>
      <w:r w:rsidRPr="00B57F1D">
        <w:rPr>
          <w:szCs w:val="21"/>
        </w:rPr>
        <w:t>前后的药代动力学比较研究。</w:t>
      </w:r>
    </w:p>
    <w:p w:rsidR="00EF0D99" w:rsidRPr="00B57F1D" w:rsidRDefault="00EF0D99" w:rsidP="00EF0D99">
      <w:pPr>
        <w:spacing w:line="360" w:lineRule="auto"/>
        <w:ind w:firstLineChars="200" w:firstLine="420"/>
        <w:rPr>
          <w:szCs w:val="21"/>
        </w:rPr>
      </w:pPr>
      <w:r w:rsidRPr="00B57F1D">
        <w:rPr>
          <w:szCs w:val="21"/>
        </w:rPr>
        <w:lastRenderedPageBreak/>
        <w:t>对映异构体的物理性质（旋光性除外）和化学性质（在手性环境中除外）相同，但可能具有不同的药代动力学性质和药理、毒理特点（质的，量的）。研究者应建立适用于对映体选择性分析的定量方法，研究对映体之间相互转化的可能性和每种对应体吸收、分布、代谢和排泄的规律。如果是外消旋体且两对映体的药代动力学性质不同，研究者应分别研究各对映体的剂量线性关系、代谢</w:t>
      </w:r>
      <w:r w:rsidRPr="00B57F1D">
        <w:rPr>
          <w:szCs w:val="21"/>
        </w:rPr>
        <w:t>/</w:t>
      </w:r>
      <w:r w:rsidRPr="00B57F1D">
        <w:rPr>
          <w:szCs w:val="21"/>
        </w:rPr>
        <w:t>排泄性质和药物相互作用的影响。若两对映体的药代动力学曲线相同或它们的血浆浓度保持恒定比值，则非手性分析或只对其中一个对映体做研究即可。如果是开发单一对映体，则应研究说明该对映体转化为另一对映体的程度、该对映体的药动学性质与其作为外消旋体组分时的药代动力学性质是否一致。应将单一对映体在实验动物体内的药</w:t>
      </w:r>
      <w:r w:rsidRPr="00B57F1D">
        <w:rPr>
          <w:szCs w:val="21"/>
        </w:rPr>
        <w:t>-</w:t>
      </w:r>
      <w:r w:rsidRPr="00B57F1D">
        <w:rPr>
          <w:szCs w:val="21"/>
        </w:rPr>
        <w:t>时曲线与其</w:t>
      </w:r>
      <w:proofErr w:type="gramStart"/>
      <w:r w:rsidRPr="00B57F1D">
        <w:rPr>
          <w:szCs w:val="21"/>
        </w:rPr>
        <w:t>在靶动物</w:t>
      </w:r>
      <w:proofErr w:type="gramEnd"/>
      <w:r w:rsidRPr="00B57F1D">
        <w:rPr>
          <w:szCs w:val="21"/>
        </w:rPr>
        <w:t>体内的药时曲线进行比较，以确定对映异构体在不同动物体内的相互转化和处置的特点。</w:t>
      </w:r>
    </w:p>
    <w:p w:rsidR="00EF0D99" w:rsidRPr="00B57F1D" w:rsidRDefault="00EF0D99" w:rsidP="00EF0D99">
      <w:pPr>
        <w:spacing w:line="360" w:lineRule="auto"/>
        <w:ind w:firstLineChars="200" w:firstLine="420"/>
        <w:rPr>
          <w:szCs w:val="21"/>
        </w:rPr>
      </w:pPr>
      <w:r w:rsidRPr="00B57F1D">
        <w:rPr>
          <w:szCs w:val="21"/>
        </w:rPr>
        <w:t>对于新的复方制剂，应比较</w:t>
      </w:r>
      <w:proofErr w:type="gramStart"/>
      <w:r w:rsidRPr="00B57F1D">
        <w:rPr>
          <w:szCs w:val="21"/>
        </w:rPr>
        <w:t>复方和</w:t>
      </w:r>
      <w:proofErr w:type="gramEnd"/>
      <w:r w:rsidRPr="00B57F1D">
        <w:rPr>
          <w:szCs w:val="21"/>
        </w:rPr>
        <w:t>单方的药代动力学特点，考察药物间的相互影响，</w:t>
      </w:r>
      <w:proofErr w:type="gramStart"/>
      <w:r w:rsidRPr="00B57F1D">
        <w:rPr>
          <w:szCs w:val="21"/>
        </w:rPr>
        <w:t>阐明组</w:t>
      </w:r>
      <w:proofErr w:type="gramEnd"/>
      <w:r w:rsidRPr="00B57F1D">
        <w:rPr>
          <w:szCs w:val="21"/>
        </w:rPr>
        <w:t>方的合理性。</w:t>
      </w:r>
    </w:p>
    <w:p w:rsidR="00751717" w:rsidRPr="00EF0D99" w:rsidRDefault="00751717" w:rsidP="008E7B66"/>
    <w:sectPr w:rsidR="00751717" w:rsidRPr="00EF0D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73ECD"/>
    <w:rsid w:val="000D43D9"/>
    <w:rsid w:val="00347420"/>
    <w:rsid w:val="004A3691"/>
    <w:rsid w:val="00733551"/>
    <w:rsid w:val="00751717"/>
    <w:rsid w:val="008E7B66"/>
    <w:rsid w:val="00AB23AD"/>
    <w:rsid w:val="00EC33AC"/>
    <w:rsid w:val="00EF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691"/>
    <w:pPr>
      <w:widowControl w:val="0"/>
      <w:jc w:val="both"/>
    </w:pPr>
    <w:rPr>
      <w:rFonts w:ascii="Times New Roman" w:eastAsia="宋体" w:hAnsi="Times New Roman" w:cs="Times New Roman"/>
      <w:szCs w:val="24"/>
    </w:rPr>
  </w:style>
  <w:style w:type="paragraph" w:styleId="1">
    <w:name w:val="heading 1"/>
    <w:basedOn w:val="a"/>
    <w:next w:val="a"/>
    <w:link w:val="10"/>
    <w:qFormat/>
    <w:rsid w:val="000D43D9"/>
    <w:pPr>
      <w:keepNext/>
      <w:keepLines/>
      <w:spacing w:before="340" w:after="330" w:line="578" w:lineRule="auto"/>
      <w:outlineLvl w:val="0"/>
    </w:pPr>
    <w:rPr>
      <w:b/>
      <w:bCs/>
      <w:kern w:val="44"/>
      <w:sz w:val="44"/>
      <w:szCs w:val="44"/>
    </w:rPr>
  </w:style>
  <w:style w:type="paragraph" w:styleId="3">
    <w:name w:val="heading 3"/>
    <w:basedOn w:val="a"/>
    <w:next w:val="a"/>
    <w:link w:val="30"/>
    <w:qFormat/>
    <w:rsid w:val="004A369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4A3691"/>
    <w:rPr>
      <w:rFonts w:ascii="Times New Roman" w:eastAsia="宋体" w:hAnsi="Times New Roman" w:cs="Times New Roman"/>
      <w:b/>
      <w:bCs/>
      <w:sz w:val="32"/>
      <w:szCs w:val="32"/>
    </w:rPr>
  </w:style>
  <w:style w:type="paragraph" w:customStyle="1" w:styleId="4CharChar">
    <w:name w:val="标题 4 + 四号 Char Char"/>
    <w:basedOn w:val="4"/>
    <w:link w:val="4CharCharChar"/>
    <w:rsid w:val="004A3691"/>
  </w:style>
  <w:style w:type="paragraph" w:customStyle="1" w:styleId="4">
    <w:name w:val="标题 4 + 加粗"/>
    <w:basedOn w:val="a"/>
    <w:link w:val="4Char"/>
    <w:rsid w:val="004A3691"/>
    <w:pPr>
      <w:autoSpaceDE w:val="0"/>
      <w:autoSpaceDN w:val="0"/>
      <w:adjustRightInd w:val="0"/>
      <w:jc w:val="left"/>
    </w:pPr>
    <w:rPr>
      <w:b/>
      <w:bCs/>
      <w:szCs w:val="21"/>
    </w:rPr>
  </w:style>
  <w:style w:type="character" w:customStyle="1" w:styleId="4Char">
    <w:name w:val="标题 4 + 加粗 Char"/>
    <w:link w:val="4"/>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3">
    <w:name w:val="Hyperlink"/>
    <w:uiPriority w:val="99"/>
    <w:rsid w:val="004A3691"/>
    <w:rPr>
      <w:color w:val="0000FF"/>
      <w:u w:val="single"/>
    </w:rPr>
  </w:style>
  <w:style w:type="character" w:customStyle="1" w:styleId="10">
    <w:name w:val="标题 1 字符"/>
    <w:basedOn w:val="a0"/>
    <w:link w:val="1"/>
    <w:rsid w:val="000D43D9"/>
    <w:rPr>
      <w:rFonts w:ascii="Times New Roman" w:eastAsia="宋体" w:hAnsi="Times New Roman" w:cs="Times New Roman"/>
      <w:b/>
      <w:bCs/>
      <w:kern w:val="44"/>
      <w:sz w:val="44"/>
      <w:szCs w:val="44"/>
    </w:rPr>
  </w:style>
  <w:style w:type="paragraph" w:customStyle="1" w:styleId="11">
    <w:name w:val="样式1"/>
    <w:basedOn w:val="a"/>
    <w:next w:val="a4"/>
    <w:rsid w:val="00EC33AC"/>
    <w:rPr>
      <w:rFonts w:ascii="宋体" w:hAnsi="Courier New"/>
      <w:szCs w:val="21"/>
    </w:rPr>
  </w:style>
  <w:style w:type="paragraph" w:styleId="a4">
    <w:name w:val="Plain Text"/>
    <w:basedOn w:val="a"/>
    <w:link w:val="a5"/>
    <w:unhideWhenUsed/>
    <w:rsid w:val="00EC33AC"/>
    <w:rPr>
      <w:rFonts w:asciiTheme="minorEastAsia" w:eastAsiaTheme="minorEastAsia" w:hAnsi="Courier New" w:cs="Courier New"/>
    </w:rPr>
  </w:style>
  <w:style w:type="character" w:customStyle="1" w:styleId="a5">
    <w:name w:val="纯文本 字符"/>
    <w:basedOn w:val="a0"/>
    <w:link w:val="a4"/>
    <w:rsid w:val="00EC33AC"/>
    <w:rPr>
      <w:rFonts w:asciiTheme="minorEastAsia" w:hAnsi="Courier New" w:cs="Courier New"/>
      <w:szCs w:val="24"/>
    </w:rPr>
  </w:style>
  <w:style w:type="paragraph" w:customStyle="1" w:styleId="40">
    <w:name w:val="标题 4 +"/>
    <w:basedOn w:val="3"/>
    <w:rsid w:val="00073ECD"/>
    <w:rPr>
      <w:kern w:val="0"/>
    </w:rPr>
  </w:style>
  <w:style w:type="paragraph" w:styleId="31">
    <w:name w:val="Body Text Indent 3"/>
    <w:basedOn w:val="a"/>
    <w:link w:val="32"/>
    <w:rsid w:val="00AB23AD"/>
    <w:pPr>
      <w:spacing w:after="120"/>
      <w:ind w:leftChars="200" w:left="420"/>
    </w:pPr>
    <w:rPr>
      <w:sz w:val="16"/>
      <w:szCs w:val="16"/>
    </w:rPr>
  </w:style>
  <w:style w:type="character" w:customStyle="1" w:styleId="32">
    <w:name w:val="正文文本缩进 3 字符"/>
    <w:basedOn w:val="a0"/>
    <w:link w:val="31"/>
    <w:rsid w:val="00AB23AD"/>
    <w:rPr>
      <w:rFonts w:ascii="Times New Roman" w:eastAsia="宋体"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1181</Words>
  <Characters>6733</Characters>
  <Application>Microsoft Office Word</Application>
  <DocSecurity>0</DocSecurity>
  <Lines>56</Lines>
  <Paragraphs>15</Paragraphs>
  <ScaleCrop>false</ScaleCrop>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2024-03-18T08:39:00Z</dcterms:created>
  <dcterms:modified xsi:type="dcterms:W3CDTF">2024-03-18T08:39:00Z</dcterms:modified>
</cp:coreProperties>
</file>