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A9" w:rsidRDefault="001D3BA9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bookmarkEnd w:id="0"/>
    </w:p>
    <w:p w:rsidR="00D609C9" w:rsidRDefault="00FC0D62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人用</w:t>
      </w:r>
      <w:r w:rsidR="008913D0">
        <w:rPr>
          <w:rFonts w:ascii="方正小标宋简体" w:eastAsia="方正小标宋简体" w:hint="eastAsia"/>
          <w:bCs/>
          <w:color w:val="000000"/>
          <w:sz w:val="44"/>
          <w:szCs w:val="44"/>
        </w:rPr>
        <w:t>中药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转宠物用</w:t>
      </w:r>
      <w:r w:rsidR="008913D0">
        <w:rPr>
          <w:rFonts w:ascii="方正小标宋简体" w:eastAsia="方正小标宋简体" w:hint="eastAsia"/>
          <w:bCs/>
          <w:color w:val="000000"/>
          <w:sz w:val="44"/>
          <w:szCs w:val="44"/>
        </w:rPr>
        <w:t>中药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注册资料要求</w:t>
      </w:r>
    </w:p>
    <w:p w:rsidR="00FC0D62" w:rsidRDefault="00D609C9" w:rsidP="00FC0D62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（征求意见稿）</w:t>
      </w:r>
    </w:p>
    <w:p w:rsidR="00FC0D62" w:rsidRDefault="00FC0D62" w:rsidP="00FC0D62">
      <w:pPr>
        <w:jc w:val="center"/>
        <w:rPr>
          <w:rFonts w:ascii="Times New Roman" w:eastAsia="宋体"/>
          <w:color w:val="000000"/>
          <w:sz w:val="32"/>
          <w:szCs w:val="32"/>
        </w:rPr>
      </w:pPr>
    </w:p>
    <w:p w:rsidR="00FC0D62" w:rsidRDefault="00FC0D62" w:rsidP="00F758DD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为解决当前兽医临床宠物用药短缺问题，推动宠物用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研发和上市，在保证安全、有效、质量可控的前提下，借鉴相关评审评价方法，制定如下人用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转宠物用</w:t>
      </w:r>
      <w:r w:rsidR="008913D0">
        <w:rPr>
          <w:rFonts w:eastAsia="仿宋_GB2312" w:hint="eastAsia"/>
          <w:color w:val="000000"/>
          <w:sz w:val="32"/>
          <w:szCs w:val="32"/>
        </w:rPr>
        <w:t>中药</w:t>
      </w:r>
      <w:r>
        <w:rPr>
          <w:rFonts w:eastAsia="仿宋_GB2312" w:hint="eastAsia"/>
          <w:color w:val="000000"/>
          <w:sz w:val="32"/>
          <w:szCs w:val="32"/>
        </w:rPr>
        <w:t>注册资料要求。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8913D0">
        <w:rPr>
          <w:rFonts w:ascii="黑体" w:eastAsia="黑体" w:hAnsi="黑体" w:hint="eastAsia"/>
          <w:color w:val="000000"/>
          <w:sz w:val="32"/>
          <w:szCs w:val="32"/>
        </w:rPr>
        <w:t>适用</w:t>
      </w:r>
      <w:r>
        <w:rPr>
          <w:rFonts w:ascii="黑体" w:eastAsia="黑体" w:hAnsi="黑体" w:hint="eastAsia"/>
          <w:color w:val="000000"/>
          <w:sz w:val="32"/>
          <w:szCs w:val="32"/>
        </w:rPr>
        <w:t>范围</w:t>
      </w:r>
    </w:p>
    <w:p w:rsidR="004B748D" w:rsidRDefault="008913D0" w:rsidP="004B748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191E78">
        <w:rPr>
          <w:rFonts w:eastAsia="仿宋_GB2312" w:hint="eastAsia"/>
          <w:color w:val="000000"/>
          <w:sz w:val="32"/>
          <w:szCs w:val="32"/>
        </w:rPr>
        <w:t>是按</w:t>
      </w:r>
      <w:r>
        <w:rPr>
          <w:rFonts w:eastAsia="仿宋_GB2312" w:hint="eastAsia"/>
          <w:color w:val="000000"/>
          <w:sz w:val="32"/>
          <w:szCs w:val="32"/>
        </w:rPr>
        <w:t>现行有效的</w:t>
      </w:r>
      <w:r w:rsidR="00191E78">
        <w:rPr>
          <w:rFonts w:eastAsia="仿宋_GB2312" w:hint="eastAsia"/>
          <w:color w:val="000000"/>
          <w:sz w:val="32"/>
          <w:szCs w:val="32"/>
        </w:rPr>
        <w:t>人用中药</w:t>
      </w:r>
      <w:r>
        <w:rPr>
          <w:rFonts w:eastAsia="仿宋_GB2312" w:hint="eastAsia"/>
          <w:color w:val="000000"/>
          <w:sz w:val="32"/>
          <w:szCs w:val="32"/>
        </w:rPr>
        <w:t>药品标准</w:t>
      </w:r>
      <w:r w:rsidR="00191E78">
        <w:rPr>
          <w:rFonts w:eastAsia="仿宋_GB2312" w:hint="eastAsia"/>
          <w:color w:val="000000"/>
          <w:sz w:val="32"/>
          <w:szCs w:val="32"/>
        </w:rPr>
        <w:t>生产</w:t>
      </w:r>
      <w:r w:rsidR="004B748D">
        <w:rPr>
          <w:rFonts w:eastAsia="仿宋_GB2312" w:hint="eastAsia"/>
          <w:color w:val="000000"/>
          <w:sz w:val="32"/>
          <w:szCs w:val="32"/>
        </w:rPr>
        <w:t>和检验</w:t>
      </w:r>
      <w:r w:rsidR="00191E78">
        <w:rPr>
          <w:rFonts w:eastAsia="仿宋_GB2312" w:hint="eastAsia"/>
          <w:color w:val="000000"/>
          <w:sz w:val="32"/>
          <w:szCs w:val="32"/>
        </w:rPr>
        <w:t>的</w:t>
      </w:r>
      <w:r w:rsidR="001D381E">
        <w:rPr>
          <w:rFonts w:eastAsia="仿宋_GB2312" w:hint="eastAsia"/>
          <w:color w:val="000000"/>
          <w:sz w:val="32"/>
          <w:szCs w:val="32"/>
        </w:rPr>
        <w:t>，用于宠物的制剂。</w:t>
      </w:r>
      <w:r w:rsidR="008D4AD9"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9B5988">
        <w:rPr>
          <w:rFonts w:eastAsia="仿宋_GB2312" w:hint="eastAsia"/>
          <w:color w:val="000000"/>
          <w:sz w:val="32"/>
          <w:szCs w:val="32"/>
        </w:rPr>
        <w:t>的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处方组成</w:t>
      </w:r>
      <w:r w:rsidR="004B748D">
        <w:rPr>
          <w:rFonts w:ascii="Times New Roman" w:eastAsia="仿宋_GB2312"/>
          <w:color w:val="000000"/>
          <w:sz w:val="32"/>
          <w:szCs w:val="32"/>
        </w:rPr>
        <w:t>、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制法</w:t>
      </w:r>
      <w:r w:rsidR="004B748D">
        <w:rPr>
          <w:rFonts w:ascii="Times New Roman" w:eastAsia="仿宋_GB2312"/>
          <w:color w:val="000000"/>
          <w:sz w:val="32"/>
          <w:szCs w:val="32"/>
        </w:rPr>
        <w:t>、包装材料应与人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用中</w:t>
      </w:r>
      <w:r w:rsidR="004B748D">
        <w:rPr>
          <w:rFonts w:ascii="Times New Roman" w:eastAsia="仿宋_GB2312"/>
          <w:color w:val="000000"/>
          <w:sz w:val="32"/>
          <w:szCs w:val="32"/>
        </w:rPr>
        <w:t>药一致</w:t>
      </w:r>
      <w:r w:rsidR="004B748D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8D4AD9">
        <w:rPr>
          <w:rFonts w:eastAsia="仿宋_GB2312" w:hint="eastAsia"/>
          <w:color w:val="000000"/>
          <w:sz w:val="32"/>
          <w:szCs w:val="32"/>
        </w:rPr>
        <w:t>功能应与人</w:t>
      </w:r>
      <w:r w:rsidR="00415440">
        <w:rPr>
          <w:rFonts w:eastAsia="仿宋_GB2312" w:hint="eastAsia"/>
          <w:color w:val="000000"/>
          <w:sz w:val="32"/>
          <w:szCs w:val="32"/>
        </w:rPr>
        <w:t>用中</w:t>
      </w:r>
      <w:r w:rsidR="008D4AD9">
        <w:rPr>
          <w:rFonts w:eastAsia="仿宋_GB2312" w:hint="eastAsia"/>
          <w:color w:val="000000"/>
          <w:sz w:val="32"/>
          <w:szCs w:val="32"/>
        </w:rPr>
        <w:t>药相同，主治应相同或基本相同</w:t>
      </w:r>
      <w:r w:rsidR="004B748D">
        <w:rPr>
          <w:rFonts w:eastAsia="仿宋_GB2312" w:hint="eastAsia"/>
          <w:color w:val="000000"/>
          <w:sz w:val="32"/>
          <w:szCs w:val="32"/>
        </w:rPr>
        <w:t>。</w:t>
      </w:r>
    </w:p>
    <w:p w:rsidR="00FC0D62" w:rsidRDefault="001D381E" w:rsidP="00F758D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="00FC0D62">
        <w:rPr>
          <w:rFonts w:ascii="黑体" w:eastAsia="黑体" w:hAnsi="黑体" w:hint="eastAsia"/>
          <w:color w:val="000000"/>
          <w:sz w:val="32"/>
          <w:szCs w:val="32"/>
        </w:rPr>
        <w:t>、注册要求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（一）药学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研究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资料要求</w:t>
      </w:r>
    </w:p>
    <w:p w:rsidR="00C50E47" w:rsidRDefault="00C50E47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1.</w:t>
      </w:r>
      <w:r w:rsidR="001D7F7D">
        <w:rPr>
          <w:rFonts w:ascii="Times New Roman" w:eastAsia="仿宋_GB2312"/>
          <w:color w:val="000000"/>
          <w:sz w:val="32"/>
          <w:szCs w:val="32"/>
        </w:rPr>
        <w:t>注册申请人为该品种的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人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用中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药</w:t>
      </w:r>
      <w:r w:rsidR="001D7F7D">
        <w:rPr>
          <w:rFonts w:ascii="Times New Roman" w:eastAsia="仿宋_GB2312"/>
          <w:color w:val="000000"/>
          <w:sz w:val="32"/>
          <w:szCs w:val="32"/>
        </w:rPr>
        <w:t>原研单位或获得该品种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人用中药</w:t>
      </w:r>
      <w:r w:rsidR="001D7F7D">
        <w:rPr>
          <w:rFonts w:ascii="Times New Roman" w:eastAsia="仿宋_GB2312"/>
          <w:color w:val="000000"/>
          <w:sz w:val="32"/>
          <w:szCs w:val="32"/>
        </w:rPr>
        <w:t>批准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文号</w:t>
      </w:r>
      <w:r>
        <w:rPr>
          <w:rFonts w:ascii="Times New Roman" w:eastAsia="仿宋_GB2312" w:hint="eastAsia"/>
          <w:color w:val="000000"/>
          <w:sz w:val="32"/>
          <w:szCs w:val="32"/>
        </w:rPr>
        <w:t>企业技术</w:t>
      </w:r>
      <w:r>
        <w:rPr>
          <w:rFonts w:ascii="Times New Roman" w:eastAsia="仿宋_GB2312"/>
          <w:color w:val="000000"/>
          <w:sz w:val="32"/>
          <w:szCs w:val="32"/>
        </w:rPr>
        <w:t>转让的</w:t>
      </w:r>
      <w:r w:rsidR="001D7F7D">
        <w:rPr>
          <w:rFonts w:ascii="Times New Roman" w:eastAsia="仿宋_GB2312"/>
          <w:color w:val="000000"/>
          <w:sz w:val="32"/>
          <w:szCs w:val="32"/>
        </w:rPr>
        <w:t>，直接提交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注册</w:t>
      </w:r>
      <w:r w:rsidR="00421696">
        <w:rPr>
          <w:rFonts w:ascii="Times New Roman" w:eastAsia="仿宋_GB2312" w:hint="eastAsia"/>
          <w:color w:val="000000"/>
          <w:sz w:val="32"/>
          <w:szCs w:val="32"/>
        </w:rPr>
        <w:t>人用中药</w:t>
      </w:r>
      <w:r w:rsidR="001D7F7D">
        <w:rPr>
          <w:rFonts w:ascii="Times New Roman" w:eastAsia="仿宋_GB2312"/>
          <w:color w:val="000000"/>
          <w:sz w:val="32"/>
          <w:szCs w:val="32"/>
        </w:rPr>
        <w:t>时的</w:t>
      </w:r>
      <w:r w:rsidR="001D7F7D">
        <w:rPr>
          <w:rFonts w:ascii="Times New Roman" w:eastAsia="仿宋_GB2312" w:hint="eastAsia"/>
          <w:color w:val="000000"/>
          <w:sz w:val="32"/>
          <w:szCs w:val="32"/>
        </w:rPr>
        <w:t>药学</w:t>
      </w:r>
      <w:r w:rsidR="001D7F7D">
        <w:rPr>
          <w:rFonts w:ascii="Times New Roman" w:eastAsia="仿宋_GB2312"/>
          <w:color w:val="000000"/>
          <w:sz w:val="32"/>
          <w:szCs w:val="32"/>
        </w:rPr>
        <w:t>研究资料，无需进行新的药学试验</w:t>
      </w:r>
      <w:r>
        <w:rPr>
          <w:rFonts w:ascii="Times New Roman" w:eastAsia="仿宋_GB2312" w:hint="eastAsia"/>
          <w:color w:val="000000"/>
          <w:sz w:val="32"/>
          <w:szCs w:val="32"/>
        </w:rPr>
        <w:t>。</w:t>
      </w:r>
    </w:p>
    <w:p w:rsidR="00FC0D62" w:rsidRDefault="00C50E47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注册申请人为</w:t>
      </w:r>
      <w:r>
        <w:rPr>
          <w:rFonts w:ascii="Times New Roman" w:eastAsia="仿宋_GB2312" w:hint="eastAsia"/>
          <w:color w:val="000000"/>
          <w:sz w:val="32"/>
          <w:szCs w:val="32"/>
        </w:rPr>
        <w:t>自行研究</w:t>
      </w:r>
      <w:r>
        <w:rPr>
          <w:rFonts w:ascii="Times New Roman" w:eastAsia="仿宋_GB2312"/>
          <w:color w:val="000000"/>
          <w:sz w:val="32"/>
          <w:szCs w:val="32"/>
        </w:rPr>
        <w:t>人用中药产品的，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对于</w:t>
      </w:r>
      <w:r w:rsidR="0032765E">
        <w:rPr>
          <w:rFonts w:ascii="Times New Roman" w:eastAsia="仿宋_GB2312"/>
          <w:color w:val="000000"/>
          <w:sz w:val="32"/>
          <w:szCs w:val="32"/>
        </w:rPr>
        <w:t>标准中制法参数明确的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0B1510">
        <w:rPr>
          <w:rFonts w:ascii="Times New Roman" w:eastAsia="仿宋_GB2312"/>
          <w:color w:val="000000"/>
          <w:sz w:val="32"/>
          <w:szCs w:val="32"/>
        </w:rPr>
        <w:t>需提供详细的工艺验证资料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；</w:t>
      </w:r>
      <w:r w:rsidR="00700976">
        <w:rPr>
          <w:rFonts w:ascii="Times New Roman" w:eastAsia="仿宋_GB2312"/>
          <w:color w:val="000000"/>
          <w:sz w:val="32"/>
          <w:szCs w:val="32"/>
        </w:rPr>
        <w:t>对于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参数</w:t>
      </w:r>
      <w:r w:rsidR="0032765E">
        <w:rPr>
          <w:rFonts w:ascii="Times New Roman" w:eastAsia="仿宋_GB2312"/>
          <w:color w:val="000000"/>
          <w:sz w:val="32"/>
          <w:szCs w:val="32"/>
        </w:rPr>
        <w:t>不明确的</w:t>
      </w:r>
      <w:r w:rsidR="00310619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700976">
        <w:rPr>
          <w:rFonts w:ascii="Times New Roman" w:eastAsia="仿宋_GB2312"/>
          <w:color w:val="000000"/>
          <w:sz w:val="32"/>
          <w:szCs w:val="32"/>
        </w:rPr>
        <w:t>应提供详细的</w:t>
      </w:r>
      <w:r w:rsidR="00700976">
        <w:rPr>
          <w:rFonts w:ascii="Times New Roman" w:eastAsia="仿宋_GB2312" w:hint="eastAsia"/>
          <w:color w:val="000000"/>
          <w:sz w:val="32"/>
          <w:szCs w:val="32"/>
        </w:rPr>
        <w:t>工艺</w:t>
      </w:r>
      <w:r w:rsidR="00700976">
        <w:rPr>
          <w:rFonts w:ascii="Times New Roman" w:eastAsia="仿宋_GB2312"/>
          <w:color w:val="000000"/>
          <w:sz w:val="32"/>
          <w:szCs w:val="32"/>
        </w:rPr>
        <w:t>研究资料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A24800">
        <w:rPr>
          <w:rFonts w:ascii="Times New Roman" w:eastAsia="仿宋_GB2312"/>
          <w:color w:val="000000"/>
          <w:sz w:val="32"/>
          <w:szCs w:val="32"/>
        </w:rPr>
        <w:t>鼓励注册申请人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采取</w:t>
      </w:r>
      <w:r w:rsidR="00A24800">
        <w:rPr>
          <w:rFonts w:ascii="Times New Roman" w:eastAsia="仿宋_GB2312"/>
          <w:color w:val="000000"/>
          <w:sz w:val="32"/>
          <w:szCs w:val="32"/>
        </w:rPr>
        <w:t>挑战试验（参数接近可接受限度）验证工艺的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可行性</w:t>
      </w:r>
      <w:r w:rsidR="00A24800">
        <w:rPr>
          <w:rFonts w:ascii="Times New Roman" w:eastAsia="仿宋_GB2312"/>
          <w:color w:val="000000"/>
          <w:sz w:val="32"/>
          <w:szCs w:val="32"/>
        </w:rPr>
        <w:t>和可</w:t>
      </w:r>
      <w:r w:rsidR="00B37929">
        <w:rPr>
          <w:rFonts w:ascii="Times New Roman" w:eastAsia="仿宋_GB2312" w:hint="eastAsia"/>
          <w:color w:val="000000"/>
          <w:sz w:val="32"/>
          <w:szCs w:val="32"/>
        </w:rPr>
        <w:t>靠</w:t>
      </w:r>
      <w:r w:rsidR="00A24800">
        <w:rPr>
          <w:rFonts w:ascii="Times New Roman" w:eastAsia="仿宋_GB2312"/>
          <w:color w:val="000000"/>
          <w:sz w:val="32"/>
          <w:szCs w:val="32"/>
        </w:rPr>
        <w:t>性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0B1510">
        <w:rPr>
          <w:rFonts w:ascii="Times New Roman" w:eastAsia="仿宋_GB2312"/>
          <w:color w:val="000000"/>
          <w:sz w:val="32"/>
          <w:szCs w:val="32"/>
        </w:rPr>
        <w:t>质量标准</w:t>
      </w:r>
      <w:r w:rsidR="000B1510">
        <w:rPr>
          <w:rFonts w:ascii="Times New Roman" w:eastAsia="仿宋_GB2312" w:hint="eastAsia"/>
          <w:color w:val="000000"/>
          <w:sz w:val="32"/>
          <w:szCs w:val="32"/>
        </w:rPr>
        <w:t>应</w:t>
      </w:r>
      <w:r w:rsidR="00A471AD">
        <w:rPr>
          <w:rFonts w:ascii="Times New Roman" w:eastAsia="仿宋_GB2312"/>
          <w:color w:val="000000"/>
          <w:sz w:val="32"/>
          <w:szCs w:val="32"/>
        </w:rPr>
        <w:t>不</w:t>
      </w:r>
      <w:r w:rsidR="00A471AD">
        <w:rPr>
          <w:rFonts w:ascii="Times New Roman" w:eastAsia="仿宋_GB2312"/>
          <w:color w:val="000000"/>
          <w:sz w:val="32"/>
          <w:szCs w:val="32"/>
        </w:rPr>
        <w:lastRenderedPageBreak/>
        <w:t>得低于</w:t>
      </w:r>
      <w:r w:rsidR="00421696">
        <w:rPr>
          <w:rFonts w:ascii="Times New Roman" w:eastAsia="仿宋_GB2312"/>
          <w:color w:val="000000"/>
          <w:sz w:val="32"/>
          <w:szCs w:val="32"/>
        </w:rPr>
        <w:t>人用中药</w:t>
      </w:r>
      <w:r w:rsidR="000B1510">
        <w:rPr>
          <w:rFonts w:ascii="Times New Roman" w:eastAsia="仿宋_GB2312"/>
          <w:color w:val="000000"/>
          <w:sz w:val="32"/>
          <w:szCs w:val="32"/>
        </w:rPr>
        <w:t>同品种质量标准</w:t>
      </w:r>
      <w:r w:rsidR="00310619">
        <w:rPr>
          <w:rFonts w:ascii="Times New Roman" w:eastAsia="仿宋_GB2312" w:hint="eastAsia"/>
          <w:color w:val="000000"/>
          <w:sz w:val="32"/>
          <w:szCs w:val="32"/>
        </w:rPr>
        <w:t>，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并</w:t>
      </w:r>
      <w:r w:rsidR="00A24800">
        <w:rPr>
          <w:rFonts w:ascii="Times New Roman" w:eastAsia="仿宋_GB2312"/>
          <w:color w:val="000000"/>
          <w:sz w:val="32"/>
          <w:szCs w:val="32"/>
        </w:rPr>
        <w:t>提供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至少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3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批自</w:t>
      </w:r>
      <w:r w:rsidR="0032765E">
        <w:rPr>
          <w:rFonts w:ascii="Times New Roman" w:eastAsia="仿宋_GB2312"/>
          <w:color w:val="000000"/>
          <w:sz w:val="32"/>
          <w:szCs w:val="32"/>
        </w:rPr>
        <w:t>研产品与人用中药产品对比检验报告。</w:t>
      </w:r>
      <w:r w:rsidR="00A471AD">
        <w:rPr>
          <w:rFonts w:ascii="Times New Roman" w:eastAsia="仿宋_GB2312"/>
          <w:color w:val="000000"/>
          <w:sz w:val="32"/>
          <w:szCs w:val="32"/>
        </w:rPr>
        <w:t>鼓励注册申请人制定优于原标准的内控质量标准</w:t>
      </w:r>
      <w:r w:rsidR="0032765E">
        <w:rPr>
          <w:rFonts w:ascii="Times New Roman" w:eastAsia="仿宋_GB2312" w:hint="eastAsia"/>
          <w:color w:val="000000"/>
          <w:sz w:val="32"/>
          <w:szCs w:val="32"/>
        </w:rPr>
        <w:t>。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稳定性研究</w:t>
      </w:r>
      <w:r w:rsidR="00A24800">
        <w:rPr>
          <w:rFonts w:ascii="Times New Roman" w:eastAsia="仿宋_GB2312"/>
          <w:color w:val="000000"/>
          <w:sz w:val="32"/>
          <w:szCs w:val="32"/>
        </w:rPr>
        <w:t>资料应提供影响因素试验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、</w:t>
      </w:r>
      <w:r w:rsidR="00A24800">
        <w:rPr>
          <w:rFonts w:ascii="Times New Roman" w:eastAsia="仿宋_GB2312"/>
          <w:color w:val="000000"/>
          <w:sz w:val="32"/>
          <w:szCs w:val="32"/>
        </w:rPr>
        <w:t>加速试验和至少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6</w:t>
      </w:r>
      <w:r w:rsidR="00A24800">
        <w:rPr>
          <w:rFonts w:ascii="Times New Roman" w:eastAsia="仿宋_GB2312" w:hint="eastAsia"/>
          <w:color w:val="000000"/>
          <w:sz w:val="32"/>
          <w:szCs w:val="32"/>
        </w:rPr>
        <w:t>个</w:t>
      </w:r>
      <w:r w:rsidR="00A24800">
        <w:rPr>
          <w:rFonts w:ascii="Times New Roman" w:eastAsia="仿宋_GB2312"/>
          <w:color w:val="000000"/>
          <w:sz w:val="32"/>
          <w:szCs w:val="32"/>
        </w:rPr>
        <w:t>月的长期试验的稳定性研究资料，提出贮存条件和有效期，并承诺继续进行长期稳定性考察，以确保有效期。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黑体"/>
          <w:b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（二）药理毒理研究资料要求</w:t>
      </w:r>
    </w:p>
    <w:p w:rsidR="00FC0D62" w:rsidRDefault="00FC0D62" w:rsidP="00F7275F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农业部公告第</w:t>
      </w:r>
      <w:r>
        <w:rPr>
          <w:rFonts w:eastAsia="仿宋_GB2312"/>
          <w:color w:val="000000"/>
          <w:sz w:val="32"/>
          <w:szCs w:val="32"/>
        </w:rPr>
        <w:t>442</w:t>
      </w:r>
      <w:r>
        <w:rPr>
          <w:rFonts w:eastAsia="仿宋_GB2312" w:hint="eastAsia"/>
          <w:color w:val="000000"/>
          <w:sz w:val="32"/>
          <w:szCs w:val="32"/>
        </w:rPr>
        <w:t>号</w:t>
      </w:r>
      <w:r w:rsidR="004B7EE9">
        <w:rPr>
          <w:rFonts w:eastAsia="仿宋_GB2312" w:hint="eastAsia"/>
          <w:color w:val="000000"/>
          <w:sz w:val="32"/>
          <w:szCs w:val="32"/>
        </w:rPr>
        <w:t>中兽药、天然药物</w:t>
      </w:r>
      <w:r>
        <w:rPr>
          <w:rFonts w:eastAsia="仿宋_GB2312" w:hint="eastAsia"/>
          <w:color w:val="000000"/>
          <w:sz w:val="32"/>
          <w:szCs w:val="32"/>
        </w:rPr>
        <w:t>分类及注册资料要求</w:t>
      </w:r>
      <w:r w:rsidR="004B7EE9">
        <w:rPr>
          <w:rFonts w:eastAsia="仿宋_GB2312" w:hint="eastAsia"/>
          <w:color w:val="000000"/>
          <w:sz w:val="32"/>
          <w:szCs w:val="32"/>
        </w:rPr>
        <w:t>注册资料项目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20</w:t>
      </w:r>
      <w:r w:rsidR="0032765E">
        <w:rPr>
          <w:rFonts w:eastAsia="仿宋_GB2312" w:hint="eastAsia"/>
          <w:color w:val="000000"/>
          <w:sz w:val="32"/>
          <w:szCs w:val="32"/>
        </w:rPr>
        <w:t>至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26</w:t>
      </w:r>
      <w:r w:rsidR="0032765E">
        <w:rPr>
          <w:rFonts w:eastAsia="仿宋_GB2312" w:hint="eastAsia"/>
          <w:color w:val="000000"/>
          <w:sz w:val="32"/>
          <w:szCs w:val="32"/>
        </w:rPr>
        <w:t>项</w:t>
      </w:r>
      <w:r w:rsidR="00F7275F" w:rsidRPr="00F7275F">
        <w:rPr>
          <w:rFonts w:eastAsia="仿宋_GB2312" w:hint="eastAsia"/>
          <w:color w:val="000000"/>
          <w:sz w:val="32"/>
          <w:szCs w:val="32"/>
        </w:rPr>
        <w:t>资料</w:t>
      </w:r>
      <w:r w:rsidR="004B7EE9">
        <w:rPr>
          <w:rFonts w:eastAsia="仿宋_GB2312" w:hint="eastAsia"/>
          <w:color w:val="000000"/>
          <w:sz w:val="32"/>
          <w:szCs w:val="32"/>
        </w:rPr>
        <w:t>免报。</w:t>
      </w:r>
    </w:p>
    <w:p w:rsidR="00FC0D62" w:rsidRDefault="00FC0D62" w:rsidP="00F758DD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）</w:t>
      </w:r>
      <w:r w:rsidR="007430DF">
        <w:rPr>
          <w:rFonts w:ascii="楷体_GB2312" w:eastAsia="楷体_GB2312" w:hint="eastAsia"/>
          <w:b/>
          <w:color w:val="000000"/>
          <w:sz w:val="32"/>
          <w:szCs w:val="32"/>
        </w:rPr>
        <w:t>临床研究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资料要求</w:t>
      </w:r>
    </w:p>
    <w:p w:rsidR="0032765E" w:rsidRDefault="0032765E" w:rsidP="00F758DD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 w:rsidR="007C2A1C">
        <w:rPr>
          <w:rFonts w:eastAsia="仿宋_GB2312" w:hint="eastAsia"/>
          <w:color w:val="000000"/>
          <w:sz w:val="32"/>
          <w:szCs w:val="32"/>
        </w:rPr>
        <w:t>人用中药转宠物用中药</w:t>
      </w:r>
      <w:r w:rsidR="00253E21">
        <w:rPr>
          <w:rFonts w:eastAsia="仿宋_GB2312" w:hint="eastAsia"/>
          <w:color w:val="000000"/>
          <w:sz w:val="32"/>
          <w:szCs w:val="32"/>
        </w:rPr>
        <w:t>制剂</w:t>
      </w:r>
      <w:r w:rsidR="00253E21">
        <w:rPr>
          <w:rFonts w:eastAsia="仿宋_GB2312" w:hint="eastAsia"/>
          <w:color w:val="000000"/>
          <w:sz w:val="32"/>
          <w:szCs w:val="32"/>
        </w:rPr>
        <w:t>/</w:t>
      </w:r>
      <w:r w:rsidR="00253E21">
        <w:rPr>
          <w:rFonts w:eastAsia="仿宋_GB2312" w:hint="eastAsia"/>
          <w:color w:val="000000"/>
          <w:sz w:val="32"/>
          <w:szCs w:val="32"/>
        </w:rPr>
        <w:t>处方在兽医（人医）典籍中有相关宠物用药剂量，</w:t>
      </w:r>
      <w:r w:rsidR="00E42769">
        <w:rPr>
          <w:rFonts w:eastAsia="仿宋_GB2312" w:hint="eastAsia"/>
          <w:color w:val="000000"/>
          <w:sz w:val="32"/>
          <w:szCs w:val="32"/>
        </w:rPr>
        <w:t>且</w:t>
      </w:r>
      <w:r w:rsidR="00B91B08">
        <w:rPr>
          <w:rFonts w:eastAsia="仿宋_GB2312" w:hint="eastAsia"/>
          <w:color w:val="000000"/>
          <w:sz w:val="32"/>
          <w:szCs w:val="32"/>
        </w:rPr>
        <w:t>申报制剂与典籍中的剂型、</w:t>
      </w:r>
      <w:r w:rsidR="00253E21">
        <w:rPr>
          <w:rFonts w:eastAsia="仿宋_GB2312" w:hint="eastAsia"/>
          <w:color w:val="000000"/>
          <w:sz w:val="32"/>
          <w:szCs w:val="32"/>
        </w:rPr>
        <w:t>制备工艺基本一致，</w:t>
      </w:r>
      <w:r w:rsidR="00FA3140">
        <w:rPr>
          <w:rFonts w:eastAsia="仿宋_GB2312" w:hint="eastAsia"/>
          <w:color w:val="000000"/>
          <w:sz w:val="32"/>
          <w:szCs w:val="32"/>
        </w:rPr>
        <w:t>可减免</w:t>
      </w:r>
      <w:r w:rsidR="007C2A1C">
        <w:rPr>
          <w:rFonts w:eastAsia="仿宋_GB2312" w:hint="eastAsia"/>
          <w:color w:val="000000"/>
          <w:sz w:val="32"/>
          <w:szCs w:val="32"/>
        </w:rPr>
        <w:t>实验性临床试验</w:t>
      </w:r>
      <w:r w:rsidR="00FA3140">
        <w:rPr>
          <w:rFonts w:eastAsia="仿宋_GB2312" w:hint="eastAsia"/>
          <w:color w:val="000000"/>
          <w:sz w:val="32"/>
          <w:szCs w:val="32"/>
        </w:rPr>
        <w:t>研究资料，但须提供典籍出处的详细背景资料</w:t>
      </w:r>
      <w:r w:rsidR="004B5DAE">
        <w:rPr>
          <w:rFonts w:eastAsia="仿宋_GB2312" w:hint="eastAsia"/>
          <w:color w:val="000000"/>
          <w:sz w:val="32"/>
          <w:szCs w:val="32"/>
        </w:rPr>
        <w:t>，如典籍封面、所涉及的目录、正文资料等</w:t>
      </w:r>
      <w:r w:rsidR="00FA3140">
        <w:rPr>
          <w:rFonts w:eastAsia="仿宋_GB2312" w:hint="eastAsia"/>
          <w:color w:val="000000"/>
          <w:sz w:val="32"/>
          <w:szCs w:val="32"/>
        </w:rPr>
        <w:t>，必要时应进行考证。</w:t>
      </w:r>
    </w:p>
    <w:p w:rsidR="00FC0D62" w:rsidRDefault="0032765E" w:rsidP="00F758D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 w:rsidR="00FA3140">
        <w:rPr>
          <w:rFonts w:eastAsia="仿宋_GB2312" w:hint="eastAsia"/>
          <w:color w:val="000000"/>
          <w:sz w:val="32"/>
          <w:szCs w:val="32"/>
        </w:rPr>
        <w:t>制剂</w:t>
      </w:r>
      <w:r w:rsidR="00FA3140">
        <w:rPr>
          <w:rFonts w:eastAsia="仿宋_GB2312" w:hint="eastAsia"/>
          <w:color w:val="000000"/>
          <w:sz w:val="32"/>
          <w:szCs w:val="32"/>
        </w:rPr>
        <w:t>/</w:t>
      </w:r>
      <w:r w:rsidR="0087456B">
        <w:rPr>
          <w:rFonts w:eastAsia="仿宋_GB2312" w:hint="eastAsia"/>
          <w:color w:val="000000"/>
          <w:sz w:val="32"/>
          <w:szCs w:val="32"/>
        </w:rPr>
        <w:t>处方在宠物临床上已有应用经验</w:t>
      </w:r>
      <w:r w:rsidR="00D85AB2">
        <w:rPr>
          <w:rFonts w:eastAsia="仿宋_GB2312" w:hint="eastAsia"/>
          <w:color w:val="000000"/>
          <w:sz w:val="32"/>
          <w:szCs w:val="32"/>
        </w:rPr>
        <w:t>（累计</w:t>
      </w:r>
      <w:r w:rsidR="00D85AB2">
        <w:rPr>
          <w:rFonts w:eastAsia="仿宋_GB2312"/>
          <w:color w:val="000000"/>
          <w:sz w:val="32"/>
          <w:szCs w:val="32"/>
        </w:rPr>
        <w:t>病例数</w:t>
      </w:r>
      <w:r w:rsidR="00D85AB2">
        <w:rPr>
          <w:rFonts w:eastAsia="仿宋_GB2312" w:hint="eastAsia"/>
          <w:color w:val="000000"/>
          <w:sz w:val="32"/>
          <w:szCs w:val="32"/>
        </w:rPr>
        <w:t>不</w:t>
      </w:r>
      <w:r w:rsidR="00D85AB2">
        <w:rPr>
          <w:rFonts w:eastAsia="仿宋_GB2312"/>
          <w:color w:val="000000"/>
          <w:sz w:val="32"/>
          <w:szCs w:val="32"/>
        </w:rPr>
        <w:t>少于</w:t>
      </w:r>
      <w:r w:rsidR="00D85AB2">
        <w:rPr>
          <w:rFonts w:eastAsia="仿宋_GB2312" w:hint="eastAsia"/>
          <w:color w:val="000000"/>
          <w:sz w:val="32"/>
          <w:szCs w:val="32"/>
        </w:rPr>
        <w:t>300</w:t>
      </w:r>
      <w:r w:rsidR="00D85AB2">
        <w:rPr>
          <w:rFonts w:eastAsia="仿宋_GB2312" w:hint="eastAsia"/>
          <w:color w:val="000000"/>
          <w:sz w:val="32"/>
          <w:szCs w:val="32"/>
        </w:rPr>
        <w:t>例</w:t>
      </w:r>
      <w:r w:rsidR="00D85AB2">
        <w:rPr>
          <w:rFonts w:eastAsia="仿宋_GB2312"/>
          <w:color w:val="000000"/>
          <w:sz w:val="32"/>
          <w:szCs w:val="32"/>
        </w:rPr>
        <w:t>且有完整的病</w:t>
      </w:r>
      <w:r w:rsidR="00D85AB2">
        <w:rPr>
          <w:rFonts w:eastAsia="仿宋_GB2312" w:hint="eastAsia"/>
          <w:color w:val="000000"/>
          <w:sz w:val="32"/>
          <w:szCs w:val="32"/>
        </w:rPr>
        <w:t>历</w:t>
      </w:r>
      <w:r w:rsidR="00D85AB2">
        <w:rPr>
          <w:rFonts w:eastAsia="仿宋_GB2312"/>
          <w:color w:val="000000"/>
          <w:sz w:val="32"/>
          <w:szCs w:val="32"/>
        </w:rPr>
        <w:t>记录</w:t>
      </w:r>
      <w:r w:rsidR="00D85AB2">
        <w:rPr>
          <w:rFonts w:eastAsia="仿宋_GB2312" w:hint="eastAsia"/>
          <w:color w:val="000000"/>
          <w:sz w:val="32"/>
          <w:szCs w:val="32"/>
        </w:rPr>
        <w:t>）</w:t>
      </w:r>
      <w:r w:rsidR="0087456B">
        <w:rPr>
          <w:rFonts w:eastAsia="仿宋_GB2312" w:hint="eastAsia"/>
          <w:color w:val="000000"/>
          <w:sz w:val="32"/>
          <w:szCs w:val="32"/>
        </w:rPr>
        <w:t>，</w:t>
      </w:r>
      <w:r w:rsidR="00FA3140">
        <w:rPr>
          <w:rFonts w:eastAsia="仿宋_GB2312" w:hint="eastAsia"/>
          <w:color w:val="000000"/>
          <w:sz w:val="32"/>
          <w:szCs w:val="32"/>
        </w:rPr>
        <w:t>且用药剂量明确，</w:t>
      </w:r>
      <w:r w:rsidR="0087456B">
        <w:rPr>
          <w:rFonts w:eastAsia="仿宋_GB2312" w:hint="eastAsia"/>
          <w:color w:val="000000"/>
          <w:sz w:val="32"/>
          <w:szCs w:val="32"/>
        </w:rPr>
        <w:t>可</w:t>
      </w:r>
      <w:r w:rsidR="00E42769">
        <w:rPr>
          <w:rFonts w:eastAsia="仿宋_GB2312" w:hint="eastAsia"/>
          <w:color w:val="000000"/>
          <w:sz w:val="32"/>
          <w:szCs w:val="32"/>
        </w:rPr>
        <w:t>减免</w:t>
      </w:r>
      <w:r w:rsidR="00D85AB2">
        <w:rPr>
          <w:rFonts w:eastAsia="仿宋_GB2312" w:hint="eastAsia"/>
          <w:color w:val="000000"/>
          <w:sz w:val="32"/>
          <w:szCs w:val="32"/>
        </w:rPr>
        <w:t>靶</w:t>
      </w:r>
      <w:r w:rsidR="00D85AB2">
        <w:rPr>
          <w:rFonts w:eastAsia="仿宋_GB2312"/>
          <w:color w:val="000000"/>
          <w:sz w:val="32"/>
          <w:szCs w:val="32"/>
        </w:rPr>
        <w:t>动物安全性试验资料</w:t>
      </w:r>
      <w:r w:rsidR="00D85AB2">
        <w:rPr>
          <w:rFonts w:eastAsia="仿宋_GB2312" w:hint="eastAsia"/>
          <w:color w:val="000000"/>
          <w:sz w:val="32"/>
          <w:szCs w:val="32"/>
        </w:rPr>
        <w:t>和</w:t>
      </w:r>
      <w:r w:rsidR="00E42769">
        <w:rPr>
          <w:rFonts w:eastAsia="仿宋_GB2312" w:hint="eastAsia"/>
          <w:color w:val="000000"/>
          <w:sz w:val="32"/>
          <w:szCs w:val="32"/>
        </w:rPr>
        <w:t>实验性临床试验资料，但须提供临床使用情况资料，包括</w:t>
      </w:r>
      <w:r w:rsidR="00B91B08">
        <w:rPr>
          <w:rFonts w:eastAsia="仿宋_GB2312" w:hint="eastAsia"/>
          <w:color w:val="000000"/>
          <w:sz w:val="32"/>
          <w:szCs w:val="32"/>
        </w:rPr>
        <w:t>临床使用的宠物诊疗机构（名称、地域）、起始年月、科室、靶动物群体、靶动物数量、使用剂次、不良反应情况等</w:t>
      </w:r>
      <w:r w:rsidR="00641B5E">
        <w:rPr>
          <w:rFonts w:eastAsia="仿宋_GB2312" w:hint="eastAsia"/>
          <w:color w:val="000000"/>
          <w:sz w:val="32"/>
          <w:szCs w:val="32"/>
        </w:rPr>
        <w:t>背景资料</w:t>
      </w:r>
      <w:r w:rsidR="00B37929">
        <w:rPr>
          <w:rFonts w:eastAsia="仿宋_GB2312" w:hint="eastAsia"/>
          <w:color w:val="000000"/>
          <w:sz w:val="32"/>
          <w:szCs w:val="32"/>
        </w:rPr>
        <w:t>和</w:t>
      </w:r>
      <w:r w:rsidR="00641B5E">
        <w:rPr>
          <w:rFonts w:eastAsia="仿宋_GB2312" w:hint="eastAsia"/>
          <w:color w:val="000000"/>
          <w:sz w:val="32"/>
          <w:szCs w:val="32"/>
        </w:rPr>
        <w:t>病历记录数据等</w:t>
      </w:r>
      <w:r w:rsidR="0087456B">
        <w:rPr>
          <w:rFonts w:eastAsia="仿宋_GB2312" w:hint="eastAsia"/>
          <w:color w:val="000000"/>
          <w:sz w:val="32"/>
          <w:szCs w:val="32"/>
        </w:rPr>
        <w:t>。</w:t>
      </w:r>
    </w:p>
    <w:p w:rsidR="00FC0D62" w:rsidRDefault="007430DF" w:rsidP="00F758DD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三</w:t>
      </w:r>
      <w:r w:rsidR="00FC0D62">
        <w:rPr>
          <w:rFonts w:eastAsia="黑体" w:hint="eastAsia"/>
          <w:color w:val="000000"/>
          <w:sz w:val="32"/>
          <w:szCs w:val="32"/>
        </w:rPr>
        <w:t>、处于药品监测期、行政保护期内的人用</w:t>
      </w:r>
      <w:r>
        <w:rPr>
          <w:rFonts w:eastAsia="黑体" w:hint="eastAsia"/>
          <w:color w:val="000000"/>
          <w:sz w:val="32"/>
          <w:szCs w:val="32"/>
        </w:rPr>
        <w:t>中药</w:t>
      </w:r>
      <w:r w:rsidR="00FC0D62">
        <w:rPr>
          <w:rFonts w:eastAsia="黑体" w:hint="eastAsia"/>
          <w:color w:val="000000"/>
          <w:sz w:val="32"/>
          <w:szCs w:val="32"/>
        </w:rPr>
        <w:t>不得转为宠物用。</w:t>
      </w:r>
    </w:p>
    <w:p w:rsidR="00FC0D62" w:rsidRDefault="007430DF" w:rsidP="00F758DD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 w:rsidR="00FC0D62">
        <w:rPr>
          <w:rFonts w:eastAsia="黑体" w:hint="eastAsia"/>
          <w:color w:val="000000"/>
          <w:sz w:val="32"/>
          <w:szCs w:val="32"/>
        </w:rPr>
        <w:t>、其他要求同农业部公告第</w:t>
      </w:r>
      <w:r w:rsidR="00FC0D62">
        <w:rPr>
          <w:rFonts w:eastAsia="黑体"/>
          <w:color w:val="000000"/>
          <w:sz w:val="32"/>
          <w:szCs w:val="32"/>
        </w:rPr>
        <w:t>442</w:t>
      </w:r>
      <w:r w:rsidR="00FC0D62">
        <w:rPr>
          <w:rFonts w:eastAsia="黑体" w:hint="eastAsia"/>
          <w:color w:val="000000"/>
          <w:sz w:val="32"/>
          <w:szCs w:val="32"/>
        </w:rPr>
        <w:t>号。</w:t>
      </w:r>
    </w:p>
    <w:p w:rsidR="00FC0D62" w:rsidRDefault="00FC0D62" w:rsidP="00FC0D62">
      <w:pPr>
        <w:autoSpaceDE w:val="0"/>
        <w:autoSpaceDN w:val="0"/>
        <w:spacing w:line="460" w:lineRule="exact"/>
        <w:rPr>
          <w:rFonts w:eastAsia="黑体"/>
          <w:kern w:val="0"/>
          <w:szCs w:val="32"/>
        </w:rPr>
      </w:pPr>
    </w:p>
    <w:sectPr w:rsidR="00FC0D62" w:rsidSect="0066371B">
      <w:pgSz w:w="11906" w:h="16838"/>
      <w:pgMar w:top="2098" w:right="1474" w:bottom="1985" w:left="1588" w:header="851" w:footer="1304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AE" w:rsidRDefault="00697FAE" w:rsidP="006475AA">
      <w:r>
        <w:separator/>
      </w:r>
    </w:p>
  </w:endnote>
  <w:endnote w:type="continuationSeparator" w:id="0">
    <w:p w:rsidR="00697FAE" w:rsidRDefault="00697FAE" w:rsidP="006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AE" w:rsidRDefault="00697FAE" w:rsidP="006475AA">
      <w:r>
        <w:separator/>
      </w:r>
    </w:p>
  </w:footnote>
  <w:footnote w:type="continuationSeparator" w:id="0">
    <w:p w:rsidR="00697FAE" w:rsidRDefault="00697FAE" w:rsidP="0064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62"/>
    <w:rsid w:val="000274E9"/>
    <w:rsid w:val="000B1510"/>
    <w:rsid w:val="000D4E1F"/>
    <w:rsid w:val="001425FB"/>
    <w:rsid w:val="0014685F"/>
    <w:rsid w:val="00186A4B"/>
    <w:rsid w:val="00191E78"/>
    <w:rsid w:val="001D381E"/>
    <w:rsid w:val="001D3BA9"/>
    <w:rsid w:val="001D7F7D"/>
    <w:rsid w:val="00253E21"/>
    <w:rsid w:val="002969D3"/>
    <w:rsid w:val="002A6AEF"/>
    <w:rsid w:val="002D59AA"/>
    <w:rsid w:val="00310619"/>
    <w:rsid w:val="0032765E"/>
    <w:rsid w:val="003D02CB"/>
    <w:rsid w:val="003E4E8F"/>
    <w:rsid w:val="00415440"/>
    <w:rsid w:val="00421696"/>
    <w:rsid w:val="004B5DAE"/>
    <w:rsid w:val="004B748D"/>
    <w:rsid w:val="004B7EE9"/>
    <w:rsid w:val="00545F4C"/>
    <w:rsid w:val="00556510"/>
    <w:rsid w:val="00575494"/>
    <w:rsid w:val="00641B5E"/>
    <w:rsid w:val="006475AA"/>
    <w:rsid w:val="0065168F"/>
    <w:rsid w:val="0066371B"/>
    <w:rsid w:val="00697FAE"/>
    <w:rsid w:val="00700976"/>
    <w:rsid w:val="007430DF"/>
    <w:rsid w:val="007458D1"/>
    <w:rsid w:val="007A7197"/>
    <w:rsid w:val="007B1EC5"/>
    <w:rsid w:val="007C2A1C"/>
    <w:rsid w:val="0087456B"/>
    <w:rsid w:val="008913D0"/>
    <w:rsid w:val="008D4AD9"/>
    <w:rsid w:val="00901DF3"/>
    <w:rsid w:val="009B5988"/>
    <w:rsid w:val="009C10C3"/>
    <w:rsid w:val="009D19BF"/>
    <w:rsid w:val="00A24800"/>
    <w:rsid w:val="00A471AD"/>
    <w:rsid w:val="00A930B5"/>
    <w:rsid w:val="00B22F92"/>
    <w:rsid w:val="00B37929"/>
    <w:rsid w:val="00B91B08"/>
    <w:rsid w:val="00BB12C8"/>
    <w:rsid w:val="00BD4A8C"/>
    <w:rsid w:val="00C50E47"/>
    <w:rsid w:val="00C513B4"/>
    <w:rsid w:val="00CA3B48"/>
    <w:rsid w:val="00CA3C7D"/>
    <w:rsid w:val="00D11A7B"/>
    <w:rsid w:val="00D609C9"/>
    <w:rsid w:val="00D85AB2"/>
    <w:rsid w:val="00D95115"/>
    <w:rsid w:val="00DC7AA2"/>
    <w:rsid w:val="00E35C6C"/>
    <w:rsid w:val="00E42769"/>
    <w:rsid w:val="00E74B52"/>
    <w:rsid w:val="00F36F34"/>
    <w:rsid w:val="00F7275F"/>
    <w:rsid w:val="00F758DD"/>
    <w:rsid w:val="00FA3140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8ED6A-E56B-4690-9670-73C0ED5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5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59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598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598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B598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B598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B598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B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杨大伟</dc:creator>
  <cp:lastModifiedBy>王学伟</cp:lastModifiedBy>
  <cp:revision>3</cp:revision>
  <dcterms:created xsi:type="dcterms:W3CDTF">2022-08-31T01:36:00Z</dcterms:created>
  <dcterms:modified xsi:type="dcterms:W3CDTF">2022-08-31T06:41:00Z</dcterms:modified>
</cp:coreProperties>
</file>